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5D345">
      <w:pPr>
        <w:pStyle w:val="2"/>
        <w:keepNext/>
        <w:keepLines/>
        <w:pageBreakBefore w:val="0"/>
        <w:widowControl/>
        <w:kinsoku/>
        <w:wordWrap/>
        <w:overflowPunct/>
        <w:topLinePunct w:val="0"/>
        <w:autoSpaceDE/>
        <w:autoSpaceDN/>
        <w:bidi w:val="0"/>
        <w:adjustRightInd/>
        <w:snapToGrid/>
        <w:spacing w:line="360" w:lineRule="auto"/>
        <w:jc w:val="center"/>
        <w:textAlignment w:val="baseline"/>
        <w:rPr>
          <w:rFonts w:hint="eastAsia"/>
          <w:color w:val="auto"/>
          <w:sz w:val="44"/>
          <w:szCs w:val="44"/>
          <w:highlight w:val="none"/>
        </w:rPr>
      </w:pPr>
      <w:r>
        <w:rPr>
          <w:rFonts w:hint="eastAsia"/>
          <w:color w:val="auto"/>
          <w:sz w:val="44"/>
          <w:szCs w:val="44"/>
          <w:highlight w:val="none"/>
          <w:lang w:val="en-US" w:eastAsia="zh-CN"/>
        </w:rPr>
        <w:t>南川区冷水关镇、峰岩乡抗旱水源工程</w:t>
      </w:r>
    </w:p>
    <w:p w14:paraId="4AD5A460">
      <w:pPr>
        <w:pageBreakBefore w:val="0"/>
        <w:kinsoku/>
        <w:overflowPunct/>
        <w:topLinePunct w:val="0"/>
        <w:bidi w:val="0"/>
        <w:spacing w:line="360" w:lineRule="auto"/>
        <w:rPr>
          <w:rFonts w:ascii="Arial"/>
          <w:color w:val="auto"/>
          <w:sz w:val="21"/>
          <w:highlight w:val="none"/>
        </w:rPr>
      </w:pPr>
    </w:p>
    <w:p w14:paraId="7B0F1DE8">
      <w:pPr>
        <w:pageBreakBefore w:val="0"/>
        <w:kinsoku/>
        <w:overflowPunct/>
        <w:topLinePunct w:val="0"/>
        <w:bidi w:val="0"/>
        <w:spacing w:line="360" w:lineRule="auto"/>
        <w:rPr>
          <w:rFonts w:ascii="Arial"/>
          <w:color w:val="auto"/>
          <w:sz w:val="21"/>
          <w:highlight w:val="none"/>
        </w:rPr>
      </w:pPr>
    </w:p>
    <w:p w14:paraId="0F28EFD3">
      <w:pPr>
        <w:pageBreakBefore w:val="0"/>
        <w:kinsoku/>
        <w:overflowPunct/>
        <w:topLinePunct w:val="0"/>
        <w:bidi w:val="0"/>
        <w:spacing w:line="360" w:lineRule="auto"/>
        <w:rPr>
          <w:rFonts w:ascii="Arial"/>
          <w:color w:val="auto"/>
          <w:sz w:val="21"/>
          <w:highlight w:val="none"/>
        </w:rPr>
      </w:pPr>
    </w:p>
    <w:p w14:paraId="27BCD594">
      <w:pPr>
        <w:pageBreakBefore w:val="0"/>
        <w:kinsoku/>
        <w:overflowPunct/>
        <w:topLinePunct w:val="0"/>
        <w:bidi w:val="0"/>
        <w:spacing w:line="360" w:lineRule="auto"/>
        <w:rPr>
          <w:rFonts w:ascii="Arial"/>
          <w:color w:val="auto"/>
          <w:sz w:val="21"/>
          <w:highlight w:val="none"/>
        </w:rPr>
      </w:pPr>
    </w:p>
    <w:p w14:paraId="27ABDF58">
      <w:pPr>
        <w:pageBreakBefore w:val="0"/>
        <w:kinsoku/>
        <w:overflowPunct/>
        <w:topLinePunct w:val="0"/>
        <w:bidi w:val="0"/>
        <w:spacing w:line="360" w:lineRule="auto"/>
        <w:rPr>
          <w:rFonts w:ascii="Arial"/>
          <w:color w:val="auto"/>
          <w:sz w:val="21"/>
          <w:highlight w:val="none"/>
        </w:rPr>
      </w:pPr>
    </w:p>
    <w:p w14:paraId="608796F7">
      <w:pPr>
        <w:pStyle w:val="4"/>
        <w:rPr>
          <w:rFonts w:ascii="Arial"/>
          <w:color w:val="auto"/>
          <w:sz w:val="21"/>
          <w:highlight w:val="none"/>
        </w:rPr>
      </w:pPr>
    </w:p>
    <w:p w14:paraId="3806835F">
      <w:pPr>
        <w:rPr>
          <w:color w:val="auto"/>
          <w:highlight w:val="none"/>
        </w:rPr>
      </w:pPr>
    </w:p>
    <w:p w14:paraId="1A11EDEF">
      <w:pPr>
        <w:pageBreakBefore w:val="0"/>
        <w:kinsoku/>
        <w:overflowPunct/>
        <w:topLinePunct w:val="0"/>
        <w:bidi w:val="0"/>
        <w:spacing w:line="360" w:lineRule="auto"/>
        <w:rPr>
          <w:rFonts w:ascii="Arial"/>
          <w:color w:val="auto"/>
          <w:sz w:val="21"/>
          <w:highlight w:val="none"/>
        </w:rPr>
      </w:pPr>
    </w:p>
    <w:p w14:paraId="2A2859B1">
      <w:pPr>
        <w:pageBreakBefore w:val="0"/>
        <w:kinsoku/>
        <w:overflowPunct/>
        <w:topLinePunct w:val="0"/>
        <w:bidi w:val="0"/>
        <w:spacing w:line="360" w:lineRule="auto"/>
        <w:rPr>
          <w:rFonts w:ascii="Arial"/>
          <w:color w:val="auto"/>
          <w:sz w:val="21"/>
          <w:highlight w:val="none"/>
        </w:rPr>
      </w:pPr>
    </w:p>
    <w:p w14:paraId="16F125DF">
      <w:pPr>
        <w:pageBreakBefore w:val="0"/>
        <w:kinsoku/>
        <w:overflowPunct/>
        <w:topLinePunct w:val="0"/>
        <w:bidi w:val="0"/>
        <w:spacing w:line="360" w:lineRule="auto"/>
        <w:rPr>
          <w:rFonts w:ascii="Arial"/>
          <w:color w:val="auto"/>
          <w:sz w:val="21"/>
          <w:highlight w:val="none"/>
        </w:rPr>
      </w:pPr>
    </w:p>
    <w:p w14:paraId="67D67173">
      <w:pPr>
        <w:pageBreakBefore w:val="0"/>
        <w:kinsoku/>
        <w:overflowPunct/>
        <w:topLinePunct w:val="0"/>
        <w:bidi w:val="0"/>
        <w:spacing w:line="360" w:lineRule="auto"/>
        <w:jc w:val="center"/>
        <w:rPr>
          <w:rFonts w:hint="eastAsia" w:ascii="Arial" w:eastAsia="宋体"/>
          <w:color w:val="auto"/>
          <w:sz w:val="21"/>
          <w:highlight w:val="none"/>
          <w:lang w:eastAsia="zh-CN"/>
        </w:rPr>
      </w:pPr>
      <w:r>
        <w:rPr>
          <w:rFonts w:hint="eastAsia" w:ascii="宋体" w:hAnsi="宋体" w:eastAsia="宋体" w:cs="宋体"/>
          <w:color w:val="auto"/>
          <w:spacing w:val="-2"/>
          <w:sz w:val="72"/>
          <w:szCs w:val="72"/>
          <w:highlight w:val="none"/>
          <w:lang w:eastAsia="zh-CN"/>
        </w:rPr>
        <w:t>施</w:t>
      </w:r>
      <w:r>
        <w:rPr>
          <w:rFonts w:hint="eastAsia" w:ascii="宋体" w:hAnsi="宋体" w:eastAsia="宋体" w:cs="宋体"/>
          <w:color w:val="auto"/>
          <w:spacing w:val="-2"/>
          <w:sz w:val="72"/>
          <w:szCs w:val="72"/>
          <w:highlight w:val="none"/>
          <w:lang w:val="en-US" w:eastAsia="zh-CN"/>
        </w:rPr>
        <w:t xml:space="preserve"> </w:t>
      </w:r>
      <w:r>
        <w:rPr>
          <w:rFonts w:hint="eastAsia" w:ascii="宋体" w:hAnsi="宋体" w:eastAsia="宋体" w:cs="宋体"/>
          <w:color w:val="auto"/>
          <w:spacing w:val="-2"/>
          <w:sz w:val="72"/>
          <w:szCs w:val="72"/>
          <w:highlight w:val="none"/>
          <w:lang w:eastAsia="zh-CN"/>
        </w:rPr>
        <w:t>工</w:t>
      </w:r>
      <w:r>
        <w:rPr>
          <w:rFonts w:hint="eastAsia" w:ascii="宋体" w:hAnsi="宋体" w:eastAsia="宋体" w:cs="宋体"/>
          <w:color w:val="auto"/>
          <w:spacing w:val="-2"/>
          <w:sz w:val="72"/>
          <w:szCs w:val="72"/>
          <w:highlight w:val="none"/>
          <w:lang w:val="en-US" w:eastAsia="zh-CN"/>
        </w:rPr>
        <w:t xml:space="preserve"> </w:t>
      </w:r>
      <w:r>
        <w:rPr>
          <w:rFonts w:hint="eastAsia" w:ascii="宋体" w:hAnsi="宋体" w:eastAsia="宋体" w:cs="宋体"/>
          <w:color w:val="auto"/>
          <w:spacing w:val="-2"/>
          <w:sz w:val="72"/>
          <w:szCs w:val="72"/>
          <w:highlight w:val="none"/>
          <w:lang w:eastAsia="zh-CN"/>
        </w:rPr>
        <w:t>合</w:t>
      </w:r>
      <w:r>
        <w:rPr>
          <w:rFonts w:hint="eastAsia" w:ascii="宋体" w:hAnsi="宋体" w:eastAsia="宋体" w:cs="宋体"/>
          <w:color w:val="auto"/>
          <w:spacing w:val="-2"/>
          <w:sz w:val="72"/>
          <w:szCs w:val="72"/>
          <w:highlight w:val="none"/>
          <w:lang w:val="en-US" w:eastAsia="zh-CN"/>
        </w:rPr>
        <w:t xml:space="preserve"> </w:t>
      </w:r>
      <w:r>
        <w:rPr>
          <w:rFonts w:hint="eastAsia" w:ascii="宋体" w:hAnsi="宋体" w:eastAsia="宋体" w:cs="宋体"/>
          <w:color w:val="auto"/>
          <w:spacing w:val="-2"/>
          <w:sz w:val="72"/>
          <w:szCs w:val="72"/>
          <w:highlight w:val="none"/>
          <w:lang w:eastAsia="zh-CN"/>
        </w:rPr>
        <w:t>同</w:t>
      </w:r>
    </w:p>
    <w:p w14:paraId="6650E078">
      <w:pPr>
        <w:pageBreakBefore w:val="0"/>
        <w:kinsoku/>
        <w:overflowPunct/>
        <w:topLinePunct w:val="0"/>
        <w:bidi w:val="0"/>
        <w:spacing w:line="360" w:lineRule="auto"/>
        <w:rPr>
          <w:rFonts w:ascii="Arial"/>
          <w:color w:val="auto"/>
          <w:sz w:val="21"/>
          <w:highlight w:val="none"/>
        </w:rPr>
      </w:pPr>
    </w:p>
    <w:p w14:paraId="668E0C09">
      <w:pPr>
        <w:pageBreakBefore w:val="0"/>
        <w:kinsoku/>
        <w:overflowPunct/>
        <w:topLinePunct w:val="0"/>
        <w:bidi w:val="0"/>
        <w:spacing w:line="360" w:lineRule="auto"/>
        <w:rPr>
          <w:rFonts w:ascii="Arial"/>
          <w:color w:val="auto"/>
          <w:sz w:val="21"/>
          <w:highlight w:val="none"/>
        </w:rPr>
      </w:pPr>
    </w:p>
    <w:p w14:paraId="0B75C8B3">
      <w:pPr>
        <w:pageBreakBefore w:val="0"/>
        <w:kinsoku/>
        <w:overflowPunct/>
        <w:topLinePunct w:val="0"/>
        <w:bidi w:val="0"/>
        <w:spacing w:line="360" w:lineRule="auto"/>
        <w:rPr>
          <w:rFonts w:ascii="Arial"/>
          <w:color w:val="auto"/>
          <w:sz w:val="21"/>
          <w:highlight w:val="none"/>
        </w:rPr>
      </w:pPr>
    </w:p>
    <w:p w14:paraId="278AB113">
      <w:pPr>
        <w:pageBreakBefore w:val="0"/>
        <w:kinsoku/>
        <w:overflowPunct/>
        <w:topLinePunct w:val="0"/>
        <w:bidi w:val="0"/>
        <w:spacing w:line="360" w:lineRule="auto"/>
        <w:rPr>
          <w:rFonts w:ascii="Arial"/>
          <w:color w:val="auto"/>
          <w:sz w:val="21"/>
          <w:highlight w:val="none"/>
        </w:rPr>
      </w:pPr>
    </w:p>
    <w:p w14:paraId="070F165E">
      <w:pPr>
        <w:pageBreakBefore w:val="0"/>
        <w:kinsoku/>
        <w:overflowPunct/>
        <w:topLinePunct w:val="0"/>
        <w:bidi w:val="0"/>
        <w:spacing w:line="360" w:lineRule="auto"/>
        <w:rPr>
          <w:rFonts w:ascii="Arial"/>
          <w:color w:val="auto"/>
          <w:sz w:val="21"/>
          <w:highlight w:val="none"/>
        </w:rPr>
      </w:pPr>
    </w:p>
    <w:p w14:paraId="4BEB6903">
      <w:pPr>
        <w:rPr>
          <w:rFonts w:ascii="Arial"/>
          <w:color w:val="auto"/>
          <w:sz w:val="21"/>
          <w:highlight w:val="none"/>
        </w:rPr>
      </w:pPr>
    </w:p>
    <w:p w14:paraId="5AE9DE54">
      <w:pPr>
        <w:pStyle w:val="4"/>
        <w:rPr>
          <w:color w:val="auto"/>
          <w:highlight w:val="none"/>
        </w:rPr>
      </w:pPr>
    </w:p>
    <w:p w14:paraId="5EF9A268">
      <w:pPr>
        <w:pStyle w:val="4"/>
        <w:rPr>
          <w:color w:val="auto"/>
          <w:highlight w:val="none"/>
        </w:rPr>
      </w:pPr>
    </w:p>
    <w:p w14:paraId="17FF84D4">
      <w:pPr>
        <w:pageBreakBefore w:val="0"/>
        <w:kinsoku/>
        <w:overflowPunct/>
        <w:topLinePunct w:val="0"/>
        <w:bidi w:val="0"/>
        <w:spacing w:before="91" w:line="360" w:lineRule="auto"/>
        <w:ind w:left="479"/>
        <w:rPr>
          <w:rFonts w:hint="eastAsia" w:ascii="宋体" w:hAnsi="宋体" w:eastAsia="宋体" w:cs="宋体"/>
          <w:color w:val="auto"/>
          <w:spacing w:val="-14"/>
          <w:sz w:val="36"/>
          <w:szCs w:val="36"/>
          <w:highlight w:val="none"/>
          <w:lang w:eastAsia="zh-CN"/>
        </w:rPr>
      </w:pPr>
    </w:p>
    <w:p w14:paraId="28B090FA">
      <w:pPr>
        <w:keepNext w:val="0"/>
        <w:keepLines w:val="0"/>
        <w:pageBreakBefore w:val="0"/>
        <w:widowControl w:val="0"/>
        <w:kinsoku/>
        <w:wordWrap/>
        <w:overflowPunct/>
        <w:topLinePunct w:val="0"/>
        <w:autoSpaceDE/>
        <w:autoSpaceDN/>
        <w:bidi w:val="0"/>
        <w:adjustRightInd/>
        <w:snapToGrid/>
        <w:spacing w:before="91" w:line="360" w:lineRule="auto"/>
        <w:jc w:val="left"/>
        <w:textAlignment w:val="auto"/>
        <w:rPr>
          <w:rFonts w:hint="eastAsia" w:ascii="宋体" w:hAnsi="宋体" w:eastAsia="宋体" w:cs="宋体"/>
          <w:color w:val="auto"/>
          <w:spacing w:val="-7"/>
          <w:sz w:val="36"/>
          <w:szCs w:val="36"/>
          <w:highlight w:val="none"/>
          <w:u w:val="single" w:color="auto"/>
        </w:rPr>
      </w:pPr>
      <w:r>
        <w:rPr>
          <w:rFonts w:hint="eastAsia" w:ascii="宋体" w:hAnsi="宋体" w:eastAsia="宋体" w:cs="宋体"/>
          <w:color w:val="auto"/>
          <w:spacing w:val="-14"/>
          <w:sz w:val="36"/>
          <w:szCs w:val="36"/>
          <w:highlight w:val="none"/>
          <w:lang w:eastAsia="zh-CN"/>
        </w:rPr>
        <w:t>发包人</w:t>
      </w:r>
      <w:r>
        <w:rPr>
          <w:rFonts w:hint="eastAsia" w:ascii="宋体" w:hAnsi="宋体" w:eastAsia="宋体" w:cs="宋体"/>
          <w:color w:val="auto"/>
          <w:spacing w:val="-14"/>
          <w:sz w:val="36"/>
          <w:szCs w:val="36"/>
          <w:highlight w:val="none"/>
        </w:rPr>
        <w:t>：</w:t>
      </w:r>
      <w:r>
        <w:rPr>
          <w:rFonts w:hint="eastAsia" w:ascii="宋体" w:hAnsi="宋体" w:eastAsia="宋体" w:cs="宋体"/>
          <w:color w:val="auto"/>
          <w:spacing w:val="-8"/>
          <w:sz w:val="36"/>
          <w:szCs w:val="36"/>
          <w:highlight w:val="none"/>
          <w:u w:val="single" w:color="auto"/>
        </w:rPr>
        <w:t xml:space="preserve"> </w:t>
      </w:r>
      <w:r>
        <w:rPr>
          <w:rFonts w:hint="eastAsia" w:ascii="宋体" w:hAnsi="宋体" w:eastAsia="宋体" w:cs="宋体"/>
          <w:color w:val="auto"/>
          <w:spacing w:val="-9"/>
          <w:sz w:val="36"/>
          <w:szCs w:val="36"/>
          <w:highlight w:val="none"/>
          <w:u w:val="single" w:color="auto"/>
        </w:rPr>
        <w:t>重庆市南川区泽禹供水有限责任公司</w:t>
      </w:r>
    </w:p>
    <w:p w14:paraId="2AB2DE4B">
      <w:pPr>
        <w:keepNext w:val="0"/>
        <w:keepLines w:val="0"/>
        <w:pageBreakBefore w:val="0"/>
        <w:kinsoku/>
        <w:wordWrap/>
        <w:overflowPunct/>
        <w:topLinePunct w:val="0"/>
        <w:autoSpaceDE/>
        <w:autoSpaceDN/>
        <w:bidi w:val="0"/>
        <w:adjustRightInd/>
        <w:snapToGrid/>
        <w:spacing w:line="360" w:lineRule="auto"/>
        <w:jc w:val="left"/>
        <w:rPr>
          <w:rFonts w:hint="default" w:ascii="宋体" w:hAnsi="宋体" w:eastAsia="宋体" w:cs="宋体"/>
          <w:color w:val="auto"/>
          <w:spacing w:val="-9"/>
          <w:sz w:val="36"/>
          <w:szCs w:val="36"/>
          <w:highlight w:val="none"/>
          <w:u w:val="single" w:color="auto"/>
          <w:lang w:val="en-US" w:eastAsia="zh-CN"/>
        </w:rPr>
      </w:pPr>
      <w:r>
        <w:rPr>
          <w:rFonts w:hint="eastAsia" w:ascii="宋体" w:hAnsi="宋体" w:eastAsia="宋体" w:cs="宋体"/>
          <w:color w:val="auto"/>
          <w:spacing w:val="-14"/>
          <w:sz w:val="36"/>
          <w:szCs w:val="36"/>
          <w:highlight w:val="none"/>
          <w:lang w:eastAsia="zh-CN"/>
        </w:rPr>
        <w:t>承包</w:t>
      </w:r>
      <w:r>
        <w:rPr>
          <w:rFonts w:hint="eastAsia" w:ascii="宋体" w:hAnsi="宋体" w:eastAsia="宋体" w:cs="宋体"/>
          <w:color w:val="auto"/>
          <w:spacing w:val="-14"/>
          <w:sz w:val="36"/>
          <w:szCs w:val="36"/>
          <w:highlight w:val="none"/>
        </w:rPr>
        <w:t>人：</w:t>
      </w:r>
      <w:r>
        <w:rPr>
          <w:rFonts w:hint="eastAsia" w:ascii="宋体" w:hAnsi="宋体" w:eastAsia="宋体" w:cs="宋体"/>
          <w:color w:val="auto"/>
          <w:spacing w:val="-9"/>
          <w:sz w:val="36"/>
          <w:szCs w:val="36"/>
          <w:highlight w:val="none"/>
          <w:u w:val="single" w:color="auto"/>
        </w:rPr>
        <w:t xml:space="preserve"> </w:t>
      </w:r>
      <w:r>
        <w:rPr>
          <w:rFonts w:hint="eastAsia" w:ascii="宋体" w:hAnsi="宋体" w:eastAsia="宋体" w:cs="宋体"/>
          <w:color w:val="auto"/>
          <w:spacing w:val="-9"/>
          <w:sz w:val="36"/>
          <w:szCs w:val="36"/>
          <w:highlight w:val="none"/>
          <w:u w:val="single" w:color="auto"/>
          <w:lang w:val="en-US" w:eastAsia="zh-CN"/>
        </w:rPr>
        <w:t xml:space="preserve">                                  </w:t>
      </w:r>
    </w:p>
    <w:p w14:paraId="322085B2">
      <w:pPr>
        <w:keepNext/>
        <w:keepLines/>
        <w:pageBreakBefore w:val="0"/>
        <w:kinsoku/>
        <w:overflowPunct/>
        <w:topLinePunct w:val="0"/>
        <w:bidi w:val="0"/>
        <w:snapToGrid w:val="0"/>
        <w:spacing w:line="360" w:lineRule="auto"/>
        <w:jc w:val="center"/>
        <w:outlineLvl w:val="1"/>
        <w:rPr>
          <w:rFonts w:hint="eastAsia" w:ascii="宋体" w:hAnsi="宋体" w:eastAsia="宋体" w:cs="宋体"/>
          <w:b w:val="0"/>
          <w:bCs w:val="0"/>
          <w:color w:val="auto"/>
          <w:sz w:val="36"/>
          <w:szCs w:val="36"/>
          <w:highlight w:val="none"/>
          <w:lang w:val="zh-CN"/>
        </w:rPr>
        <w:sectPr>
          <w:pgSz w:w="11900" w:h="16840"/>
          <w:pgMar w:top="1440" w:right="1800" w:bottom="1440" w:left="1800" w:header="851" w:footer="720" w:gutter="0"/>
          <w:cols w:space="720" w:num="1"/>
          <w:rtlGutter w:val="0"/>
          <w:docGrid w:linePitch="312" w:charSpace="0"/>
        </w:sectPr>
      </w:pPr>
    </w:p>
    <w:p w14:paraId="3878345E">
      <w:pPr>
        <w:keepNext/>
        <w:keepLines/>
        <w:pageBreakBefore w:val="0"/>
        <w:kinsoku/>
        <w:overflowPunct/>
        <w:topLinePunct w:val="0"/>
        <w:bidi w:val="0"/>
        <w:snapToGrid w:val="0"/>
        <w:spacing w:line="360" w:lineRule="auto"/>
        <w:jc w:val="center"/>
        <w:outlineLvl w:val="1"/>
        <w:rPr>
          <w:rFonts w:hint="eastAsia" w:ascii="宋体" w:hAnsi="宋体" w:eastAsia="宋体" w:cs="宋体"/>
          <w:color w:val="auto"/>
          <w:kern w:val="0"/>
          <w:sz w:val="44"/>
          <w:szCs w:val="44"/>
          <w:highlight w:val="none"/>
          <w:lang w:val="zh-CN" w:eastAsia="zh-CN" w:bidi="ar-SA"/>
        </w:rPr>
      </w:pPr>
      <w:r>
        <w:rPr>
          <w:rFonts w:hint="eastAsia" w:ascii="宋体" w:hAnsi="宋体" w:eastAsia="宋体" w:cs="宋体"/>
          <w:color w:val="auto"/>
          <w:kern w:val="0"/>
          <w:sz w:val="44"/>
          <w:szCs w:val="44"/>
          <w:highlight w:val="none"/>
          <w:lang w:val="en-US" w:eastAsia="zh-CN" w:bidi="ar-SA"/>
        </w:rPr>
        <w:t xml:space="preserve">第一部分 </w:t>
      </w:r>
      <w:r>
        <w:rPr>
          <w:rFonts w:hint="eastAsia" w:ascii="宋体" w:hAnsi="宋体" w:eastAsia="宋体" w:cs="宋体"/>
          <w:color w:val="auto"/>
          <w:kern w:val="0"/>
          <w:sz w:val="44"/>
          <w:szCs w:val="44"/>
          <w:highlight w:val="none"/>
          <w:lang w:val="zh-CN" w:eastAsia="zh-CN" w:bidi="ar-SA"/>
        </w:rPr>
        <w:t>合同协议书</w:t>
      </w:r>
    </w:p>
    <w:p w14:paraId="0D157648">
      <w:pPr>
        <w:pStyle w:val="4"/>
        <w:rPr>
          <w:rFonts w:hint="eastAsia"/>
          <w:color w:val="auto"/>
          <w:highlight w:val="none"/>
        </w:rPr>
      </w:pPr>
    </w:p>
    <w:p w14:paraId="1291F432">
      <w:pPr>
        <w:pageBreakBefore w:val="0"/>
        <w:kinsoku/>
        <w:overflowPunct/>
        <w:topLinePunct w:val="0"/>
        <w:bidi w:val="0"/>
        <w:snapToGrid w:val="0"/>
        <w:spacing w:line="360" w:lineRule="auto"/>
        <w:jc w:val="left"/>
        <w:rPr>
          <w:rFonts w:hint="eastAsia" w:ascii="宋体" w:hAnsi="宋体" w:cs="宋体"/>
          <w:color w:val="auto"/>
          <w:sz w:val="21"/>
          <w:szCs w:val="21"/>
          <w:highlight w:val="none"/>
          <w:u w:val="single"/>
          <w:lang w:eastAsia="zh-CN"/>
        </w:rPr>
      </w:pPr>
      <w:r>
        <w:rPr>
          <w:rFonts w:hint="eastAsia" w:ascii="宋体" w:hAnsi="宋体" w:cs="宋体"/>
          <w:b/>
          <w:color w:val="auto"/>
          <w:sz w:val="21"/>
          <w:szCs w:val="21"/>
          <w:highlight w:val="none"/>
        </w:rPr>
        <w:t>发包人（全称）：</w:t>
      </w:r>
      <w:r>
        <w:rPr>
          <w:rFonts w:hint="eastAsia" w:ascii="宋体" w:hAnsi="宋体" w:cs="宋体"/>
          <w:color w:val="auto"/>
          <w:sz w:val="21"/>
          <w:szCs w:val="21"/>
          <w:highlight w:val="none"/>
          <w:u w:val="single"/>
          <w:lang w:eastAsia="zh-CN"/>
        </w:rPr>
        <w:t>重庆市南川区泽禹供水有限责任公司</w:t>
      </w:r>
    </w:p>
    <w:p w14:paraId="5A56BC37">
      <w:pPr>
        <w:pageBreakBefore w:val="0"/>
        <w:kinsoku/>
        <w:overflowPunct/>
        <w:topLinePunct w:val="0"/>
        <w:bidi w:val="0"/>
        <w:snapToGrid w:val="0"/>
        <w:spacing w:line="360" w:lineRule="auto"/>
        <w:jc w:val="left"/>
        <w:rPr>
          <w:rFonts w:hint="default" w:ascii="宋体" w:hAnsi="宋体" w:eastAsia="宋体" w:cs="宋体"/>
          <w:b/>
          <w:color w:val="auto"/>
          <w:szCs w:val="21"/>
          <w:highlight w:val="none"/>
          <w:u w:val="single"/>
          <w:lang w:val="en-US" w:eastAsia="zh-CN"/>
        </w:rPr>
      </w:pPr>
      <w:r>
        <w:rPr>
          <w:rFonts w:hint="eastAsia" w:ascii="宋体" w:hAnsi="宋体" w:cs="宋体"/>
          <w:b/>
          <w:color w:val="auto"/>
          <w:sz w:val="21"/>
          <w:szCs w:val="21"/>
          <w:highlight w:val="none"/>
          <w:lang w:eastAsia="zh-CN"/>
        </w:rPr>
        <w:t>承包人（全称）：</w:t>
      </w:r>
      <w:r>
        <w:rPr>
          <w:rFonts w:hint="eastAsia" w:ascii="宋体" w:hAnsi="宋体" w:cs="仿宋_GB2312"/>
          <w:color w:val="auto"/>
          <w:kern w:val="0"/>
          <w:szCs w:val="21"/>
          <w:highlight w:val="none"/>
          <w:u w:val="single"/>
          <w:lang w:val="en-US" w:eastAsia="zh-CN"/>
        </w:rPr>
        <w:t xml:space="preserve">                                </w:t>
      </w:r>
    </w:p>
    <w:p w14:paraId="7DEBB90F">
      <w:pPr>
        <w:pageBreakBefore w:val="0"/>
        <w:kinsoku/>
        <w:overflowPunct/>
        <w:topLinePunct w:val="0"/>
        <w:bidi w:val="0"/>
        <w:snapToGrid w:val="0"/>
        <w:spacing w:line="360" w:lineRule="auto"/>
        <w:ind w:firstLine="420" w:firstLineChars="200"/>
        <w:rPr>
          <w:rFonts w:ascii="宋体" w:hAnsi="宋体" w:cs="宋体"/>
          <w:b/>
          <w:color w:val="auto"/>
          <w:sz w:val="21"/>
          <w:szCs w:val="21"/>
          <w:highlight w:val="none"/>
          <w:u w:val="single"/>
        </w:rPr>
      </w:pPr>
      <w:r>
        <w:rPr>
          <w:rFonts w:hint="eastAsia" w:ascii="宋体" w:hAnsi="宋体" w:cs="宋体"/>
          <w:color w:val="auto"/>
          <w:sz w:val="21"/>
          <w:szCs w:val="21"/>
          <w:highlight w:val="none"/>
        </w:rPr>
        <w:t>根据《中华人民共和国民法典》、《中华人民共和国建筑法》及有关法律、法规规定，遵循平等、自愿、公平和诚实信用的原则，双方就</w:t>
      </w:r>
      <w:r>
        <w:rPr>
          <w:rFonts w:hint="eastAsia" w:ascii="宋体" w:hAnsi="宋体" w:cs="宋体"/>
          <w:color w:val="auto"/>
          <w:sz w:val="21"/>
          <w:szCs w:val="21"/>
          <w:highlight w:val="none"/>
          <w:u w:val="single"/>
          <w:lang w:val="en-US" w:eastAsia="zh-CN"/>
        </w:rPr>
        <w:t>南川区冷水关镇、峰岩乡抗旱水源工程</w:t>
      </w:r>
      <w:r>
        <w:rPr>
          <w:rFonts w:hint="eastAsia" w:ascii="宋体" w:hAnsi="宋体" w:cs="宋体"/>
          <w:color w:val="auto"/>
          <w:sz w:val="21"/>
          <w:szCs w:val="21"/>
          <w:highlight w:val="none"/>
        </w:rPr>
        <w:t>程施工及有关事项协商一致，共同达成如下协议：</w:t>
      </w:r>
    </w:p>
    <w:p w14:paraId="70B8FA78">
      <w:pPr>
        <w:pageBreakBefore w:val="0"/>
        <w:kinsoku/>
        <w:overflowPunct/>
        <w:topLinePunct w:val="0"/>
        <w:bidi w:val="0"/>
        <w:snapToGrid w:val="0"/>
        <w:spacing w:line="360" w:lineRule="auto"/>
        <w:ind w:firstLine="422" w:firstLineChars="200"/>
        <w:jc w:val="left"/>
        <w:rPr>
          <w:rFonts w:hint="eastAsia" w:ascii="宋体" w:hAnsi="宋体" w:cs="宋体"/>
          <w:b/>
          <w:color w:val="auto"/>
          <w:sz w:val="21"/>
          <w:szCs w:val="21"/>
          <w:highlight w:val="none"/>
          <w:lang w:val="zh-CN" w:eastAsia="zh-CN"/>
        </w:rPr>
      </w:pPr>
      <w:bookmarkStart w:id="0" w:name="_Toc33183534"/>
      <w:r>
        <w:rPr>
          <w:rFonts w:hint="eastAsia" w:ascii="宋体" w:hAnsi="宋体" w:cs="宋体"/>
          <w:b/>
          <w:color w:val="auto"/>
          <w:sz w:val="21"/>
          <w:szCs w:val="21"/>
          <w:highlight w:val="none"/>
          <w:lang w:val="zh-CN" w:eastAsia="zh-CN"/>
        </w:rPr>
        <w:t>一、工程概况</w:t>
      </w:r>
      <w:bookmarkEnd w:id="0"/>
    </w:p>
    <w:p w14:paraId="0CDBD9B6">
      <w:pPr>
        <w:keepNext w:val="0"/>
        <w:keepLines w:val="0"/>
        <w:pageBreakBefore w:val="0"/>
        <w:widowControl/>
        <w:kinsoku/>
        <w:wordWrap/>
        <w:overflowPunct/>
        <w:topLinePunct w:val="0"/>
        <w:bidi w:val="0"/>
        <w:snapToGrid w:val="0"/>
        <w:spacing w:line="360" w:lineRule="auto"/>
        <w:ind w:firstLine="420" w:firstLineChars="200"/>
        <w:textAlignment w:val="baseline"/>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1.工程名称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南川区冷水关镇、峰岩乡抗旱水源工程</w:t>
      </w:r>
      <w:r>
        <w:rPr>
          <w:rFonts w:hint="eastAsia" w:ascii="宋体" w:hAnsi="宋体" w:eastAsia="宋体" w:cs="宋体"/>
          <w:color w:val="auto"/>
          <w:sz w:val="21"/>
          <w:szCs w:val="21"/>
          <w:highlight w:val="none"/>
        </w:rPr>
        <w:t>。</w:t>
      </w:r>
    </w:p>
    <w:p w14:paraId="59FD7F66">
      <w:pPr>
        <w:keepNext w:val="0"/>
        <w:keepLines w:val="0"/>
        <w:pageBreakBefore w:val="0"/>
        <w:widowControl/>
        <w:kinsoku/>
        <w:wordWrap/>
        <w:overflowPunct/>
        <w:topLinePunct w:val="0"/>
        <w:bidi w:val="0"/>
        <w:snapToGrid w:val="0"/>
        <w:spacing w:line="360" w:lineRule="auto"/>
        <w:ind w:firstLine="420" w:firstLineChars="200"/>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2.工程地点：</w:t>
      </w:r>
      <w:r>
        <w:rPr>
          <w:rFonts w:hint="eastAsia" w:ascii="宋体" w:hAnsi="宋体" w:eastAsia="宋体" w:cs="宋体"/>
          <w:color w:val="auto"/>
          <w:sz w:val="21"/>
          <w:szCs w:val="21"/>
          <w:highlight w:val="none"/>
          <w:u w:val="single"/>
          <w:lang w:val="en-US" w:eastAsia="zh-CN"/>
        </w:rPr>
        <w:t>南川区冷水关镇、峰岩乡</w:t>
      </w:r>
      <w:r>
        <w:rPr>
          <w:rFonts w:hint="eastAsia" w:ascii="宋体" w:hAnsi="宋体" w:eastAsia="宋体" w:cs="宋体"/>
          <w:color w:val="auto"/>
          <w:sz w:val="21"/>
          <w:szCs w:val="21"/>
          <w:highlight w:val="none"/>
        </w:rPr>
        <w:t>。</w:t>
      </w:r>
    </w:p>
    <w:p w14:paraId="5C760985">
      <w:pPr>
        <w:keepNext w:val="0"/>
        <w:keepLines w:val="0"/>
        <w:pageBreakBefore w:val="0"/>
        <w:widowControl/>
        <w:kinsoku/>
        <w:wordWrap/>
        <w:overflowPunct/>
        <w:topLinePunct w:val="0"/>
        <w:bidi w:val="0"/>
        <w:snapToGrid w:val="0"/>
        <w:spacing w:line="360" w:lineRule="auto"/>
        <w:ind w:firstLine="420" w:firstLineChars="200"/>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3.工程立项批准文号：</w:t>
      </w:r>
      <w:r>
        <w:rPr>
          <w:rFonts w:hint="eastAsia" w:ascii="宋体" w:hAnsi="宋体" w:eastAsia="宋体" w:cs="宋体"/>
          <w:color w:val="auto"/>
          <w:sz w:val="21"/>
          <w:szCs w:val="21"/>
          <w:highlight w:val="none"/>
          <w:u w:val="single"/>
          <w:lang w:val="en-US" w:eastAsia="zh-CN"/>
        </w:rPr>
        <w:t>南川发改委发〔2025〕303号</w:t>
      </w:r>
    </w:p>
    <w:p w14:paraId="49930CD1">
      <w:pPr>
        <w:keepNext w:val="0"/>
        <w:keepLines w:val="0"/>
        <w:pageBreakBefore w:val="0"/>
        <w:widowControl/>
        <w:kinsoku/>
        <w:wordWrap/>
        <w:overflowPunct/>
        <w:topLinePunct w:val="0"/>
        <w:bidi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4.资金来源：</w:t>
      </w:r>
      <w:r>
        <w:rPr>
          <w:rFonts w:hint="eastAsia" w:ascii="宋体" w:hAnsi="宋体" w:eastAsia="宋体" w:cs="宋体"/>
          <w:bCs/>
          <w:color w:val="auto"/>
          <w:sz w:val="21"/>
          <w:szCs w:val="21"/>
          <w:highlight w:val="none"/>
          <w:u w:val="single"/>
          <w:lang w:val="en-US" w:eastAsia="zh-CN"/>
        </w:rPr>
        <w:t>南川区2025年衔接推进乡村振兴补助资金</w:t>
      </w:r>
      <w:r>
        <w:rPr>
          <w:rFonts w:hint="eastAsia" w:ascii="宋体" w:hAnsi="宋体" w:eastAsia="宋体" w:cs="宋体"/>
          <w:color w:val="auto"/>
          <w:sz w:val="21"/>
          <w:szCs w:val="21"/>
          <w:highlight w:val="none"/>
        </w:rPr>
        <w:t>。</w:t>
      </w:r>
    </w:p>
    <w:p w14:paraId="014FDE11">
      <w:pPr>
        <w:keepNext w:val="0"/>
        <w:keepLines w:val="0"/>
        <w:pageBreakBefore w:val="0"/>
        <w:widowControl/>
        <w:kinsoku/>
        <w:wordWrap/>
        <w:overflowPunct/>
        <w:topLinePunct w:val="0"/>
        <w:bidi w:val="0"/>
        <w:spacing w:line="360" w:lineRule="auto"/>
        <w:ind w:firstLine="420" w:firstLineChars="200"/>
        <w:textAlignment w:val="baseline"/>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5.工程内容：</w:t>
      </w:r>
      <w:r>
        <w:rPr>
          <w:rFonts w:hint="eastAsia" w:ascii="宋体" w:hAnsi="宋体" w:eastAsia="宋体" w:cs="宋体"/>
          <w:bCs/>
          <w:color w:val="auto"/>
          <w:sz w:val="21"/>
          <w:szCs w:val="21"/>
          <w:highlight w:val="none"/>
          <w:u w:val="single"/>
          <w:lang w:val="en-US" w:eastAsia="zh-CN"/>
        </w:rPr>
        <w:t>本项目包括给水管网及其配套设施安装，其中：安装供水管道60.4Km；安装D108*4涂塑钢管2300m、dn90PE管（1.6Mpa）2320m、dn75PE管（1.6Mpa）4360m、dn63PPR管（1.6Mpa）6040m、dn50PPR管（1.6Mpa）5990m、dn32PPR管（1.6Mpa）11230m、dn20PPR管（1.6Mpa）28160m、安装远传式水表300块、新建阀门井103座、新建水表井112座、新建 4m³减压水箱11座以及配套附属设施等。；</w:t>
      </w:r>
      <w:r>
        <w:rPr>
          <w:rFonts w:hint="eastAsia" w:ascii="宋体" w:hAnsi="宋体" w:eastAsia="宋体" w:cs="宋体"/>
          <w:bCs/>
          <w:color w:val="auto"/>
          <w:sz w:val="21"/>
          <w:szCs w:val="21"/>
          <w:highlight w:val="none"/>
          <w:u w:val="single"/>
          <w:lang w:eastAsia="zh-CN"/>
        </w:rPr>
        <w:t>该工程中所需的</w:t>
      </w:r>
      <w:r>
        <w:rPr>
          <w:rFonts w:hint="eastAsia" w:ascii="宋体" w:hAnsi="宋体" w:eastAsia="宋体" w:cs="宋体"/>
          <w:bCs/>
          <w:color w:val="auto"/>
          <w:sz w:val="21"/>
          <w:szCs w:val="21"/>
          <w:highlight w:val="none"/>
          <w:u w:val="single"/>
          <w:lang w:val="en-US" w:eastAsia="zh-CN"/>
        </w:rPr>
        <w:t>DN15远传</w:t>
      </w:r>
      <w:r>
        <w:rPr>
          <w:rFonts w:hint="eastAsia" w:ascii="宋体" w:hAnsi="宋体" w:eastAsia="宋体" w:cs="宋体"/>
          <w:bCs/>
          <w:color w:val="auto"/>
          <w:sz w:val="21"/>
          <w:szCs w:val="21"/>
          <w:highlight w:val="none"/>
          <w:u w:val="single"/>
          <w:lang w:eastAsia="zh-CN"/>
        </w:rPr>
        <w:t>水表由甲方提供外，其他材料全部纳入乙方工程费用中，由乙方提供。</w:t>
      </w:r>
    </w:p>
    <w:p w14:paraId="2C84E200">
      <w:pPr>
        <w:keepNext w:val="0"/>
        <w:keepLines w:val="0"/>
        <w:pageBreakBefore w:val="0"/>
        <w:widowControl/>
        <w:tabs>
          <w:tab w:val="left" w:pos="3840"/>
          <w:tab w:val="left" w:pos="5300"/>
        </w:tabs>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rPr>
        <w:t>6.工程承包范围：</w:t>
      </w:r>
      <w:r>
        <w:rPr>
          <w:rFonts w:hint="eastAsia" w:ascii="宋体" w:hAnsi="宋体" w:eastAsia="宋体" w:cs="宋体"/>
          <w:bCs/>
          <w:color w:val="auto"/>
          <w:sz w:val="21"/>
          <w:szCs w:val="21"/>
          <w:highlight w:val="none"/>
          <w:u w:val="single"/>
          <w:lang w:val="en-US" w:eastAsia="zh-CN"/>
        </w:rPr>
        <w:t>本次招标活动所提供的施工设计图所示范围的全部内容以及发包人提供的工程量清单、答疑资料、澄清资料、其他补遗资料等相关内容</w:t>
      </w:r>
      <w:r>
        <w:rPr>
          <w:rFonts w:hint="eastAsia" w:ascii="宋体" w:hAnsi="宋体" w:eastAsia="宋体" w:cs="宋体"/>
          <w:bCs/>
          <w:color w:val="auto"/>
          <w:sz w:val="21"/>
          <w:szCs w:val="21"/>
          <w:highlight w:val="none"/>
          <w:u w:val="none"/>
          <w:lang w:val="en-US" w:eastAsia="zh-CN"/>
        </w:rPr>
        <w:t>。</w:t>
      </w:r>
    </w:p>
    <w:p w14:paraId="72AB299E">
      <w:pPr>
        <w:pageBreakBefore w:val="0"/>
        <w:kinsoku/>
        <w:overflowPunct/>
        <w:topLinePunct w:val="0"/>
        <w:bidi w:val="0"/>
        <w:snapToGrid w:val="0"/>
        <w:spacing w:line="360" w:lineRule="auto"/>
        <w:ind w:firstLine="422" w:firstLineChars="200"/>
        <w:jc w:val="left"/>
        <w:rPr>
          <w:rFonts w:hint="eastAsia" w:ascii="宋体" w:hAnsi="宋体" w:cs="宋体"/>
          <w:b/>
          <w:color w:val="auto"/>
          <w:sz w:val="21"/>
          <w:szCs w:val="21"/>
          <w:highlight w:val="none"/>
          <w:lang w:val="zh-CN" w:eastAsia="zh-CN"/>
        </w:rPr>
      </w:pPr>
      <w:bookmarkStart w:id="1" w:name="_Toc33183535"/>
      <w:r>
        <w:rPr>
          <w:rFonts w:hint="eastAsia" w:ascii="宋体" w:hAnsi="宋体" w:cs="宋体"/>
          <w:b/>
          <w:color w:val="auto"/>
          <w:sz w:val="21"/>
          <w:szCs w:val="21"/>
          <w:highlight w:val="none"/>
          <w:lang w:val="zh-CN" w:eastAsia="zh-CN"/>
        </w:rPr>
        <w:t>二、合同工期</w:t>
      </w:r>
      <w:bookmarkEnd w:id="1"/>
    </w:p>
    <w:p w14:paraId="55DD1E98">
      <w:pPr>
        <w:keepNext w:val="0"/>
        <w:keepLines w:val="0"/>
        <w:pageBreakBefore w:val="0"/>
        <w:widowControl/>
        <w:kinsoku/>
        <w:wordWrap/>
        <w:overflowPunct/>
        <w:topLinePunct w:val="0"/>
        <w:bidi w:val="0"/>
        <w:snapToGrid w:val="0"/>
        <w:spacing w:line="360" w:lineRule="auto"/>
        <w:ind w:firstLine="420" w:firstLineChars="200"/>
        <w:textAlignment w:val="baseline"/>
        <w:rPr>
          <w:rFonts w:hint="default" w:ascii="宋体" w:hAnsi="宋体" w:eastAsia="宋体" w:cs="宋体"/>
          <w:bCs/>
          <w:color w:val="auto"/>
          <w:sz w:val="21"/>
          <w:szCs w:val="21"/>
          <w:highlight w:val="none"/>
        </w:rPr>
      </w:pPr>
      <w:r>
        <w:rPr>
          <w:rFonts w:hint="default" w:ascii="宋体" w:hAnsi="宋体" w:eastAsia="宋体" w:cs="宋体"/>
          <w:bCs/>
          <w:color w:val="auto"/>
          <w:sz w:val="21"/>
          <w:szCs w:val="21"/>
          <w:highlight w:val="none"/>
        </w:rPr>
        <w:t>承包人投标函中承诺的工期总日历天数</w:t>
      </w:r>
      <w:r>
        <w:rPr>
          <w:rFonts w:hint="default" w:ascii="宋体" w:hAnsi="宋体" w:eastAsia="宋体" w:cs="宋体"/>
          <w:bCs/>
          <w:color w:val="auto"/>
          <w:sz w:val="21"/>
          <w:szCs w:val="21"/>
          <w:highlight w:val="none"/>
          <w:u w:val="none"/>
        </w:rPr>
        <w:t>：</w:t>
      </w:r>
      <w:r>
        <w:rPr>
          <w:rFonts w:hint="default" w:ascii="宋体" w:hAnsi="宋体" w:eastAsia="宋体" w:cs="宋体"/>
          <w:bCs/>
          <w:color w:val="auto"/>
          <w:sz w:val="21"/>
          <w:szCs w:val="21"/>
          <w:highlight w:val="none"/>
          <w:u w:val="single"/>
          <w:lang w:val="en-US" w:eastAsia="zh-CN"/>
        </w:rPr>
        <w:t xml:space="preserve">     </w:t>
      </w:r>
      <w:r>
        <w:rPr>
          <w:rFonts w:hint="default" w:ascii="宋体" w:hAnsi="宋体" w:eastAsia="宋体" w:cs="宋体"/>
          <w:bCs/>
          <w:color w:val="auto"/>
          <w:sz w:val="21"/>
          <w:szCs w:val="21"/>
          <w:highlight w:val="none"/>
        </w:rPr>
        <w:t>日历天。</w:t>
      </w:r>
    </w:p>
    <w:p w14:paraId="57FDCF4B">
      <w:pPr>
        <w:keepNext w:val="0"/>
        <w:keepLines w:val="0"/>
        <w:pageBreakBefore w:val="0"/>
        <w:widowControl/>
        <w:kinsoku/>
        <w:wordWrap/>
        <w:overflowPunct/>
        <w:topLinePunct w:val="0"/>
        <w:bidi w:val="0"/>
        <w:snapToGrid w:val="0"/>
        <w:spacing w:line="360" w:lineRule="auto"/>
        <w:ind w:firstLine="420" w:firstLineChars="200"/>
        <w:textAlignment w:val="baseline"/>
        <w:rPr>
          <w:rFonts w:hint="default" w:ascii="宋体" w:hAnsi="宋体" w:eastAsia="宋体" w:cs="宋体"/>
          <w:bCs/>
          <w:color w:val="auto"/>
          <w:sz w:val="21"/>
          <w:szCs w:val="21"/>
          <w:highlight w:val="none"/>
        </w:rPr>
      </w:pPr>
      <w:r>
        <w:rPr>
          <w:rFonts w:hint="default" w:ascii="宋体" w:hAnsi="宋体" w:eastAsia="宋体" w:cs="宋体"/>
          <w:bCs/>
          <w:color w:val="auto"/>
          <w:sz w:val="21"/>
          <w:szCs w:val="21"/>
          <w:highlight w:val="none"/>
        </w:rPr>
        <w:t>工期总日历天数与根据下述计划开工完工（竣工）日期计算的工期天数不一致的，以工期总日历天数为准。</w:t>
      </w:r>
    </w:p>
    <w:p w14:paraId="11D3F6EB">
      <w:pPr>
        <w:keepNext w:val="0"/>
        <w:keepLines w:val="0"/>
        <w:pageBreakBefore w:val="0"/>
        <w:widowControl/>
        <w:kinsoku/>
        <w:wordWrap/>
        <w:overflowPunct/>
        <w:topLinePunct w:val="0"/>
        <w:bidi w:val="0"/>
        <w:snapToGrid w:val="0"/>
        <w:spacing w:line="360" w:lineRule="auto"/>
        <w:ind w:firstLine="420" w:firstLineChars="200"/>
        <w:textAlignment w:val="baseline"/>
        <w:rPr>
          <w:rFonts w:hint="default" w:ascii="宋体" w:hAnsi="宋体" w:eastAsia="宋体" w:cs="宋体"/>
          <w:bCs/>
          <w:color w:val="auto"/>
          <w:sz w:val="21"/>
          <w:szCs w:val="21"/>
          <w:highlight w:val="none"/>
        </w:rPr>
      </w:pPr>
      <w:r>
        <w:rPr>
          <w:rFonts w:hint="default" w:ascii="宋体" w:hAnsi="宋体" w:eastAsia="宋体" w:cs="宋体"/>
          <w:bCs/>
          <w:color w:val="auto"/>
          <w:sz w:val="21"/>
          <w:szCs w:val="21"/>
          <w:highlight w:val="none"/>
        </w:rPr>
        <w:t>计划开工日期：</w:t>
      </w:r>
      <w:r>
        <w:rPr>
          <w:rFonts w:hint="default" w:ascii="宋体" w:hAnsi="宋体" w:eastAsia="宋体" w:cs="宋体"/>
          <w:bCs/>
          <w:color w:val="auto"/>
          <w:sz w:val="21"/>
          <w:szCs w:val="21"/>
          <w:highlight w:val="none"/>
          <w:u w:val="single"/>
          <w:lang w:val="en-US" w:eastAsia="zh-CN"/>
        </w:rPr>
        <w:t xml:space="preserve">    </w:t>
      </w:r>
      <w:r>
        <w:rPr>
          <w:rFonts w:hint="default" w:ascii="宋体" w:hAnsi="宋体" w:eastAsia="宋体" w:cs="宋体"/>
          <w:bCs/>
          <w:color w:val="auto"/>
          <w:sz w:val="21"/>
          <w:szCs w:val="21"/>
          <w:highlight w:val="none"/>
        </w:rPr>
        <w:t>年</w:t>
      </w:r>
      <w:r>
        <w:rPr>
          <w:rFonts w:hint="default" w:ascii="宋体" w:hAnsi="宋体" w:eastAsia="宋体" w:cs="宋体"/>
          <w:bCs/>
          <w:color w:val="auto"/>
          <w:sz w:val="21"/>
          <w:szCs w:val="21"/>
          <w:highlight w:val="none"/>
          <w:u w:val="single"/>
          <w:lang w:val="en-US" w:eastAsia="zh-CN"/>
        </w:rPr>
        <w:t xml:space="preserve">   </w:t>
      </w:r>
      <w:r>
        <w:rPr>
          <w:rFonts w:hint="default" w:ascii="宋体" w:hAnsi="宋体" w:eastAsia="宋体" w:cs="宋体"/>
          <w:bCs/>
          <w:color w:val="auto"/>
          <w:sz w:val="21"/>
          <w:szCs w:val="21"/>
          <w:highlight w:val="none"/>
        </w:rPr>
        <w:t>月</w:t>
      </w:r>
      <w:r>
        <w:rPr>
          <w:rFonts w:hint="default" w:ascii="宋体" w:hAnsi="宋体" w:eastAsia="宋体" w:cs="宋体"/>
          <w:bCs/>
          <w:color w:val="auto"/>
          <w:sz w:val="21"/>
          <w:szCs w:val="21"/>
          <w:highlight w:val="none"/>
          <w:u w:val="single"/>
          <w:lang w:val="en-US" w:eastAsia="zh-CN"/>
        </w:rPr>
        <w:t xml:space="preserve">    </w:t>
      </w:r>
      <w:r>
        <w:rPr>
          <w:rFonts w:hint="default" w:ascii="宋体" w:hAnsi="宋体" w:eastAsia="宋体" w:cs="宋体"/>
          <w:bCs/>
          <w:color w:val="auto"/>
          <w:sz w:val="21"/>
          <w:szCs w:val="21"/>
          <w:highlight w:val="none"/>
        </w:rPr>
        <w:t>日，实际开工日期以监理人发出的工程开工通知中明确的开工日期为准。</w:t>
      </w:r>
    </w:p>
    <w:p w14:paraId="178EB65F">
      <w:pPr>
        <w:pageBreakBefore w:val="0"/>
        <w:kinsoku/>
        <w:overflowPunct/>
        <w:topLinePunct w:val="0"/>
        <w:bidi w:val="0"/>
        <w:snapToGrid w:val="0"/>
        <w:spacing w:line="360" w:lineRule="auto"/>
        <w:ind w:firstLine="420" w:firstLineChars="200"/>
        <w:jc w:val="left"/>
        <w:rPr>
          <w:rFonts w:hint="default" w:ascii="宋体" w:hAnsi="宋体" w:cs="宋体"/>
          <w:b/>
          <w:color w:val="auto"/>
          <w:sz w:val="21"/>
          <w:szCs w:val="21"/>
          <w:highlight w:val="none"/>
          <w:lang w:val="zh-CN" w:eastAsia="zh-CN"/>
        </w:rPr>
      </w:pPr>
      <w:r>
        <w:rPr>
          <w:rFonts w:hint="default" w:ascii="宋体" w:hAnsi="宋体" w:eastAsia="宋体" w:cs="宋体"/>
          <w:bCs/>
          <w:color w:val="auto"/>
          <w:sz w:val="21"/>
          <w:szCs w:val="21"/>
          <w:highlight w:val="none"/>
        </w:rPr>
        <w:t>计划完工（竣工）日期：</w:t>
      </w:r>
      <w:r>
        <w:rPr>
          <w:rFonts w:hint="default" w:ascii="宋体" w:hAnsi="宋体" w:eastAsia="宋体" w:cs="宋体"/>
          <w:bCs/>
          <w:color w:val="auto"/>
          <w:sz w:val="21"/>
          <w:szCs w:val="21"/>
          <w:highlight w:val="none"/>
          <w:u w:val="single"/>
          <w:lang w:val="en-US" w:eastAsia="zh-CN"/>
        </w:rPr>
        <w:t xml:space="preserve">    </w:t>
      </w:r>
      <w:r>
        <w:rPr>
          <w:rFonts w:hint="default" w:ascii="宋体" w:hAnsi="宋体" w:eastAsia="宋体" w:cs="宋体"/>
          <w:bCs/>
          <w:color w:val="auto"/>
          <w:sz w:val="21"/>
          <w:szCs w:val="21"/>
          <w:highlight w:val="none"/>
        </w:rPr>
        <w:t>年</w:t>
      </w:r>
      <w:r>
        <w:rPr>
          <w:rFonts w:hint="default" w:ascii="宋体" w:hAnsi="宋体" w:eastAsia="宋体" w:cs="宋体"/>
          <w:bCs/>
          <w:color w:val="auto"/>
          <w:sz w:val="21"/>
          <w:szCs w:val="21"/>
          <w:highlight w:val="none"/>
          <w:u w:val="single"/>
          <w:lang w:val="en-US" w:eastAsia="zh-CN"/>
        </w:rPr>
        <w:t xml:space="preserve">    </w:t>
      </w:r>
      <w:r>
        <w:rPr>
          <w:rFonts w:hint="default" w:ascii="宋体" w:hAnsi="宋体" w:eastAsia="宋体" w:cs="宋体"/>
          <w:bCs/>
          <w:color w:val="auto"/>
          <w:sz w:val="21"/>
          <w:szCs w:val="21"/>
          <w:highlight w:val="none"/>
        </w:rPr>
        <w:t>月</w:t>
      </w:r>
      <w:r>
        <w:rPr>
          <w:rFonts w:hint="default" w:ascii="宋体" w:hAnsi="宋体" w:eastAsia="宋体" w:cs="宋体"/>
          <w:bCs/>
          <w:color w:val="auto"/>
          <w:sz w:val="21"/>
          <w:szCs w:val="21"/>
          <w:highlight w:val="none"/>
          <w:u w:val="single"/>
          <w:lang w:val="en-US" w:eastAsia="zh-CN"/>
        </w:rPr>
        <w:t xml:space="preserve">    </w:t>
      </w:r>
      <w:r>
        <w:rPr>
          <w:rFonts w:hint="default" w:ascii="宋体" w:hAnsi="宋体" w:eastAsia="宋体" w:cs="宋体"/>
          <w:bCs/>
          <w:color w:val="auto"/>
          <w:sz w:val="21"/>
          <w:szCs w:val="21"/>
          <w:highlight w:val="none"/>
        </w:rPr>
        <w:t>日，实际完工日期以合同工程完工证书中写明的日</w:t>
      </w:r>
      <w:r>
        <w:rPr>
          <w:rFonts w:hint="default" w:ascii="宋体" w:hAnsi="宋体" w:cs="宋体"/>
          <w:b w:val="0"/>
          <w:bCs/>
          <w:color w:val="auto"/>
          <w:sz w:val="21"/>
          <w:szCs w:val="21"/>
          <w:highlight w:val="none"/>
          <w:lang w:val="zh-CN" w:eastAsia="zh-CN"/>
        </w:rPr>
        <w:t>期为准。</w:t>
      </w:r>
    </w:p>
    <w:p w14:paraId="6C1F9C89">
      <w:pPr>
        <w:pageBreakBefore w:val="0"/>
        <w:kinsoku/>
        <w:overflowPunct/>
        <w:topLinePunct w:val="0"/>
        <w:bidi w:val="0"/>
        <w:snapToGrid w:val="0"/>
        <w:spacing w:line="360" w:lineRule="auto"/>
        <w:ind w:firstLine="422" w:firstLineChars="200"/>
        <w:jc w:val="left"/>
        <w:rPr>
          <w:rFonts w:hint="eastAsia" w:ascii="宋体" w:hAnsi="宋体" w:cs="宋体"/>
          <w:b/>
          <w:color w:val="auto"/>
          <w:sz w:val="21"/>
          <w:szCs w:val="21"/>
          <w:highlight w:val="none"/>
          <w:lang w:val="zh-CN" w:eastAsia="zh-CN"/>
        </w:rPr>
      </w:pPr>
      <w:bookmarkStart w:id="2" w:name="_Toc33183536"/>
      <w:r>
        <w:rPr>
          <w:rFonts w:hint="eastAsia" w:ascii="宋体" w:hAnsi="宋体" w:cs="宋体"/>
          <w:b/>
          <w:color w:val="auto"/>
          <w:sz w:val="21"/>
          <w:szCs w:val="21"/>
          <w:highlight w:val="none"/>
          <w:lang w:val="zh-CN" w:eastAsia="zh-CN"/>
        </w:rPr>
        <w:t>三、质量标准</w:t>
      </w:r>
      <w:bookmarkEnd w:id="2"/>
    </w:p>
    <w:p w14:paraId="3D50CF79">
      <w:pPr>
        <w:keepNext w:val="0"/>
        <w:keepLines w:val="0"/>
        <w:pageBreakBefore w:val="0"/>
        <w:widowControl/>
        <w:kinsoku/>
        <w:wordWrap/>
        <w:overflowPunct/>
        <w:topLinePunct w:val="0"/>
        <w:bidi w:val="0"/>
        <w:snapToGrid w:val="0"/>
        <w:spacing w:line="360" w:lineRule="auto"/>
        <w:ind w:firstLine="420" w:firstLineChars="200"/>
        <w:textAlignment w:val="baseline"/>
        <w:rPr>
          <w:rFonts w:hint="default" w:ascii="宋体" w:hAnsi="宋体" w:eastAsia="宋体" w:cs="宋体"/>
          <w:bCs/>
          <w:color w:val="auto"/>
          <w:sz w:val="21"/>
          <w:szCs w:val="21"/>
          <w:highlight w:val="none"/>
        </w:rPr>
      </w:pPr>
      <w:r>
        <w:rPr>
          <w:rFonts w:hint="default" w:ascii="宋体" w:hAnsi="宋体" w:eastAsia="宋体" w:cs="宋体"/>
          <w:bCs/>
          <w:color w:val="auto"/>
          <w:sz w:val="21"/>
          <w:szCs w:val="21"/>
          <w:highlight w:val="none"/>
        </w:rPr>
        <w:t>工程质量符合强制性质量标准</w:t>
      </w:r>
      <w:r>
        <w:rPr>
          <w:rFonts w:hint="eastAsia" w:ascii="宋体" w:hAnsi="宋体" w:eastAsia="宋体" w:cs="宋体"/>
          <w:bCs/>
          <w:color w:val="auto"/>
          <w:sz w:val="21"/>
          <w:szCs w:val="21"/>
          <w:highlight w:val="none"/>
          <w:lang w:eastAsia="zh-CN"/>
        </w:rPr>
        <w:t>：</w:t>
      </w:r>
      <w:r>
        <w:rPr>
          <w:rFonts w:hint="default" w:ascii="宋体" w:hAnsi="宋体" w:eastAsia="宋体" w:cs="宋体"/>
          <w:bCs/>
          <w:color w:val="auto"/>
          <w:sz w:val="21"/>
          <w:szCs w:val="21"/>
          <w:highlight w:val="none"/>
          <w:u w:val="single"/>
        </w:rPr>
        <w:t>符合国家和重庆市现行有关施工质量验收规范要求，并达到合格标准</w:t>
      </w:r>
      <w:r>
        <w:rPr>
          <w:rFonts w:hint="default" w:ascii="宋体" w:hAnsi="宋体" w:eastAsia="宋体" w:cs="宋体"/>
          <w:bCs/>
          <w:color w:val="auto"/>
          <w:sz w:val="21"/>
          <w:szCs w:val="21"/>
          <w:highlight w:val="none"/>
        </w:rPr>
        <w:t>。</w:t>
      </w:r>
    </w:p>
    <w:p w14:paraId="1A7D09A0">
      <w:pPr>
        <w:keepNext/>
        <w:keepLines/>
        <w:pageBreakBefore w:val="0"/>
        <w:kinsoku/>
        <w:overflowPunct/>
        <w:topLinePunct w:val="0"/>
        <w:bidi w:val="0"/>
        <w:snapToGrid w:val="0"/>
        <w:spacing w:line="360" w:lineRule="auto"/>
        <w:ind w:firstLine="422" w:firstLineChars="200"/>
        <w:outlineLvl w:val="3"/>
        <w:rPr>
          <w:rFonts w:hint="eastAsia" w:ascii="宋体" w:hAnsi="宋体" w:eastAsia="宋体" w:cs="宋体"/>
          <w:b/>
          <w:bCs/>
          <w:color w:val="auto"/>
          <w:szCs w:val="21"/>
          <w:highlight w:val="none"/>
          <w:lang w:val="en-US" w:eastAsia="zh-CN"/>
        </w:rPr>
      </w:pPr>
      <w:bookmarkStart w:id="3" w:name="_Toc33183537"/>
      <w:r>
        <w:rPr>
          <w:rFonts w:hint="eastAsia" w:ascii="宋体" w:hAnsi="宋体" w:cs="宋体"/>
          <w:b/>
          <w:bCs/>
          <w:color w:val="auto"/>
          <w:szCs w:val="21"/>
          <w:highlight w:val="none"/>
          <w:lang w:val="zh-CN"/>
        </w:rPr>
        <w:t>四、签约合同价与合同价格形式</w:t>
      </w:r>
      <w:bookmarkEnd w:id="3"/>
      <w:r>
        <w:rPr>
          <w:rFonts w:hint="eastAsia" w:ascii="宋体" w:hAnsi="宋体" w:cs="宋体"/>
          <w:b/>
          <w:bCs/>
          <w:color w:val="auto"/>
          <w:szCs w:val="21"/>
          <w:highlight w:val="none"/>
          <w:lang w:val="zh-CN"/>
        </w:rPr>
        <w:tab/>
      </w:r>
    </w:p>
    <w:p w14:paraId="66CCCE17">
      <w:pPr>
        <w:pageBreakBefore w:val="0"/>
        <w:kinsoku/>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1.承包人投标函中承诺的中标价为：</w:t>
      </w:r>
    </w:p>
    <w:p w14:paraId="0F818CF8">
      <w:pPr>
        <w:pageBreakBefore w:val="0"/>
        <w:kinsoku/>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元）；</w:t>
      </w:r>
    </w:p>
    <w:p w14:paraId="77A79D95">
      <w:pPr>
        <w:pageBreakBefore w:val="0"/>
        <w:kinsoku/>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2.签约合同价为：</w:t>
      </w:r>
    </w:p>
    <w:p w14:paraId="4CB5C7DE">
      <w:pPr>
        <w:pageBreakBefore w:val="0"/>
        <w:kinsoku/>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元）；</w:t>
      </w:r>
    </w:p>
    <w:p w14:paraId="10A3BBFD">
      <w:pPr>
        <w:pageBreakBefore w:val="0"/>
        <w:kinsoku/>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其中：</w:t>
      </w:r>
    </w:p>
    <w:p w14:paraId="10AD4D1D">
      <w:pPr>
        <w:pageBreakBefore w:val="0"/>
        <w:kinsoku/>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（1）安全生产费：</w:t>
      </w:r>
    </w:p>
    <w:p w14:paraId="4FEF2EE3">
      <w:pPr>
        <w:pageBreakBefore w:val="0"/>
        <w:kinsoku/>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r>
        <w:rPr>
          <w:rStyle w:val="10"/>
          <w:rFonts w:hint="eastAsia" w:ascii="宋体" w:hAnsi="宋体"/>
          <w:color w:val="auto"/>
          <w:kern w:val="0"/>
          <w:szCs w:val="21"/>
          <w:highlight w:val="none"/>
          <w:u w:val="single"/>
          <w:lang w:val="en-US" w:eastAsia="zh-CN"/>
        </w:rPr>
        <w:t xml:space="preserve">                    </w:t>
      </w:r>
      <w:r>
        <w:rPr>
          <w:rFonts w:hint="eastAsia" w:ascii="宋体" w:hAnsi="宋体" w:cs="宋体"/>
          <w:color w:val="auto"/>
          <w:szCs w:val="21"/>
          <w:highlight w:val="none"/>
        </w:rPr>
        <w:t>元）；</w:t>
      </w:r>
    </w:p>
    <w:p w14:paraId="4414720D">
      <w:pPr>
        <w:pageBreakBefore w:val="0"/>
        <w:kinsoku/>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3.合同价格形式：</w:t>
      </w:r>
      <w:r>
        <w:rPr>
          <w:rFonts w:hint="eastAsia" w:ascii="宋体" w:hAnsi="宋体" w:cs="宋体"/>
          <w:b w:val="0"/>
          <w:bCs/>
          <w:color w:val="auto"/>
          <w:sz w:val="21"/>
          <w:szCs w:val="21"/>
          <w:highlight w:val="none"/>
          <w:u w:val="single"/>
          <w:lang w:val="en-US" w:eastAsia="zh-CN"/>
        </w:rPr>
        <w:t xml:space="preserve"> 固定单价合同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AE0C286">
      <w:pPr>
        <w:keepNext/>
        <w:keepLines/>
        <w:pageBreakBefore w:val="0"/>
        <w:kinsoku/>
        <w:overflowPunct/>
        <w:topLinePunct w:val="0"/>
        <w:bidi w:val="0"/>
        <w:snapToGrid w:val="0"/>
        <w:spacing w:line="360" w:lineRule="auto"/>
        <w:ind w:firstLine="422" w:firstLineChars="200"/>
        <w:outlineLvl w:val="3"/>
        <w:rPr>
          <w:rFonts w:ascii="宋体" w:hAnsi="宋体" w:cs="宋体"/>
          <w:b/>
          <w:bCs/>
          <w:color w:val="auto"/>
          <w:szCs w:val="21"/>
          <w:highlight w:val="none"/>
          <w:lang w:val="zh-CN"/>
        </w:rPr>
      </w:pPr>
      <w:bookmarkStart w:id="4" w:name="_Toc33183538"/>
      <w:r>
        <w:rPr>
          <w:rFonts w:hint="eastAsia" w:ascii="宋体" w:hAnsi="宋体" w:cs="宋体"/>
          <w:b/>
          <w:bCs/>
          <w:color w:val="auto"/>
          <w:szCs w:val="21"/>
          <w:highlight w:val="none"/>
          <w:lang w:val="zh-CN"/>
        </w:rPr>
        <w:t>五、项目经理及技术负责人</w:t>
      </w:r>
      <w:bookmarkEnd w:id="4"/>
    </w:p>
    <w:p w14:paraId="4CD05496">
      <w:pPr>
        <w:pageBreakBefore w:val="0"/>
        <w:kinsoku/>
        <w:overflowPunct/>
        <w:topLinePunct w:val="0"/>
        <w:bidi w:val="0"/>
        <w:snapToGrid w:val="0"/>
        <w:spacing w:line="360" w:lineRule="auto"/>
        <w:ind w:firstLine="420" w:firstLineChars="200"/>
        <w:rPr>
          <w:rFonts w:ascii="宋体" w:hAnsi="宋体" w:cs="宋体"/>
          <w:color w:val="auto"/>
          <w:szCs w:val="21"/>
          <w:highlight w:val="none"/>
        </w:rPr>
      </w:pPr>
      <w:bookmarkStart w:id="5" w:name="_Toc33183539"/>
      <w:r>
        <w:rPr>
          <w:rFonts w:hint="eastAsia" w:ascii="宋体" w:hAnsi="宋体" w:cs="宋体"/>
          <w:color w:val="auto"/>
          <w:szCs w:val="21"/>
          <w:highlight w:val="none"/>
        </w:rPr>
        <w:t>1、承包人</w:t>
      </w:r>
      <w:r>
        <w:rPr>
          <w:rFonts w:hint="eastAsia" w:ascii="宋体" w:hAnsi="宋体"/>
          <w:color w:val="auto"/>
          <w:szCs w:val="21"/>
          <w:highlight w:val="none"/>
        </w:rPr>
        <w:t>投标文件中承诺的项目经理</w:t>
      </w:r>
      <w:r>
        <w:rPr>
          <w:rFonts w:hint="eastAsia" w:ascii="宋体" w:hAnsi="宋体" w:cs="宋体"/>
          <w:color w:val="auto"/>
          <w:szCs w:val="21"/>
          <w:highlight w:val="none"/>
        </w:rPr>
        <w:t>：</w:t>
      </w:r>
    </w:p>
    <w:p w14:paraId="2EC02F30">
      <w:pPr>
        <w:pageBreakBefore w:val="0"/>
        <w:kinsoku/>
        <w:overflowPunct/>
        <w:topLinePunct w:val="0"/>
        <w:bidi w:val="0"/>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olor w:val="auto"/>
          <w:highlight w:val="none"/>
          <w:u w:val="single"/>
          <w:lang w:val="en-US" w:eastAsia="zh-CN"/>
        </w:rPr>
        <w:t xml:space="preserve">  </w:t>
      </w:r>
      <w:r>
        <w:rPr>
          <w:rFonts w:ascii="宋体" w:hAnsi="宋体" w:eastAsia="宋体"/>
          <w:color w:val="auto"/>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7ED9F58">
      <w:pPr>
        <w:pageBreakBefore w:val="0"/>
        <w:kinsoku/>
        <w:overflowPunct/>
        <w:topLinePunct w:val="0"/>
        <w:bidi w:val="0"/>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5C93FDD">
      <w:pPr>
        <w:pStyle w:val="6"/>
        <w:keepNext w:val="0"/>
        <w:keepLines w:val="0"/>
        <w:widowControl/>
        <w:suppressLineNumbers w:val="0"/>
        <w:ind w:firstLine="720" w:firstLineChars="300"/>
        <w:rPr>
          <w:rFonts w:ascii="宋体" w:hAnsi="宋体" w:cs="宋体"/>
          <w:color w:val="auto"/>
          <w:szCs w:val="21"/>
          <w:highlight w:val="none"/>
        </w:rPr>
      </w:pPr>
      <w:r>
        <w:rPr>
          <w:rFonts w:hint="eastAsia" w:ascii="宋体" w:hAnsi="宋体" w:cs="宋体"/>
          <w:color w:val="auto"/>
          <w:szCs w:val="21"/>
          <w:highlight w:val="none"/>
        </w:rPr>
        <w:t>建造师注册证书：</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kern w:val="2"/>
          <w:sz w:val="21"/>
          <w:szCs w:val="21"/>
          <w:highlight w:val="none"/>
          <w:u w:val="single"/>
          <w:lang w:val="en-US" w:eastAsia="zh-CN" w:bidi="ar-SA"/>
        </w:rPr>
        <w:t xml:space="preserve"> </w:t>
      </w:r>
      <w:r>
        <w:rPr>
          <w:rFonts w:hint="eastAsia" w:cs="宋体"/>
          <w:color w:val="auto"/>
          <w:kern w:val="2"/>
          <w:sz w:val="21"/>
          <w:szCs w:val="21"/>
          <w:highlight w:val="none"/>
          <w:u w:val="single"/>
          <w:lang w:val="en-US" w:eastAsia="zh-CN" w:bidi="ar-SA"/>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13DDE13D">
      <w:pPr>
        <w:pageBreakBefore w:val="0"/>
        <w:kinsoku/>
        <w:overflowPunct/>
        <w:topLinePunct w:val="0"/>
        <w:bidi w:val="0"/>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2、承包人</w:t>
      </w:r>
      <w:r>
        <w:rPr>
          <w:rFonts w:hint="eastAsia" w:ascii="宋体" w:hAnsi="宋体"/>
          <w:color w:val="auto"/>
          <w:szCs w:val="21"/>
          <w:highlight w:val="none"/>
        </w:rPr>
        <w:t>投标文件中承诺的技术负责人</w:t>
      </w:r>
      <w:r>
        <w:rPr>
          <w:rFonts w:hint="eastAsia" w:ascii="宋体" w:hAnsi="宋体" w:cs="宋体"/>
          <w:color w:val="auto"/>
          <w:szCs w:val="21"/>
          <w:highlight w:val="none"/>
        </w:rPr>
        <w:t>：</w:t>
      </w:r>
    </w:p>
    <w:p w14:paraId="03E00A76">
      <w:pPr>
        <w:pageBreakBefore w:val="0"/>
        <w:kinsoku/>
        <w:overflowPunct/>
        <w:topLinePunct w:val="0"/>
        <w:bidi w:val="0"/>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olor w:val="auto"/>
          <w:kern w:val="0"/>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F2DA4CA">
      <w:pPr>
        <w:pStyle w:val="4"/>
        <w:pageBreakBefore w:val="0"/>
        <w:kinsoku/>
        <w:overflowPunct/>
        <w:topLinePunct w:val="0"/>
        <w:bidi w:val="0"/>
        <w:spacing w:line="360" w:lineRule="auto"/>
        <w:ind w:firstLine="840" w:firstLineChars="400"/>
        <w:rPr>
          <w:rFonts w:ascii="宋体" w:hAnsi="宋体"/>
          <w:color w:val="auto"/>
          <w:szCs w:val="21"/>
          <w:highlight w:val="non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eastAsia="zh-CN"/>
        </w:rPr>
        <w:t>，</w:t>
      </w:r>
      <w:r>
        <w:rPr>
          <w:rFonts w:hint="eastAsia" w:ascii="宋体" w:hAnsi="宋体"/>
          <w:color w:val="auto"/>
          <w:szCs w:val="21"/>
          <w:highlight w:val="none"/>
        </w:rPr>
        <w:t xml:space="preserve"> </w:t>
      </w:r>
    </w:p>
    <w:p w14:paraId="7C7BCB2A">
      <w:pPr>
        <w:pageBreakBefore w:val="0"/>
        <w:kinsoku/>
        <w:overflowPunct/>
        <w:topLinePunct w:val="0"/>
        <w:bidi w:val="0"/>
        <w:snapToGrid w:val="0"/>
        <w:spacing w:line="360" w:lineRule="auto"/>
        <w:ind w:firstLine="840" w:firstLineChars="400"/>
        <w:rPr>
          <w:rFonts w:hint="eastAsia" w:ascii="宋体" w:hAnsi="宋体" w:eastAsia="宋体" w:cs="宋体"/>
          <w:color w:val="auto"/>
          <w:szCs w:val="21"/>
          <w:highlight w:val="none"/>
          <w:lang w:eastAsia="zh-CN"/>
        </w:rPr>
      </w:pPr>
      <w:r>
        <w:rPr>
          <w:rFonts w:hint="eastAsia" w:ascii="宋体" w:hAnsi="宋体"/>
          <w:color w:val="auto"/>
          <w:szCs w:val="21"/>
          <w:highlight w:val="none"/>
        </w:rPr>
        <w:t>证书名称</w:t>
      </w:r>
      <w:r>
        <w:rPr>
          <w:rFonts w:ascii="宋体" w:hAnsi="宋体"/>
          <w:color w:val="auto"/>
          <w:szCs w:val="21"/>
          <w:highlight w:val="none"/>
        </w:rPr>
        <w:t>及号码：</w:t>
      </w:r>
      <w:r>
        <w:rPr>
          <w:rFonts w:ascii="宋体" w:hAnsi="宋体"/>
          <w:color w:val="auto"/>
          <w:szCs w:val="21"/>
          <w:highlight w:val="none"/>
          <w:u w:val="single"/>
        </w:rPr>
        <w:t xml:space="preserve">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u w:val="single"/>
          <w:lang w:val="en-US" w:eastAsia="zh-CN" w:bidi="ar-SA"/>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7D28200B">
      <w:pPr>
        <w:keepNext/>
        <w:keepLines/>
        <w:pageBreakBefore w:val="0"/>
        <w:kinsoku/>
        <w:overflowPunct/>
        <w:topLinePunct w:val="0"/>
        <w:bidi w:val="0"/>
        <w:snapToGrid w:val="0"/>
        <w:spacing w:line="360" w:lineRule="auto"/>
        <w:ind w:firstLine="422" w:firstLineChars="200"/>
        <w:outlineLvl w:val="3"/>
        <w:rPr>
          <w:rFonts w:ascii="宋体" w:hAnsi="宋体" w:cs="宋体"/>
          <w:b/>
          <w:color w:val="auto"/>
          <w:szCs w:val="21"/>
          <w:highlight w:val="none"/>
        </w:rPr>
      </w:pPr>
      <w:r>
        <w:rPr>
          <w:rFonts w:hint="eastAsia" w:ascii="宋体" w:hAnsi="宋体" w:cs="宋体"/>
          <w:b/>
          <w:bCs/>
          <w:color w:val="auto"/>
          <w:szCs w:val="21"/>
          <w:highlight w:val="none"/>
          <w:lang w:val="zh-CN"/>
        </w:rPr>
        <w:t>六、合同文件构成</w:t>
      </w:r>
      <w:bookmarkEnd w:id="5"/>
    </w:p>
    <w:p w14:paraId="5FDA41E1">
      <w:pPr>
        <w:pageBreakBefore w:val="0"/>
        <w:kinsoku/>
        <w:overflowPunct/>
        <w:topLinePunct w:val="0"/>
        <w:bidi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合同由以下文件构成：</w:t>
      </w:r>
    </w:p>
    <w:p w14:paraId="187DF99B">
      <w:pPr>
        <w:pageBreakBefore w:val="0"/>
        <w:kinsoku/>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（1）合同协议书；</w:t>
      </w:r>
    </w:p>
    <w:p w14:paraId="00C193B0">
      <w:pPr>
        <w:pageBreakBefore w:val="0"/>
        <w:kinsoku/>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（2）中标通知书；</w:t>
      </w:r>
    </w:p>
    <w:p w14:paraId="00C39945">
      <w:pPr>
        <w:pageBreakBefore w:val="0"/>
        <w:kinsoku/>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（3）投标函及投标函附录；</w:t>
      </w:r>
    </w:p>
    <w:p w14:paraId="0B9313D2">
      <w:pPr>
        <w:pageBreakBefore w:val="0"/>
        <w:kinsoku/>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（4）专用合同条款及其附件；</w:t>
      </w:r>
    </w:p>
    <w:p w14:paraId="687D1879">
      <w:pPr>
        <w:pageBreakBefore w:val="0"/>
        <w:kinsoku/>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（5）通用合同条款；</w:t>
      </w:r>
    </w:p>
    <w:p w14:paraId="1675572F">
      <w:pPr>
        <w:pageBreakBefore w:val="0"/>
        <w:kinsoku/>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（6）投标文件</w:t>
      </w:r>
      <w:r>
        <w:rPr>
          <w:rFonts w:hint="eastAsia" w:ascii="宋体" w:hAnsi="宋体"/>
          <w:color w:val="auto"/>
          <w:szCs w:val="21"/>
          <w:highlight w:val="none"/>
        </w:rPr>
        <w:t>（投标函及投标函附录除外）</w:t>
      </w:r>
      <w:r>
        <w:rPr>
          <w:rFonts w:hint="eastAsia" w:ascii="宋体" w:hAnsi="宋体" w:cs="宋体"/>
          <w:color w:val="auto"/>
          <w:szCs w:val="21"/>
          <w:highlight w:val="none"/>
        </w:rPr>
        <w:t>；</w:t>
      </w:r>
    </w:p>
    <w:p w14:paraId="6310F1BF">
      <w:pPr>
        <w:pageBreakBefore w:val="0"/>
        <w:kinsoku/>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（7）招标文件及修改文件；</w:t>
      </w:r>
    </w:p>
    <w:p w14:paraId="13F0E5A1">
      <w:pPr>
        <w:pageBreakBefore w:val="0"/>
        <w:kinsoku/>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（8）技术标准和要求；</w:t>
      </w:r>
    </w:p>
    <w:p w14:paraId="79959F55">
      <w:pPr>
        <w:pageBreakBefore w:val="0"/>
        <w:kinsoku/>
        <w:overflowPunct/>
        <w:topLinePunct w:val="0"/>
        <w:bidi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（9）图纸；</w:t>
      </w:r>
    </w:p>
    <w:p w14:paraId="68F826D1">
      <w:pPr>
        <w:pageBreakBefore w:val="0"/>
        <w:kinsoku/>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（10）其他合同文件。</w:t>
      </w:r>
    </w:p>
    <w:p w14:paraId="52ED5E51">
      <w:pPr>
        <w:pageBreakBefore w:val="0"/>
        <w:kinsoku/>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在合同订立、履行过程中形成的与合同有关的书面形式的文件均构成合同文件组成部分。</w:t>
      </w:r>
    </w:p>
    <w:p w14:paraId="217CEBAC">
      <w:pPr>
        <w:pageBreakBefore w:val="0"/>
        <w:kinsoku/>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上述各项合同文件包括合同当事人就该项合同文件所作出的补充和修改，属于同一类内容的文件，应以最新签署的为准。专用合同条款及其附件须经合同当事人签名或盖章。</w:t>
      </w:r>
    </w:p>
    <w:p w14:paraId="44386237">
      <w:pPr>
        <w:keepNext/>
        <w:keepLines/>
        <w:pageBreakBefore w:val="0"/>
        <w:kinsoku/>
        <w:overflowPunct/>
        <w:topLinePunct w:val="0"/>
        <w:bidi w:val="0"/>
        <w:snapToGrid w:val="0"/>
        <w:spacing w:line="360" w:lineRule="auto"/>
        <w:ind w:firstLine="422" w:firstLineChars="200"/>
        <w:outlineLvl w:val="3"/>
        <w:rPr>
          <w:rFonts w:ascii="宋体" w:hAnsi="宋体" w:cs="宋体"/>
          <w:b/>
          <w:bCs/>
          <w:color w:val="auto"/>
          <w:szCs w:val="21"/>
          <w:highlight w:val="none"/>
          <w:lang w:val="zh-CN"/>
        </w:rPr>
      </w:pPr>
      <w:bookmarkStart w:id="6" w:name="_Toc33183540"/>
      <w:r>
        <w:rPr>
          <w:rFonts w:hint="eastAsia" w:ascii="宋体" w:hAnsi="宋体" w:cs="宋体"/>
          <w:b/>
          <w:bCs/>
          <w:color w:val="auto"/>
          <w:szCs w:val="21"/>
          <w:highlight w:val="none"/>
          <w:lang w:val="zh-CN"/>
        </w:rPr>
        <w:t>七、承诺</w:t>
      </w:r>
      <w:bookmarkEnd w:id="6"/>
    </w:p>
    <w:p w14:paraId="0922B593">
      <w:pPr>
        <w:pageBreakBefore w:val="0"/>
        <w:kinsoku/>
        <w:overflowPunct/>
        <w:topLinePunct w:val="0"/>
        <w:bidi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1.发包人承诺按照法律规定履行项目审批手续、筹集工程建设资金并按照合同约定的期限和方式支付合同价款。</w:t>
      </w:r>
    </w:p>
    <w:p w14:paraId="6A0FE826">
      <w:pPr>
        <w:pageBreakBefore w:val="0"/>
        <w:kinsoku/>
        <w:overflowPunct/>
        <w:topLinePunct w:val="0"/>
        <w:bidi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rPr>
        <w:t>承包人承诺按照法律规定及合同约定组织完成工程施工，确保工程质量和安全，不进行转包及违法分包，并在缺陷责任期及保修期内承担相应的工程维修责任</w:t>
      </w:r>
      <w:r>
        <w:rPr>
          <w:rFonts w:hint="eastAsia" w:ascii="宋体" w:hAnsi="宋体" w:cs="宋体"/>
          <w:bCs/>
          <w:color w:val="auto"/>
          <w:szCs w:val="21"/>
          <w:highlight w:val="none"/>
        </w:rPr>
        <w:t>。</w:t>
      </w:r>
    </w:p>
    <w:p w14:paraId="1693371E">
      <w:pPr>
        <w:pageBreakBefore w:val="0"/>
        <w:kinsoku/>
        <w:overflowPunct/>
        <w:topLinePunct w:val="0"/>
        <w:bidi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3.发包人和承包人通过招投标形式签订合同的，双方理解并承诺不再就同一工程另行签订与合同实质性内容相背离的协议。</w:t>
      </w:r>
    </w:p>
    <w:p w14:paraId="30486928">
      <w:pPr>
        <w:keepNext/>
        <w:keepLines/>
        <w:pageBreakBefore w:val="0"/>
        <w:kinsoku/>
        <w:overflowPunct/>
        <w:topLinePunct w:val="0"/>
        <w:bidi w:val="0"/>
        <w:snapToGrid w:val="0"/>
        <w:spacing w:line="360" w:lineRule="auto"/>
        <w:ind w:firstLine="422" w:firstLineChars="200"/>
        <w:outlineLvl w:val="3"/>
        <w:rPr>
          <w:rFonts w:ascii="宋体" w:hAnsi="宋体" w:cs="宋体"/>
          <w:b/>
          <w:bCs/>
          <w:color w:val="auto"/>
          <w:szCs w:val="21"/>
          <w:highlight w:val="none"/>
          <w:lang w:val="zh-CN"/>
        </w:rPr>
      </w:pPr>
      <w:bookmarkStart w:id="7" w:name="_Toc33183541"/>
      <w:r>
        <w:rPr>
          <w:rFonts w:hint="eastAsia" w:ascii="宋体" w:hAnsi="宋体" w:cs="宋体"/>
          <w:b/>
          <w:bCs/>
          <w:color w:val="auto"/>
          <w:szCs w:val="21"/>
          <w:highlight w:val="none"/>
          <w:lang w:val="zh-CN"/>
        </w:rPr>
        <w:t>八、词语含义</w:t>
      </w:r>
      <w:bookmarkEnd w:id="7"/>
    </w:p>
    <w:p w14:paraId="5CADAF08">
      <w:pPr>
        <w:pageBreakBefore w:val="0"/>
        <w:kinsoku/>
        <w:overflowPunct/>
        <w:topLinePunct w:val="0"/>
        <w:bidi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本协议书中词语含义与专用合同条款及通用合同条款中</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赋予的含义相同。</w:t>
      </w:r>
    </w:p>
    <w:p w14:paraId="1514D964">
      <w:pPr>
        <w:keepNext/>
        <w:keepLines/>
        <w:pageBreakBefore w:val="0"/>
        <w:kinsoku/>
        <w:overflowPunct/>
        <w:topLinePunct w:val="0"/>
        <w:bidi w:val="0"/>
        <w:snapToGrid w:val="0"/>
        <w:spacing w:line="360" w:lineRule="auto"/>
        <w:ind w:firstLine="422" w:firstLineChars="200"/>
        <w:outlineLvl w:val="3"/>
        <w:rPr>
          <w:rFonts w:ascii="宋体" w:hAnsi="宋体" w:cs="宋体"/>
          <w:b/>
          <w:bCs/>
          <w:color w:val="auto"/>
          <w:szCs w:val="21"/>
          <w:highlight w:val="none"/>
          <w:lang w:val="zh-CN"/>
        </w:rPr>
      </w:pPr>
      <w:bookmarkStart w:id="8" w:name="_Toc33183542"/>
      <w:r>
        <w:rPr>
          <w:rFonts w:hint="eastAsia" w:ascii="宋体" w:hAnsi="宋体" w:cs="宋体"/>
          <w:b/>
          <w:bCs/>
          <w:color w:val="auto"/>
          <w:szCs w:val="21"/>
          <w:highlight w:val="none"/>
          <w:lang w:val="zh-CN"/>
        </w:rPr>
        <w:t>九、签订时间</w:t>
      </w:r>
      <w:bookmarkEnd w:id="8"/>
    </w:p>
    <w:p w14:paraId="262F7765">
      <w:pPr>
        <w:pageBreakBefore w:val="0"/>
        <w:kinsoku/>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合同于</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rPr>
        <w:t>日签订</w:t>
      </w:r>
    </w:p>
    <w:p w14:paraId="5DC1C625">
      <w:pPr>
        <w:keepNext/>
        <w:keepLines/>
        <w:pageBreakBefore w:val="0"/>
        <w:kinsoku/>
        <w:overflowPunct/>
        <w:topLinePunct w:val="0"/>
        <w:bidi w:val="0"/>
        <w:snapToGrid w:val="0"/>
        <w:spacing w:line="360" w:lineRule="auto"/>
        <w:ind w:firstLine="422" w:firstLineChars="200"/>
        <w:outlineLvl w:val="3"/>
        <w:rPr>
          <w:rFonts w:ascii="宋体" w:hAnsi="宋体" w:cs="宋体"/>
          <w:b/>
          <w:bCs/>
          <w:color w:val="auto"/>
          <w:szCs w:val="21"/>
          <w:highlight w:val="none"/>
          <w:lang w:val="zh-CN"/>
        </w:rPr>
      </w:pPr>
      <w:bookmarkStart w:id="9" w:name="_Toc33183543"/>
      <w:r>
        <w:rPr>
          <w:rFonts w:hint="eastAsia" w:ascii="宋体" w:hAnsi="宋体" w:cs="宋体"/>
          <w:b/>
          <w:bCs/>
          <w:color w:val="auto"/>
          <w:szCs w:val="21"/>
          <w:highlight w:val="none"/>
          <w:lang w:val="zh-CN"/>
        </w:rPr>
        <w:t>十、签订地点</w:t>
      </w:r>
      <w:bookmarkEnd w:id="9"/>
    </w:p>
    <w:p w14:paraId="0480D191">
      <w:pPr>
        <w:pageBreakBefore w:val="0"/>
        <w:kinsoku/>
        <w:overflowPunct/>
        <w:topLinePunct w:val="0"/>
        <w:bidi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合同在</w:t>
      </w:r>
      <w:r>
        <w:rPr>
          <w:rFonts w:hint="eastAsia" w:ascii="宋体" w:hAnsi="宋体" w:cs="宋体"/>
          <w:bCs/>
          <w:color w:val="auto"/>
          <w:szCs w:val="21"/>
          <w:highlight w:val="none"/>
          <w:u w:val="single"/>
        </w:rPr>
        <w:t xml:space="preserve"> </w:t>
      </w:r>
      <w:r>
        <w:rPr>
          <w:rFonts w:hint="eastAsia" w:ascii="宋体" w:hAnsi="宋体" w:eastAsia="宋体" w:cs="宋体"/>
          <w:bCs/>
          <w:color w:val="auto"/>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 xml:space="preserve">重庆市南川区总商会大厦B栋15楼 </w:t>
      </w:r>
      <w:r>
        <w:rPr>
          <w:rFonts w:hint="eastAsia" w:ascii="宋体" w:hAnsi="宋体" w:eastAsia="宋体" w:cs="宋体"/>
          <w:snapToGrid w:val="0"/>
          <w:color w:val="auto"/>
          <w:kern w:val="0"/>
          <w:szCs w:val="21"/>
          <w:highlight w:val="none"/>
          <w:u w:val="single"/>
        </w:rPr>
        <w:t xml:space="preserve"> </w:t>
      </w:r>
      <w:r>
        <w:rPr>
          <w:rFonts w:hint="eastAsia" w:ascii="宋体" w:hAnsi="宋体" w:cs="宋体"/>
          <w:bCs/>
          <w:color w:val="auto"/>
          <w:szCs w:val="21"/>
          <w:highlight w:val="none"/>
        </w:rPr>
        <w:t>签订。</w:t>
      </w:r>
    </w:p>
    <w:p w14:paraId="6E5AA21C">
      <w:pPr>
        <w:keepNext/>
        <w:keepLines/>
        <w:pageBreakBefore w:val="0"/>
        <w:kinsoku/>
        <w:overflowPunct/>
        <w:topLinePunct w:val="0"/>
        <w:bidi w:val="0"/>
        <w:snapToGrid w:val="0"/>
        <w:spacing w:line="360" w:lineRule="auto"/>
        <w:ind w:firstLine="422" w:firstLineChars="200"/>
        <w:outlineLvl w:val="3"/>
        <w:rPr>
          <w:rFonts w:ascii="宋体" w:hAnsi="宋体" w:cs="宋体"/>
          <w:b/>
          <w:bCs/>
          <w:color w:val="auto"/>
          <w:szCs w:val="21"/>
          <w:highlight w:val="none"/>
          <w:lang w:val="zh-CN"/>
        </w:rPr>
      </w:pPr>
      <w:bookmarkStart w:id="10" w:name="_Toc33183544"/>
      <w:r>
        <w:rPr>
          <w:rFonts w:hint="eastAsia" w:ascii="宋体" w:hAnsi="宋体" w:cs="宋体"/>
          <w:b/>
          <w:bCs/>
          <w:color w:val="auto"/>
          <w:szCs w:val="21"/>
          <w:highlight w:val="none"/>
          <w:lang w:val="zh-CN"/>
        </w:rPr>
        <w:t>十一、补充协议</w:t>
      </w:r>
      <w:bookmarkEnd w:id="10"/>
    </w:p>
    <w:p w14:paraId="4959B065">
      <w:pPr>
        <w:pageBreakBefore w:val="0"/>
        <w:kinsoku/>
        <w:overflowPunct/>
        <w:topLinePunct w:val="0"/>
        <w:bidi w:val="0"/>
        <w:snapToGrid w:val="0"/>
        <w:spacing w:line="360" w:lineRule="auto"/>
        <w:ind w:firstLine="420" w:firstLineChars="200"/>
        <w:rPr>
          <w:rFonts w:ascii="宋体" w:hAnsi="宋体" w:cs="宋体"/>
          <w:b/>
          <w:bCs/>
          <w:color w:val="auto"/>
          <w:szCs w:val="21"/>
          <w:highlight w:val="none"/>
        </w:rPr>
      </w:pPr>
      <w:r>
        <w:rPr>
          <w:rFonts w:hint="eastAsia" w:ascii="宋体" w:hAnsi="宋体" w:cs="宋体"/>
          <w:bCs/>
          <w:color w:val="auto"/>
          <w:szCs w:val="21"/>
          <w:highlight w:val="none"/>
        </w:rPr>
        <w:t>合同未尽事宜，合同当事人另行签订补充协议，补充协议是合同的组成部分。</w:t>
      </w:r>
    </w:p>
    <w:p w14:paraId="05ACE31C">
      <w:pPr>
        <w:keepNext/>
        <w:keepLines/>
        <w:pageBreakBefore w:val="0"/>
        <w:kinsoku/>
        <w:overflowPunct/>
        <w:topLinePunct w:val="0"/>
        <w:bidi w:val="0"/>
        <w:snapToGrid w:val="0"/>
        <w:spacing w:line="360" w:lineRule="auto"/>
        <w:ind w:firstLine="422" w:firstLineChars="200"/>
        <w:outlineLvl w:val="3"/>
        <w:rPr>
          <w:rFonts w:ascii="宋体" w:hAnsi="宋体" w:cs="宋体"/>
          <w:b/>
          <w:bCs/>
          <w:color w:val="auto"/>
          <w:szCs w:val="21"/>
          <w:highlight w:val="none"/>
          <w:lang w:val="zh-CN"/>
        </w:rPr>
      </w:pPr>
      <w:bookmarkStart w:id="11" w:name="_Toc33183545"/>
      <w:r>
        <w:rPr>
          <w:rFonts w:hint="eastAsia" w:ascii="宋体" w:hAnsi="宋体" w:cs="宋体"/>
          <w:b/>
          <w:bCs/>
          <w:color w:val="auto"/>
          <w:szCs w:val="21"/>
          <w:highlight w:val="none"/>
          <w:lang w:val="zh-CN"/>
        </w:rPr>
        <w:t>十二、合同生效</w:t>
      </w:r>
      <w:bookmarkEnd w:id="11"/>
    </w:p>
    <w:p w14:paraId="158F15C0">
      <w:pPr>
        <w:pageBreakBefore w:val="0"/>
        <w:kinsoku/>
        <w:overflowPunct/>
        <w:topLinePunct w:val="0"/>
        <w:bidi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合同在以下条件全部满足之后生效：</w:t>
      </w:r>
    </w:p>
    <w:p w14:paraId="25773421">
      <w:pPr>
        <w:pageBreakBefore w:val="0"/>
        <w:kinsoku/>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1.合同</w:t>
      </w:r>
      <w:r>
        <w:rPr>
          <w:rFonts w:hint="eastAsia" w:ascii="宋体" w:hAnsi="宋体" w:cs="宋体"/>
          <w:color w:val="auto"/>
          <w:szCs w:val="21"/>
          <w:highlight w:val="none"/>
        </w:rPr>
        <w:t>经双方法定代表人或其委托代理人签名并加盖</w:t>
      </w:r>
      <w:r>
        <w:rPr>
          <w:rFonts w:hint="eastAsia" w:ascii="宋体" w:hAnsi="宋体" w:cs="宋体"/>
          <w:snapToGrid w:val="0"/>
          <w:color w:val="auto"/>
          <w:kern w:val="0"/>
          <w:szCs w:val="21"/>
          <w:highlight w:val="none"/>
        </w:rPr>
        <w:t>公章或合同专用章</w:t>
      </w:r>
      <w:r>
        <w:rPr>
          <w:rFonts w:hint="eastAsia" w:ascii="宋体" w:hAnsi="宋体" w:cs="宋体"/>
          <w:color w:val="auto"/>
          <w:szCs w:val="21"/>
          <w:highlight w:val="none"/>
        </w:rPr>
        <w:t>；</w:t>
      </w:r>
    </w:p>
    <w:p w14:paraId="4E1EB448">
      <w:pPr>
        <w:pageBreakBefore w:val="0"/>
        <w:kinsoku/>
        <w:overflowPunct/>
        <w:topLinePunct w:val="0"/>
        <w:bidi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2.采用保函形式递交履约担保的，承包人按合同约定向发包人提交履约担保后。</w:t>
      </w:r>
    </w:p>
    <w:p w14:paraId="6583FE0E">
      <w:pPr>
        <w:pageBreakBefore w:val="0"/>
        <w:kinsoku/>
        <w:overflowPunct/>
        <w:topLinePunct w:val="0"/>
        <w:bidi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w:t>
      </w:r>
    </w:p>
    <w:p w14:paraId="3F2CEB11">
      <w:pPr>
        <w:keepNext/>
        <w:keepLines/>
        <w:pageBreakBefore w:val="0"/>
        <w:kinsoku/>
        <w:overflowPunct/>
        <w:topLinePunct w:val="0"/>
        <w:bidi w:val="0"/>
        <w:snapToGrid w:val="0"/>
        <w:spacing w:line="360" w:lineRule="auto"/>
        <w:ind w:firstLine="422" w:firstLineChars="200"/>
        <w:outlineLvl w:val="3"/>
        <w:rPr>
          <w:rFonts w:ascii="宋体" w:hAnsi="宋体" w:cs="宋体"/>
          <w:b/>
          <w:bCs/>
          <w:color w:val="auto"/>
          <w:szCs w:val="21"/>
          <w:highlight w:val="none"/>
          <w:lang w:val="zh-CN"/>
        </w:rPr>
      </w:pPr>
      <w:bookmarkStart w:id="12" w:name="_Toc33183546"/>
      <w:r>
        <w:rPr>
          <w:rFonts w:hint="eastAsia" w:ascii="宋体" w:hAnsi="宋体" w:cs="宋体"/>
          <w:b/>
          <w:bCs/>
          <w:color w:val="auto"/>
          <w:szCs w:val="21"/>
          <w:highlight w:val="none"/>
          <w:lang w:val="zh-CN"/>
        </w:rPr>
        <w:t>十三、合同份数</w:t>
      </w:r>
      <w:bookmarkEnd w:id="12"/>
    </w:p>
    <w:p w14:paraId="2B5D6E1F">
      <w:pPr>
        <w:keepNext w:val="0"/>
        <w:keepLines w:val="0"/>
        <w:pageBreakBefore w:val="0"/>
        <w:widowControl w:val="0"/>
        <w:kinsoku/>
        <w:wordWrap/>
        <w:overflowPunct/>
        <w:topLinePunct w:val="0"/>
        <w:autoSpaceDE/>
        <w:autoSpaceDN/>
        <w:bidi w:val="0"/>
        <w:adjustRightInd/>
        <w:snapToGrid/>
        <w:spacing w:before="36" w:line="360" w:lineRule="auto"/>
        <w:ind w:left="0" w:leftChars="0" w:firstLine="630" w:firstLineChars="300"/>
        <w:textAlignment w:val="auto"/>
        <w:rPr>
          <w:rFonts w:hint="eastAsia" w:ascii="宋体" w:hAnsi="宋体" w:cs="宋体"/>
          <w:bCs/>
          <w:color w:val="auto"/>
          <w:szCs w:val="21"/>
          <w:highlight w:val="none"/>
        </w:rPr>
      </w:pPr>
      <w:r>
        <w:rPr>
          <w:rFonts w:hint="eastAsia" w:ascii="宋体" w:hAnsi="宋体" w:eastAsia="宋体" w:cs="宋体"/>
          <w:bCs/>
          <w:color w:val="auto"/>
          <w:sz w:val="21"/>
          <w:szCs w:val="21"/>
          <w:highlight w:val="none"/>
        </w:rPr>
        <w:t>合同一式</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捌</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w:t>
      </w:r>
      <w:r>
        <w:rPr>
          <w:rFonts w:hint="eastAsia" w:ascii="宋体" w:hAnsi="宋体" w:eastAsia="宋体" w:cs="宋体"/>
          <w:snapToGrid w:val="0"/>
          <w:color w:val="auto"/>
          <w:spacing w:val="-10"/>
          <w:kern w:val="0"/>
          <w:sz w:val="21"/>
          <w:szCs w:val="21"/>
          <w:highlight w:val="none"/>
        </w:rPr>
        <w:t>其中正本</w:t>
      </w:r>
      <w:r>
        <w:rPr>
          <w:rFonts w:hint="eastAsia" w:ascii="宋体" w:hAnsi="宋体" w:eastAsia="宋体" w:cs="宋体"/>
          <w:snapToGrid w:val="0"/>
          <w:color w:val="auto"/>
          <w:spacing w:val="-10"/>
          <w:kern w:val="0"/>
          <w:sz w:val="21"/>
          <w:szCs w:val="21"/>
          <w:highlight w:val="none"/>
          <w:u w:val="single"/>
        </w:rPr>
        <w:t xml:space="preserve"> </w:t>
      </w:r>
      <w:r>
        <w:rPr>
          <w:rFonts w:hint="eastAsia" w:ascii="宋体" w:hAnsi="宋体" w:cs="宋体"/>
          <w:snapToGrid w:val="0"/>
          <w:color w:val="auto"/>
          <w:spacing w:val="-10"/>
          <w:kern w:val="0"/>
          <w:sz w:val="21"/>
          <w:szCs w:val="21"/>
          <w:highlight w:val="none"/>
          <w:u w:val="single"/>
          <w:lang w:val="en-US" w:eastAsia="zh-CN"/>
        </w:rPr>
        <w:t>两</w:t>
      </w:r>
      <w:r>
        <w:rPr>
          <w:rFonts w:hint="eastAsia" w:ascii="宋体" w:hAnsi="宋体" w:eastAsia="宋体" w:cs="宋体"/>
          <w:snapToGrid w:val="0"/>
          <w:color w:val="auto"/>
          <w:spacing w:val="-10"/>
          <w:kern w:val="0"/>
          <w:sz w:val="21"/>
          <w:szCs w:val="21"/>
          <w:highlight w:val="none"/>
          <w:u w:val="single"/>
        </w:rPr>
        <w:t xml:space="preserve"> </w:t>
      </w:r>
      <w:r>
        <w:rPr>
          <w:rFonts w:hint="eastAsia" w:ascii="宋体" w:hAnsi="宋体" w:eastAsia="宋体" w:cs="宋体"/>
          <w:snapToGrid w:val="0"/>
          <w:color w:val="auto"/>
          <w:spacing w:val="-10"/>
          <w:kern w:val="0"/>
          <w:sz w:val="21"/>
          <w:szCs w:val="21"/>
          <w:highlight w:val="none"/>
        </w:rPr>
        <w:t xml:space="preserve"> 份， 双方各持</w:t>
      </w:r>
      <w:r>
        <w:rPr>
          <w:rFonts w:hint="eastAsia" w:ascii="宋体" w:hAnsi="宋体" w:eastAsia="宋体" w:cs="宋体"/>
          <w:snapToGrid w:val="0"/>
          <w:color w:val="auto"/>
          <w:spacing w:val="-10"/>
          <w:kern w:val="0"/>
          <w:sz w:val="21"/>
          <w:szCs w:val="21"/>
          <w:highlight w:val="none"/>
          <w:u w:val="single"/>
        </w:rPr>
        <w:t xml:space="preserve"> </w:t>
      </w:r>
      <w:r>
        <w:rPr>
          <w:rFonts w:hint="eastAsia" w:ascii="宋体" w:hAnsi="宋体" w:cs="宋体"/>
          <w:snapToGrid w:val="0"/>
          <w:color w:val="auto"/>
          <w:spacing w:val="-10"/>
          <w:kern w:val="0"/>
          <w:sz w:val="21"/>
          <w:szCs w:val="21"/>
          <w:highlight w:val="none"/>
          <w:u w:val="single"/>
          <w:lang w:val="en-US" w:eastAsia="zh-CN"/>
        </w:rPr>
        <w:t xml:space="preserve">壹 </w:t>
      </w:r>
      <w:r>
        <w:rPr>
          <w:rFonts w:hint="eastAsia" w:ascii="宋体" w:hAnsi="宋体" w:eastAsia="宋体" w:cs="宋体"/>
          <w:snapToGrid w:val="0"/>
          <w:color w:val="auto"/>
          <w:spacing w:val="-10"/>
          <w:kern w:val="0"/>
          <w:sz w:val="21"/>
          <w:szCs w:val="21"/>
          <w:highlight w:val="none"/>
        </w:rPr>
        <w:t>份， 副本</w:t>
      </w:r>
      <w:r>
        <w:rPr>
          <w:rFonts w:hint="eastAsia" w:ascii="宋体" w:hAnsi="宋体" w:eastAsia="宋体" w:cs="宋体"/>
          <w:snapToGrid w:val="0"/>
          <w:color w:val="auto"/>
          <w:spacing w:val="-10"/>
          <w:kern w:val="0"/>
          <w:sz w:val="21"/>
          <w:szCs w:val="21"/>
          <w:highlight w:val="none"/>
          <w:u w:val="single"/>
        </w:rPr>
        <w:t xml:space="preserve"> </w:t>
      </w:r>
      <w:r>
        <w:rPr>
          <w:rFonts w:hint="eastAsia" w:ascii="宋体" w:hAnsi="宋体" w:cs="宋体"/>
          <w:snapToGrid w:val="0"/>
          <w:color w:val="auto"/>
          <w:spacing w:val="-10"/>
          <w:kern w:val="0"/>
          <w:sz w:val="21"/>
          <w:szCs w:val="21"/>
          <w:highlight w:val="none"/>
          <w:u w:val="single"/>
          <w:lang w:val="en-US" w:eastAsia="zh-CN"/>
        </w:rPr>
        <w:t xml:space="preserve">陆 </w:t>
      </w:r>
      <w:r>
        <w:rPr>
          <w:rFonts w:hint="eastAsia" w:ascii="宋体" w:hAnsi="宋体" w:eastAsia="宋体" w:cs="宋体"/>
          <w:snapToGrid w:val="0"/>
          <w:color w:val="auto"/>
          <w:spacing w:val="-10"/>
          <w:kern w:val="0"/>
          <w:sz w:val="21"/>
          <w:szCs w:val="21"/>
          <w:highlight w:val="none"/>
        </w:rPr>
        <w:t>份， 双方各执</w:t>
      </w:r>
      <w:r>
        <w:rPr>
          <w:rFonts w:hint="eastAsia" w:ascii="宋体" w:hAnsi="宋体" w:eastAsia="宋体" w:cs="宋体"/>
          <w:snapToGrid w:val="0"/>
          <w:color w:val="auto"/>
          <w:spacing w:val="-10"/>
          <w:kern w:val="0"/>
          <w:sz w:val="21"/>
          <w:szCs w:val="21"/>
          <w:highlight w:val="none"/>
          <w:u w:val="single"/>
        </w:rPr>
        <w:t xml:space="preserve"> </w:t>
      </w:r>
      <w:r>
        <w:rPr>
          <w:rFonts w:hint="eastAsia" w:ascii="宋体" w:hAnsi="宋体" w:cs="宋体"/>
          <w:snapToGrid w:val="0"/>
          <w:color w:val="auto"/>
          <w:spacing w:val="-10"/>
          <w:kern w:val="0"/>
          <w:sz w:val="21"/>
          <w:szCs w:val="21"/>
          <w:highlight w:val="none"/>
          <w:u w:val="single"/>
          <w:lang w:val="en-US" w:eastAsia="zh-CN"/>
        </w:rPr>
        <w:t xml:space="preserve">叁 </w:t>
      </w:r>
      <w:r>
        <w:rPr>
          <w:rFonts w:hint="eastAsia" w:ascii="宋体" w:hAnsi="宋体" w:eastAsia="宋体" w:cs="宋体"/>
          <w:snapToGrid w:val="0"/>
          <w:color w:val="auto"/>
          <w:spacing w:val="-10"/>
          <w:kern w:val="0"/>
          <w:sz w:val="21"/>
          <w:szCs w:val="21"/>
          <w:highlight w:val="none"/>
        </w:rPr>
        <w:t>份。副本与正本不一致时，以正本为准。</w:t>
      </w:r>
    </w:p>
    <w:p w14:paraId="66CF8A33">
      <w:pPr>
        <w:pageBreakBefore w:val="0"/>
        <w:widowControl w:val="0"/>
        <w:kinsoku/>
        <w:wordWrap/>
        <w:overflowPunct/>
        <w:topLinePunct w:val="0"/>
        <w:autoSpaceDE/>
        <w:autoSpaceDN/>
        <w:bidi w:val="0"/>
        <w:adjustRightInd w:val="0"/>
        <w:spacing w:line="360" w:lineRule="auto"/>
        <w:textAlignment w:val="auto"/>
        <w:rPr>
          <w:rFonts w:hint="eastAsia" w:ascii="宋体" w:hAnsi="宋体" w:cs="宋体"/>
          <w:bCs/>
          <w:color w:val="auto"/>
          <w:szCs w:val="21"/>
          <w:highlight w:val="none"/>
        </w:rPr>
      </w:pPr>
      <w:r>
        <w:rPr>
          <w:rFonts w:hint="eastAsia" w:ascii="宋体" w:hAnsi="宋体" w:cs="宋体"/>
          <w:bCs/>
          <w:color w:val="auto"/>
          <w:szCs w:val="21"/>
          <w:highlight w:val="none"/>
        </w:rPr>
        <w:t>（以下为签名盖章页）</w:t>
      </w:r>
    </w:p>
    <w:p w14:paraId="7DF3B171">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cs="宋体"/>
          <w:bCs/>
          <w:color w:val="auto"/>
          <w:szCs w:val="21"/>
          <w:highlight w:val="none"/>
        </w:rPr>
      </w:pPr>
    </w:p>
    <w:p w14:paraId="127F1394">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snapToGrid w:val="0"/>
          <w:color w:val="auto"/>
          <w:kern w:val="0"/>
          <w:sz w:val="21"/>
          <w:szCs w:val="21"/>
          <w:highlight w:val="none"/>
        </w:rPr>
      </w:pPr>
    </w:p>
    <w:p w14:paraId="761BEAC1">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snapToGrid w:val="0"/>
          <w:color w:val="auto"/>
          <w:kern w:val="0"/>
          <w:sz w:val="21"/>
          <w:szCs w:val="21"/>
          <w:highlight w:val="none"/>
        </w:rPr>
      </w:pPr>
    </w:p>
    <w:p w14:paraId="6F972A88">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snapToGrid w:val="0"/>
          <w:color w:val="auto"/>
          <w:kern w:val="0"/>
          <w:sz w:val="21"/>
          <w:szCs w:val="21"/>
          <w:highlight w:val="none"/>
        </w:rPr>
      </w:pPr>
    </w:p>
    <w:p w14:paraId="4D7A5E3B">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snapToGrid w:val="0"/>
          <w:color w:val="auto"/>
          <w:kern w:val="0"/>
          <w:sz w:val="21"/>
          <w:szCs w:val="21"/>
          <w:highlight w:val="none"/>
        </w:rPr>
      </w:pPr>
    </w:p>
    <w:p w14:paraId="14034CF6">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snapToGrid w:val="0"/>
          <w:color w:val="auto"/>
          <w:kern w:val="0"/>
          <w:sz w:val="21"/>
          <w:szCs w:val="21"/>
          <w:highlight w:val="none"/>
        </w:rPr>
      </w:pPr>
    </w:p>
    <w:p w14:paraId="6B30EB6D">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snapToGrid w:val="0"/>
          <w:color w:val="auto"/>
          <w:kern w:val="0"/>
          <w:sz w:val="21"/>
          <w:szCs w:val="21"/>
          <w:highlight w:val="none"/>
        </w:rPr>
      </w:pPr>
    </w:p>
    <w:p w14:paraId="3C51FE3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napToGrid w:val="0"/>
          <w:color w:val="auto"/>
          <w:kern w:val="0"/>
          <w:sz w:val="21"/>
          <w:szCs w:val="21"/>
          <w:highlight w:val="none"/>
        </w:rPr>
      </w:pPr>
    </w:p>
    <w:p w14:paraId="5B0EF4FA">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rPr>
          <w:rFonts w:hint="eastAsia" w:ascii="宋体" w:hAnsi="宋体" w:eastAsia="宋体" w:cs="宋体"/>
          <w:snapToGrid w:val="0"/>
          <w:color w:val="auto"/>
          <w:kern w:val="0"/>
          <w:sz w:val="21"/>
          <w:szCs w:val="21"/>
          <w:highlight w:val="none"/>
          <w:u w:val="none"/>
        </w:rPr>
      </w:pPr>
      <w:r>
        <w:rPr>
          <w:rFonts w:hint="eastAsia" w:ascii="宋体" w:hAnsi="宋体" w:eastAsia="宋体" w:cs="宋体"/>
          <w:b/>
          <w:bCs/>
          <w:snapToGrid w:val="0"/>
          <w:color w:val="auto"/>
          <w:kern w:val="0"/>
          <w:sz w:val="21"/>
          <w:szCs w:val="21"/>
          <w:highlight w:val="none"/>
        </w:rPr>
        <w:t>发包人：</w:t>
      </w:r>
      <w:r>
        <w:rPr>
          <w:rFonts w:hint="eastAsia" w:ascii="宋体" w:hAnsi="宋体" w:eastAsia="宋体" w:cs="宋体"/>
          <w:b/>
          <w:bCs/>
          <w:snapToGrid w:val="0"/>
          <w:color w:val="auto"/>
          <w:kern w:val="0"/>
          <w:szCs w:val="21"/>
          <w:highlight w:val="none"/>
          <w:u w:val="none"/>
          <w:lang w:val="en-US" w:eastAsia="zh-CN"/>
        </w:rPr>
        <w:t>重庆市南川区泽禹供水有限责任公司</w:t>
      </w:r>
      <w:r>
        <w:rPr>
          <w:rFonts w:hint="eastAsia" w:ascii="宋体" w:hAnsi="宋体" w:eastAsia="宋体" w:cs="宋体"/>
          <w:snapToGrid w:val="0"/>
          <w:color w:val="auto"/>
          <w:kern w:val="0"/>
          <w:sz w:val="21"/>
          <w:szCs w:val="21"/>
          <w:highlight w:val="none"/>
          <w:u w:val="none"/>
        </w:rPr>
        <w:t>（公章）</w:t>
      </w:r>
    </w:p>
    <w:p w14:paraId="1C17B77A">
      <w:pPr>
        <w:pStyle w:val="4"/>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highlight w:val="none"/>
          <w:u w:val="none"/>
        </w:rPr>
      </w:pPr>
    </w:p>
    <w:p w14:paraId="10BB41A1">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snapToGrid w:val="0"/>
          <w:color w:val="auto"/>
          <w:kern w:val="0"/>
          <w:sz w:val="21"/>
          <w:szCs w:val="21"/>
          <w:highlight w:val="none"/>
          <w:u w:val="none"/>
        </w:rPr>
      </w:pPr>
      <w:r>
        <w:rPr>
          <w:rFonts w:hint="eastAsia" w:ascii="宋体" w:hAnsi="宋体" w:eastAsia="宋体" w:cs="宋体"/>
          <w:snapToGrid w:val="0"/>
          <w:color w:val="auto"/>
          <w:kern w:val="0"/>
          <w:sz w:val="21"/>
          <w:szCs w:val="21"/>
          <w:highlight w:val="none"/>
          <w:u w:val="none"/>
        </w:rPr>
        <w:t>法定代表人或其委托代理人 （</w:t>
      </w:r>
      <w:r>
        <w:rPr>
          <w:rFonts w:hint="eastAsia" w:ascii="宋体" w:hAnsi="宋体" w:eastAsia="宋体" w:cs="宋体"/>
          <w:snapToGrid w:val="0"/>
          <w:color w:val="auto"/>
          <w:kern w:val="0"/>
          <w:sz w:val="21"/>
          <w:szCs w:val="21"/>
          <w:highlight w:val="none"/>
          <w:u w:val="none"/>
          <w:lang w:eastAsia="zh-CN"/>
        </w:rPr>
        <w:t>签名</w:t>
      </w:r>
      <w:r>
        <w:rPr>
          <w:rFonts w:hint="eastAsia" w:ascii="宋体" w:hAnsi="宋体" w:eastAsia="宋体" w:cs="宋体"/>
          <w:snapToGrid w:val="0"/>
          <w:color w:val="auto"/>
          <w:kern w:val="0"/>
          <w:sz w:val="21"/>
          <w:szCs w:val="21"/>
          <w:highlight w:val="none"/>
          <w:u w:val="none"/>
        </w:rPr>
        <w:t>）：</w:t>
      </w:r>
      <w:r>
        <w:rPr>
          <w:rFonts w:hint="eastAsia" w:ascii="宋体" w:hAnsi="宋体" w:eastAsia="宋体" w:cs="宋体"/>
          <w:snapToGrid w:val="0"/>
          <w:color w:val="auto"/>
          <w:w w:val="200"/>
          <w:kern w:val="0"/>
          <w:sz w:val="21"/>
          <w:szCs w:val="21"/>
          <w:highlight w:val="none"/>
          <w:u w:val="none"/>
        </w:rPr>
        <w:t xml:space="preserve"> </w:t>
      </w:r>
      <w:r>
        <w:rPr>
          <w:rFonts w:hint="eastAsia" w:ascii="宋体" w:hAnsi="宋体" w:eastAsia="宋体" w:cs="宋体"/>
          <w:snapToGrid w:val="0"/>
          <w:color w:val="auto"/>
          <w:kern w:val="0"/>
          <w:sz w:val="21"/>
          <w:szCs w:val="21"/>
          <w:highlight w:val="none"/>
          <w:u w:val="none"/>
        </w:rPr>
        <w:t xml:space="preserve">      </w:t>
      </w:r>
    </w:p>
    <w:p w14:paraId="24421512">
      <w:pPr>
        <w:pStyle w:val="4"/>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highlight w:val="none"/>
          <w:u w:val="none"/>
        </w:rPr>
      </w:pPr>
    </w:p>
    <w:p w14:paraId="216D10AA">
      <w:pPr>
        <w:pStyle w:val="4"/>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snapToGrid w:val="0"/>
          <w:color w:val="auto"/>
          <w:kern w:val="0"/>
          <w:sz w:val="21"/>
          <w:szCs w:val="21"/>
          <w:highlight w:val="none"/>
          <w:u w:val="none"/>
          <w:lang w:val="en-US" w:eastAsia="zh-CN"/>
        </w:rPr>
        <w:t>经办人：</w:t>
      </w:r>
    </w:p>
    <w:p w14:paraId="4F0BC3FD">
      <w:pPr>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snapToGrid w:val="0"/>
          <w:color w:val="auto"/>
          <w:kern w:val="0"/>
          <w:sz w:val="21"/>
          <w:szCs w:val="21"/>
          <w:highlight w:val="none"/>
          <w:u w:val="none"/>
        </w:rPr>
        <w:t>统一社会信用代码：</w:t>
      </w:r>
      <w:r>
        <w:rPr>
          <w:rFonts w:hint="eastAsia" w:ascii="宋体" w:hAnsi="宋体" w:eastAsia="宋体" w:cs="宋体"/>
          <w:color w:val="auto"/>
          <w:kern w:val="0"/>
          <w:sz w:val="24"/>
          <w:szCs w:val="24"/>
          <w:highlight w:val="none"/>
          <w:u w:val="none"/>
          <w:lang w:val="en-US" w:eastAsia="zh-CN" w:bidi="ar"/>
        </w:rPr>
        <w:t>915001196786608387</w:t>
      </w:r>
      <w:r>
        <w:rPr>
          <w:rFonts w:hint="eastAsia" w:ascii="宋体" w:hAnsi="宋体" w:cs="宋体"/>
          <w:color w:val="auto"/>
          <w:kern w:val="0"/>
          <w:sz w:val="21"/>
          <w:szCs w:val="21"/>
          <w:highlight w:val="none"/>
          <w:u w:val="none"/>
          <w:lang w:val="en-US" w:eastAsia="zh-CN"/>
        </w:rPr>
        <w:t xml:space="preserve"> </w:t>
      </w:r>
    </w:p>
    <w:p w14:paraId="42EBF6E0">
      <w:pPr>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snapToGrid w:val="0"/>
          <w:color w:val="auto"/>
          <w:kern w:val="0"/>
          <w:sz w:val="21"/>
          <w:szCs w:val="21"/>
          <w:highlight w:val="none"/>
          <w:u w:val="none"/>
        </w:rPr>
        <w:t>税人识别号：</w:t>
      </w:r>
      <w:r>
        <w:rPr>
          <w:rFonts w:hint="eastAsia" w:ascii="宋体" w:hAnsi="宋体" w:eastAsia="宋体" w:cs="宋体"/>
          <w:color w:val="auto"/>
          <w:kern w:val="0"/>
          <w:sz w:val="24"/>
          <w:szCs w:val="24"/>
          <w:highlight w:val="none"/>
          <w:u w:val="none"/>
          <w:lang w:val="en-US" w:eastAsia="zh-CN" w:bidi="ar"/>
        </w:rPr>
        <w:t>915001196786608387</w:t>
      </w:r>
    </w:p>
    <w:p w14:paraId="60E4D1F5">
      <w:pPr>
        <w:spacing w:line="360" w:lineRule="auto"/>
        <w:ind w:firstLine="420" w:firstLineChars="200"/>
        <w:rPr>
          <w:rFonts w:hint="eastAsia" w:ascii="宋体" w:hAnsi="宋体" w:eastAsia="宋体" w:cs="宋体"/>
          <w:snapToGrid w:val="0"/>
          <w:color w:val="auto"/>
          <w:kern w:val="0"/>
          <w:szCs w:val="21"/>
          <w:highlight w:val="none"/>
          <w:u w:val="none"/>
        </w:rPr>
      </w:pPr>
      <w:r>
        <w:rPr>
          <w:rFonts w:hint="eastAsia" w:ascii="宋体" w:hAnsi="宋体" w:eastAsia="宋体" w:cs="宋体"/>
          <w:snapToGrid w:val="0"/>
          <w:color w:val="auto"/>
          <w:kern w:val="0"/>
          <w:szCs w:val="21"/>
          <w:highlight w:val="none"/>
          <w:u w:val="none"/>
        </w:rPr>
        <w:t>地    址：</w:t>
      </w:r>
      <w:r>
        <w:rPr>
          <w:rFonts w:hint="eastAsia" w:ascii="宋体" w:hAnsi="宋体" w:eastAsia="宋体" w:cs="宋体"/>
          <w:snapToGrid w:val="0"/>
          <w:color w:val="auto"/>
          <w:kern w:val="0"/>
          <w:szCs w:val="21"/>
          <w:highlight w:val="none"/>
          <w:u w:val="none"/>
          <w:lang w:val="en-US" w:eastAsia="zh-CN"/>
        </w:rPr>
        <w:t xml:space="preserve">重庆市南川区金安大厦B栋13楼 </w:t>
      </w:r>
      <w:r>
        <w:rPr>
          <w:rFonts w:hint="eastAsia" w:ascii="宋体" w:hAnsi="宋体" w:eastAsia="宋体" w:cs="宋体"/>
          <w:snapToGrid w:val="0"/>
          <w:color w:val="auto"/>
          <w:kern w:val="0"/>
          <w:szCs w:val="21"/>
          <w:highlight w:val="none"/>
          <w:u w:val="none"/>
        </w:rPr>
        <w:t xml:space="preserve">   </w:t>
      </w:r>
    </w:p>
    <w:p w14:paraId="031F3CC9">
      <w:pPr>
        <w:spacing w:line="360" w:lineRule="auto"/>
        <w:ind w:firstLine="420" w:firstLineChars="200"/>
        <w:rPr>
          <w:rFonts w:hint="eastAsia" w:ascii="宋体" w:hAnsi="宋体" w:cs="宋体"/>
          <w:snapToGrid w:val="0"/>
          <w:color w:val="auto"/>
          <w:w w:val="200"/>
          <w:kern w:val="0"/>
          <w:szCs w:val="21"/>
          <w:highlight w:val="none"/>
          <w:u w:val="none"/>
          <w:lang w:val="en-US" w:eastAsia="zh-CN"/>
        </w:rPr>
      </w:pPr>
      <w:r>
        <w:rPr>
          <w:rFonts w:hint="eastAsia" w:ascii="宋体" w:hAnsi="宋体" w:eastAsia="宋体" w:cs="宋体"/>
          <w:snapToGrid w:val="0"/>
          <w:color w:val="auto"/>
          <w:kern w:val="0"/>
          <w:szCs w:val="21"/>
          <w:highlight w:val="none"/>
          <w:u w:val="none"/>
        </w:rPr>
        <w:t>电    话：</w:t>
      </w:r>
      <w:r>
        <w:rPr>
          <w:rFonts w:hint="eastAsia" w:ascii="宋体" w:hAnsi="宋体" w:eastAsia="宋体" w:cs="宋体"/>
          <w:snapToGrid w:val="0"/>
          <w:color w:val="auto"/>
          <w:kern w:val="0"/>
          <w:szCs w:val="21"/>
          <w:highlight w:val="none"/>
          <w:u w:val="none"/>
          <w:lang w:val="en-US" w:eastAsia="zh-CN"/>
        </w:rPr>
        <w:t>023-71426269</w:t>
      </w:r>
    </w:p>
    <w:p w14:paraId="6D3798A5">
      <w:pPr>
        <w:spacing w:line="360" w:lineRule="auto"/>
        <w:ind w:firstLine="420" w:firstLineChars="200"/>
        <w:rPr>
          <w:rFonts w:hint="eastAsia" w:ascii="宋体" w:hAnsi="宋体" w:cs="宋体"/>
          <w:snapToGrid w:val="0"/>
          <w:color w:val="auto"/>
          <w:w w:val="200"/>
          <w:kern w:val="0"/>
          <w:szCs w:val="21"/>
          <w:highlight w:val="none"/>
          <w:u w:val="none"/>
          <w:lang w:val="en-US" w:eastAsia="zh-CN"/>
        </w:rPr>
      </w:pPr>
      <w:r>
        <w:rPr>
          <w:rFonts w:hint="eastAsia" w:ascii="宋体" w:hAnsi="宋体" w:eastAsia="宋体" w:cs="宋体"/>
          <w:snapToGrid w:val="0"/>
          <w:color w:val="auto"/>
          <w:kern w:val="0"/>
          <w:szCs w:val="21"/>
          <w:highlight w:val="none"/>
          <w:u w:val="none"/>
        </w:rPr>
        <w:t>开户银行：</w:t>
      </w:r>
      <w:r>
        <w:rPr>
          <w:rFonts w:hint="eastAsia" w:ascii="宋体" w:hAnsi="宋体" w:eastAsia="宋体" w:cs="宋体"/>
          <w:snapToGrid w:val="0"/>
          <w:color w:val="auto"/>
          <w:kern w:val="0"/>
          <w:szCs w:val="21"/>
          <w:highlight w:val="none"/>
          <w:u w:val="none"/>
          <w:lang w:val="en-US" w:eastAsia="zh-CN"/>
        </w:rPr>
        <w:t>中国邮政储蓄银行重庆市南川支行</w:t>
      </w:r>
    </w:p>
    <w:p w14:paraId="369A552E">
      <w:pPr>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snapToGrid w:val="0"/>
          <w:color w:val="auto"/>
          <w:kern w:val="0"/>
          <w:szCs w:val="21"/>
          <w:highlight w:val="none"/>
          <w:u w:val="none"/>
        </w:rPr>
        <w:t>账    号：</w:t>
      </w:r>
      <w:r>
        <w:rPr>
          <w:rFonts w:hint="eastAsia" w:ascii="宋体" w:hAnsi="宋体" w:eastAsia="宋体" w:cs="宋体"/>
          <w:color w:val="auto"/>
          <w:kern w:val="0"/>
          <w:sz w:val="24"/>
          <w:szCs w:val="24"/>
          <w:highlight w:val="none"/>
          <w:u w:val="none"/>
          <w:lang w:bidi="ar"/>
        </w:rPr>
        <w:t>95003010024826667</w:t>
      </w:r>
      <w:r>
        <w:rPr>
          <w:rFonts w:hint="eastAsia" w:ascii="宋体" w:hAnsi="宋体" w:eastAsia="宋体" w:cs="宋体"/>
          <w:snapToGrid w:val="0"/>
          <w:color w:val="auto"/>
          <w:kern w:val="0"/>
          <w:szCs w:val="21"/>
          <w:highlight w:val="none"/>
          <w:u w:val="none"/>
        </w:rPr>
        <w:t xml:space="preserve">           </w:t>
      </w:r>
    </w:p>
    <w:p w14:paraId="4B48A6AE">
      <w:pPr>
        <w:pageBreakBefore w:val="0"/>
        <w:kinsoku/>
        <w:overflowPunct/>
        <w:topLinePunct w:val="0"/>
        <w:bidi w:val="0"/>
        <w:adjustRightInd w:val="0"/>
        <w:spacing w:line="360" w:lineRule="auto"/>
        <w:ind w:firstLine="420" w:firstLineChars="200"/>
        <w:rPr>
          <w:rFonts w:hint="eastAsia" w:ascii="宋体" w:hAnsi="宋体" w:cs="宋体"/>
          <w:snapToGrid w:val="0"/>
          <w:color w:val="auto"/>
          <w:kern w:val="0"/>
          <w:szCs w:val="21"/>
          <w:highlight w:val="none"/>
        </w:rPr>
      </w:pPr>
    </w:p>
    <w:p w14:paraId="3F6F8FE5">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rPr>
          <w:rFonts w:hint="eastAsia" w:ascii="宋体" w:hAnsi="宋体" w:cs="宋体"/>
          <w:snapToGrid w:val="0"/>
          <w:color w:val="auto"/>
          <w:kern w:val="0"/>
          <w:szCs w:val="21"/>
          <w:highlight w:val="none"/>
        </w:rPr>
      </w:pPr>
      <w:r>
        <w:rPr>
          <w:rFonts w:hint="eastAsia" w:ascii="宋体" w:hAnsi="宋体" w:cs="宋体"/>
          <w:b/>
          <w:bCs/>
          <w:snapToGrid w:val="0"/>
          <w:color w:val="auto"/>
          <w:kern w:val="0"/>
          <w:szCs w:val="21"/>
          <w:highlight w:val="none"/>
        </w:rPr>
        <w:t>承包人：</w:t>
      </w:r>
      <w:r>
        <w:rPr>
          <w:rFonts w:hint="eastAsia" w:ascii="宋体" w:hAnsi="宋体" w:cs="宋体"/>
          <w:b/>
          <w:bCs/>
          <w:snapToGrid w:val="0"/>
          <w:color w:val="auto"/>
          <w:kern w:val="0"/>
          <w:szCs w:val="21"/>
          <w:highlight w:val="none"/>
          <w:lang w:val="en-US" w:eastAsia="zh-CN"/>
        </w:rPr>
        <w:t xml:space="preserve"> </w:t>
      </w:r>
      <w:r>
        <w:rPr>
          <w:rFonts w:hint="eastAsia" w:ascii="宋体" w:hAnsi="宋体" w:cs="宋体"/>
          <w:b/>
          <w:bCs/>
          <w:snapToGrid w:val="0"/>
          <w:color w:val="auto"/>
          <w:kern w:val="0"/>
          <w:szCs w:val="21"/>
          <w:highlight w:val="none"/>
          <w:u w:val="none"/>
        </w:rPr>
        <w:t xml:space="preserve"> </w:t>
      </w:r>
      <w:r>
        <w:rPr>
          <w:rFonts w:hint="eastAsia" w:ascii="宋体" w:hAnsi="宋体" w:cs="宋体"/>
          <w:b/>
          <w:bCs/>
          <w:snapToGrid w:val="0"/>
          <w:color w:val="auto"/>
          <w:kern w:val="0"/>
          <w:szCs w:val="21"/>
          <w:highlight w:val="none"/>
          <w:u w:val="none"/>
          <w:lang w:val="en-US" w:eastAsia="zh-CN"/>
        </w:rPr>
        <w:t xml:space="preserve">          </w:t>
      </w:r>
      <w:r>
        <w:rPr>
          <w:rFonts w:hint="eastAsia" w:ascii="宋体" w:hAnsi="宋体" w:cs="宋体"/>
          <w:snapToGrid w:val="0"/>
          <w:color w:val="auto"/>
          <w:kern w:val="0"/>
          <w:szCs w:val="21"/>
          <w:highlight w:val="none"/>
        </w:rPr>
        <w:t>（公章）</w:t>
      </w:r>
    </w:p>
    <w:p w14:paraId="76ADEFC2">
      <w:pPr>
        <w:pStyle w:val="4"/>
        <w:keepNext w:val="0"/>
        <w:keepLines w:val="0"/>
        <w:pageBreakBefore w:val="0"/>
        <w:widowControl w:val="0"/>
        <w:kinsoku/>
        <w:wordWrap/>
        <w:overflowPunct/>
        <w:topLinePunct w:val="0"/>
        <w:autoSpaceDE/>
        <w:autoSpaceDN/>
        <w:bidi w:val="0"/>
        <w:snapToGrid/>
        <w:spacing w:line="360" w:lineRule="auto"/>
        <w:textAlignment w:val="auto"/>
        <w:rPr>
          <w:color w:val="auto"/>
          <w:highlight w:val="none"/>
        </w:rPr>
      </w:pPr>
    </w:p>
    <w:p w14:paraId="29369D6D">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法定代表人或其委托代理人（签名）：</w:t>
      </w:r>
    </w:p>
    <w:p w14:paraId="38330AE6">
      <w:pPr>
        <w:pStyle w:val="4"/>
        <w:keepNext w:val="0"/>
        <w:keepLines w:val="0"/>
        <w:pageBreakBefore w:val="0"/>
        <w:widowControl w:val="0"/>
        <w:kinsoku/>
        <w:wordWrap/>
        <w:overflowPunct/>
        <w:topLinePunct w:val="0"/>
        <w:autoSpaceDE/>
        <w:autoSpaceDN/>
        <w:bidi w:val="0"/>
        <w:snapToGrid/>
        <w:spacing w:line="360" w:lineRule="auto"/>
        <w:textAlignment w:val="auto"/>
        <w:rPr>
          <w:rFonts w:hint="eastAsia"/>
          <w:color w:val="auto"/>
          <w:highlight w:val="none"/>
        </w:rPr>
      </w:pPr>
    </w:p>
    <w:p w14:paraId="28DA93D9">
      <w:pPr>
        <w:pStyle w:val="4"/>
        <w:keepNext w:val="0"/>
        <w:keepLines w:val="0"/>
        <w:pageBreakBefore w:val="0"/>
        <w:widowControl w:val="0"/>
        <w:kinsoku/>
        <w:wordWrap/>
        <w:overflowPunct/>
        <w:topLinePunct w:val="0"/>
        <w:autoSpaceDE/>
        <w:autoSpaceDN/>
        <w:bidi w:val="0"/>
        <w:snapToGrid/>
        <w:spacing w:line="360" w:lineRule="auto"/>
        <w:ind w:firstLine="420"/>
        <w:textAlignment w:val="auto"/>
        <w:rPr>
          <w:rFonts w:hint="default"/>
          <w:color w:val="auto"/>
          <w:highlight w:val="none"/>
          <w:lang w:val="en-US" w:eastAsia="zh-CN"/>
        </w:rPr>
      </w:pPr>
      <w:r>
        <w:rPr>
          <w:rFonts w:hint="eastAsia" w:ascii="宋体" w:hAnsi="宋体" w:cs="宋体"/>
          <w:snapToGrid w:val="0"/>
          <w:color w:val="auto"/>
          <w:kern w:val="0"/>
          <w:szCs w:val="21"/>
          <w:highlight w:val="none"/>
          <w:lang w:val="en-US" w:eastAsia="zh-CN"/>
        </w:rPr>
        <w:t>经办人：</w:t>
      </w:r>
    </w:p>
    <w:p w14:paraId="60768927">
      <w:pPr>
        <w:pageBreakBefore w:val="0"/>
        <w:kinsoku/>
        <w:overflowPunct/>
        <w:topLinePunct w:val="0"/>
        <w:bidi w:val="0"/>
        <w:adjustRightInd w:val="0"/>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snapToGrid w:val="0"/>
          <w:color w:val="auto"/>
          <w:kern w:val="0"/>
          <w:szCs w:val="21"/>
          <w:highlight w:val="none"/>
        </w:rPr>
        <w:t>统一社会信用代码</w:t>
      </w:r>
      <w:r>
        <w:rPr>
          <w:rFonts w:hint="eastAsia" w:ascii="宋体" w:hAnsi="宋体" w:cs="宋体"/>
          <w:snapToGrid w:val="0"/>
          <w:color w:val="auto"/>
          <w:kern w:val="0"/>
          <w:szCs w:val="21"/>
          <w:highlight w:val="none"/>
          <w:u w:val="none"/>
          <w:lang w:val="en-US" w:eastAsia="zh-CN"/>
        </w:rPr>
        <w:t xml:space="preserve"> ：</w:t>
      </w:r>
      <w:r>
        <w:rPr>
          <w:rFonts w:hint="eastAsia" w:ascii="宋体" w:hAnsi="宋体" w:cs="宋体"/>
          <w:color w:val="auto"/>
          <w:kern w:val="0"/>
          <w:szCs w:val="21"/>
          <w:highlight w:val="none"/>
          <w:lang w:val="en-US" w:eastAsia="zh-CN"/>
        </w:rPr>
        <w:t xml:space="preserve"> </w:t>
      </w:r>
    </w:p>
    <w:p w14:paraId="7A8574F1">
      <w:pPr>
        <w:pageBreakBefore w:val="0"/>
        <w:kinsoku/>
        <w:overflowPunct/>
        <w:topLinePunct w:val="0"/>
        <w:bidi w:val="0"/>
        <w:adjustRightInd w:val="0"/>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snapToGrid w:val="0"/>
          <w:color w:val="auto"/>
          <w:kern w:val="0"/>
          <w:szCs w:val="21"/>
          <w:highlight w:val="none"/>
          <w:u w:val="none"/>
          <w:lang w:eastAsia="zh-CN"/>
        </w:rPr>
        <w:t>纳</w:t>
      </w:r>
      <w:r>
        <w:rPr>
          <w:rFonts w:hint="eastAsia" w:ascii="宋体" w:hAnsi="宋体" w:cs="宋体"/>
          <w:snapToGrid w:val="0"/>
          <w:color w:val="auto"/>
          <w:kern w:val="0"/>
          <w:szCs w:val="21"/>
          <w:highlight w:val="none"/>
          <w:u w:val="none"/>
        </w:rPr>
        <w:t>税人识别号：</w:t>
      </w:r>
      <w:r>
        <w:rPr>
          <w:rFonts w:hint="eastAsia" w:ascii="宋体" w:hAnsi="宋体" w:cs="宋体"/>
          <w:snapToGrid w:val="0"/>
          <w:color w:val="auto"/>
          <w:kern w:val="0"/>
          <w:szCs w:val="21"/>
          <w:highlight w:val="none"/>
          <w:u w:val="none"/>
          <w:lang w:val="en-US" w:eastAsia="zh-CN"/>
        </w:rPr>
        <w:t xml:space="preserve"> </w:t>
      </w:r>
      <w:r>
        <w:rPr>
          <w:rFonts w:hint="eastAsia" w:ascii="宋体" w:hAnsi="宋体" w:cs="宋体"/>
          <w:snapToGrid w:val="0"/>
          <w:color w:val="auto"/>
          <w:kern w:val="0"/>
          <w:szCs w:val="21"/>
          <w:highlight w:val="none"/>
          <w:u w:val="none"/>
        </w:rPr>
        <w:t xml:space="preserve">  </w:t>
      </w:r>
      <w:r>
        <w:rPr>
          <w:rFonts w:hint="eastAsia" w:ascii="宋体" w:hAnsi="宋体" w:cs="宋体"/>
          <w:color w:val="auto"/>
          <w:kern w:val="0"/>
          <w:szCs w:val="21"/>
          <w:highlight w:val="none"/>
          <w:lang w:val="en-US" w:eastAsia="zh-CN"/>
        </w:rPr>
        <w:t xml:space="preserve"> </w:t>
      </w:r>
    </w:p>
    <w:p w14:paraId="1711C112">
      <w:pPr>
        <w:pageBreakBefore w:val="0"/>
        <w:kinsoku/>
        <w:overflowPunct/>
        <w:topLinePunct w:val="0"/>
        <w:bidi w:val="0"/>
        <w:adjustRightInd w:val="0"/>
        <w:spacing w:line="360" w:lineRule="auto"/>
        <w:ind w:firstLine="420" w:firstLineChars="200"/>
        <w:rPr>
          <w:rFonts w:hint="eastAsia" w:ascii="宋体" w:hAnsi="宋体" w:cs="宋体"/>
          <w:snapToGrid w:val="0"/>
          <w:color w:val="auto"/>
          <w:kern w:val="0"/>
          <w:szCs w:val="21"/>
          <w:highlight w:val="none"/>
          <w:u w:val="none"/>
          <w:lang w:val="en-US" w:eastAsia="zh-CN"/>
        </w:rPr>
      </w:pPr>
      <w:r>
        <w:rPr>
          <w:rFonts w:hint="eastAsia" w:ascii="宋体" w:hAnsi="宋体" w:cs="宋体"/>
          <w:snapToGrid w:val="0"/>
          <w:color w:val="auto"/>
          <w:kern w:val="0"/>
          <w:szCs w:val="21"/>
          <w:highlight w:val="none"/>
          <w:u w:val="none"/>
        </w:rPr>
        <w:t>地    址：</w:t>
      </w:r>
      <w:r>
        <w:rPr>
          <w:rFonts w:hint="eastAsia" w:ascii="宋体" w:hAnsi="宋体" w:cs="宋体"/>
          <w:snapToGrid w:val="0"/>
          <w:color w:val="auto"/>
          <w:kern w:val="0"/>
          <w:szCs w:val="21"/>
          <w:highlight w:val="none"/>
          <w:u w:val="none"/>
          <w:lang w:val="en-US" w:eastAsia="zh-CN"/>
        </w:rPr>
        <w:t xml:space="preserve"> </w:t>
      </w:r>
    </w:p>
    <w:p w14:paraId="494FC275">
      <w:pPr>
        <w:pageBreakBefore w:val="0"/>
        <w:kinsoku/>
        <w:overflowPunct/>
        <w:topLinePunct w:val="0"/>
        <w:bidi w:val="0"/>
        <w:adjustRightInd w:val="0"/>
        <w:spacing w:line="360" w:lineRule="auto"/>
        <w:ind w:firstLine="420" w:firstLineChars="200"/>
        <w:rPr>
          <w:rFonts w:hint="eastAsia" w:ascii="宋体" w:hAnsi="宋体" w:cs="宋体"/>
          <w:snapToGrid w:val="0"/>
          <w:color w:val="auto"/>
          <w:kern w:val="0"/>
          <w:szCs w:val="21"/>
          <w:highlight w:val="none"/>
          <w:u w:val="none"/>
        </w:rPr>
      </w:pPr>
      <w:r>
        <w:rPr>
          <w:rFonts w:hint="eastAsia" w:ascii="宋体" w:hAnsi="宋体" w:cs="宋体"/>
          <w:snapToGrid w:val="0"/>
          <w:color w:val="auto"/>
          <w:kern w:val="0"/>
          <w:szCs w:val="21"/>
          <w:highlight w:val="none"/>
          <w:u w:val="none"/>
        </w:rPr>
        <w:t>电    话：</w:t>
      </w:r>
    </w:p>
    <w:p w14:paraId="3B23C7D0">
      <w:pPr>
        <w:pageBreakBefore w:val="0"/>
        <w:kinsoku/>
        <w:overflowPunct/>
        <w:topLinePunct w:val="0"/>
        <w:bidi w:val="0"/>
        <w:adjustRightInd w:val="0"/>
        <w:spacing w:line="360" w:lineRule="auto"/>
        <w:ind w:firstLine="420" w:firstLineChars="200"/>
        <w:rPr>
          <w:rFonts w:hint="eastAsia" w:ascii="宋体" w:hAnsi="宋体" w:cs="宋体"/>
          <w:snapToGrid w:val="0"/>
          <w:color w:val="auto"/>
          <w:kern w:val="0"/>
          <w:szCs w:val="21"/>
          <w:highlight w:val="none"/>
          <w:u w:val="none"/>
          <w:lang w:val="en-US" w:eastAsia="zh-CN"/>
        </w:rPr>
      </w:pPr>
      <w:r>
        <w:rPr>
          <w:rFonts w:hint="eastAsia" w:ascii="宋体" w:hAnsi="宋体" w:cs="宋体"/>
          <w:snapToGrid w:val="0"/>
          <w:color w:val="auto"/>
          <w:kern w:val="0"/>
          <w:szCs w:val="21"/>
          <w:highlight w:val="none"/>
          <w:u w:val="none"/>
        </w:rPr>
        <w:t>开户银行：</w:t>
      </w:r>
      <w:r>
        <w:rPr>
          <w:rFonts w:hint="eastAsia" w:ascii="宋体" w:hAnsi="宋体" w:cs="宋体"/>
          <w:snapToGrid w:val="0"/>
          <w:color w:val="auto"/>
          <w:kern w:val="0"/>
          <w:szCs w:val="21"/>
          <w:highlight w:val="none"/>
          <w:u w:val="none"/>
          <w:lang w:val="en-US" w:eastAsia="zh-CN"/>
        </w:rPr>
        <w:t xml:space="preserve"> </w:t>
      </w:r>
    </w:p>
    <w:p w14:paraId="74397336">
      <w:pPr>
        <w:pageBreakBefore w:val="0"/>
        <w:kinsoku/>
        <w:overflowPunct/>
        <w:topLinePunct w:val="0"/>
        <w:bidi w:val="0"/>
        <w:adjustRightInd w:val="0"/>
        <w:spacing w:line="360" w:lineRule="auto"/>
        <w:ind w:firstLine="420" w:firstLineChars="200"/>
        <w:rPr>
          <w:rFonts w:hint="eastAsia" w:ascii="宋体" w:hAnsi="宋体" w:eastAsia="宋体" w:cs="宋体"/>
          <w:color w:val="auto"/>
          <w:kern w:val="0"/>
          <w:sz w:val="44"/>
          <w:szCs w:val="44"/>
          <w:highlight w:val="none"/>
          <w:lang w:val="en-US" w:eastAsia="zh-CN" w:bidi="ar-SA"/>
        </w:rPr>
      </w:pPr>
      <w:r>
        <w:rPr>
          <w:rFonts w:hint="eastAsia" w:ascii="宋体" w:hAnsi="宋体" w:cs="宋体"/>
          <w:snapToGrid w:val="0"/>
          <w:color w:val="auto"/>
          <w:kern w:val="0"/>
          <w:szCs w:val="21"/>
          <w:highlight w:val="none"/>
          <w:u w:val="none"/>
        </w:rPr>
        <w:t>账    号</w:t>
      </w:r>
      <w:r>
        <w:rPr>
          <w:rFonts w:hint="eastAsia" w:ascii="宋体" w:hAnsi="宋体" w:cs="宋体"/>
          <w:snapToGrid w:val="0"/>
          <w:color w:val="auto"/>
          <w:kern w:val="0"/>
          <w:szCs w:val="21"/>
          <w:highlight w:val="none"/>
          <w:u w:val="none"/>
          <w:lang w:eastAsia="zh-CN"/>
        </w:rPr>
        <w:t>：</w:t>
      </w:r>
    </w:p>
    <w:p w14:paraId="50EA9B4F">
      <w:pPr>
        <w:pStyle w:val="4"/>
        <w:rPr>
          <w:rFonts w:hint="eastAsia"/>
          <w:color w:val="auto"/>
          <w:highlight w:val="none"/>
          <w:lang w:val="en-US" w:eastAsia="zh-CN"/>
        </w:rPr>
      </w:pPr>
    </w:p>
    <w:p w14:paraId="265B933D">
      <w:pPr>
        <w:numPr>
          <w:ilvl w:val="0"/>
          <w:numId w:val="0"/>
        </w:numPr>
        <w:spacing w:line="560" w:lineRule="exact"/>
        <w:jc w:val="center"/>
        <w:outlineLvl w:val="0"/>
        <w:rPr>
          <w:rFonts w:hint="eastAsia" w:ascii="宋体" w:hAnsi="宋体" w:eastAsia="宋体" w:cs="宋体"/>
          <w:color w:val="auto"/>
          <w:kern w:val="0"/>
          <w:sz w:val="44"/>
          <w:szCs w:val="44"/>
          <w:highlight w:val="none"/>
          <w:lang w:val="en-US" w:eastAsia="zh-CN" w:bidi="ar-SA"/>
        </w:rPr>
      </w:pPr>
    </w:p>
    <w:p w14:paraId="22E4801A">
      <w:pPr>
        <w:numPr>
          <w:ilvl w:val="0"/>
          <w:numId w:val="0"/>
        </w:numPr>
        <w:spacing w:line="560" w:lineRule="exact"/>
        <w:jc w:val="center"/>
        <w:outlineLvl w:val="0"/>
        <w:rPr>
          <w:rFonts w:hint="eastAsia" w:ascii="宋体" w:hAnsi="宋体" w:eastAsia="宋体" w:cs="宋体"/>
          <w:color w:val="auto"/>
          <w:kern w:val="0"/>
          <w:sz w:val="44"/>
          <w:szCs w:val="44"/>
          <w:highlight w:val="none"/>
          <w:lang w:val="en-US" w:eastAsia="zh-CN" w:bidi="ar-SA"/>
        </w:rPr>
      </w:pPr>
    </w:p>
    <w:p w14:paraId="616AEB1A">
      <w:pPr>
        <w:numPr>
          <w:ilvl w:val="0"/>
          <w:numId w:val="0"/>
        </w:numPr>
        <w:spacing w:line="560" w:lineRule="exact"/>
        <w:jc w:val="center"/>
        <w:outlineLvl w:val="0"/>
        <w:rPr>
          <w:rFonts w:hint="eastAsia" w:ascii="宋体" w:hAnsi="宋体" w:eastAsia="宋体" w:cs="宋体"/>
          <w:color w:val="auto"/>
          <w:kern w:val="0"/>
          <w:sz w:val="44"/>
          <w:szCs w:val="44"/>
          <w:highlight w:val="none"/>
          <w:lang w:val="en-US" w:eastAsia="zh-CN" w:bidi="ar-SA"/>
        </w:rPr>
      </w:pPr>
    </w:p>
    <w:p w14:paraId="6F25C8D8">
      <w:pPr>
        <w:numPr>
          <w:ilvl w:val="0"/>
          <w:numId w:val="0"/>
        </w:numPr>
        <w:spacing w:line="560" w:lineRule="exact"/>
        <w:jc w:val="center"/>
        <w:outlineLvl w:val="0"/>
        <w:rPr>
          <w:rStyle w:val="11"/>
          <w:rFonts w:hint="eastAsia" w:ascii="宋体" w:hAnsi="宋体" w:eastAsia="宋体" w:cs="宋体"/>
          <w:color w:val="auto"/>
          <w:sz w:val="44"/>
          <w:szCs w:val="44"/>
          <w:highlight w:val="none"/>
        </w:rPr>
      </w:pPr>
      <w:r>
        <w:rPr>
          <w:rFonts w:hint="eastAsia" w:ascii="宋体" w:hAnsi="宋体" w:eastAsia="宋体" w:cs="宋体"/>
          <w:color w:val="auto"/>
          <w:kern w:val="0"/>
          <w:sz w:val="44"/>
          <w:szCs w:val="44"/>
          <w:highlight w:val="none"/>
          <w:lang w:val="en-US" w:eastAsia="zh-CN" w:bidi="ar-SA"/>
        </w:rPr>
        <w:t>第二部分</w:t>
      </w:r>
      <w:bookmarkStart w:id="13" w:name="_Toc27114"/>
      <w:bookmarkStart w:id="14" w:name="_Toc351203494"/>
      <w:bookmarkStart w:id="15" w:name="_Toc25930"/>
      <w:bookmarkStart w:id="16" w:name="_Toc19964"/>
      <w:bookmarkStart w:id="17" w:name="_Toc12654"/>
      <w:r>
        <w:rPr>
          <w:rFonts w:hint="eastAsia" w:ascii="宋体" w:hAnsi="宋体" w:eastAsia="宋体" w:cs="宋体"/>
          <w:color w:val="auto"/>
          <w:kern w:val="0"/>
          <w:sz w:val="44"/>
          <w:szCs w:val="44"/>
          <w:highlight w:val="none"/>
          <w:lang w:val="en-US" w:eastAsia="zh-CN" w:bidi="ar-SA"/>
        </w:rPr>
        <w:t xml:space="preserve">  </w:t>
      </w:r>
      <w:r>
        <w:rPr>
          <w:rStyle w:val="11"/>
          <w:rFonts w:hint="eastAsia" w:ascii="宋体" w:hAnsi="宋体" w:eastAsia="宋体" w:cs="宋体"/>
          <w:color w:val="auto"/>
          <w:sz w:val="44"/>
          <w:szCs w:val="44"/>
          <w:highlight w:val="none"/>
        </w:rPr>
        <w:t>通用合同条款</w:t>
      </w:r>
      <w:bookmarkEnd w:id="13"/>
      <w:bookmarkEnd w:id="14"/>
      <w:bookmarkStart w:id="18" w:name="_Toc337558727"/>
    </w:p>
    <w:p w14:paraId="5BFE57A3">
      <w:pPr>
        <w:pStyle w:val="7"/>
        <w:rPr>
          <w:rFonts w:hint="eastAsia"/>
          <w:color w:val="auto"/>
          <w:highlight w:val="none"/>
        </w:rPr>
      </w:pPr>
    </w:p>
    <w:p w14:paraId="338EA6CB">
      <w:pPr>
        <w:pStyle w:val="7"/>
        <w:numPr>
          <w:ilvl w:val="0"/>
          <w:numId w:val="0"/>
        </w:numPr>
        <w:rPr>
          <w:rFonts w:hint="eastAsia"/>
          <w:color w:val="auto"/>
          <w:highlight w:val="none"/>
        </w:rPr>
      </w:pPr>
    </w:p>
    <w:bookmarkEnd w:id="15"/>
    <w:bookmarkEnd w:id="16"/>
    <w:bookmarkEnd w:id="17"/>
    <w:bookmarkEnd w:id="18"/>
    <w:p w14:paraId="695E62DF">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kern w:val="0"/>
          <w:szCs w:val="21"/>
          <w:highlight w:val="none"/>
          <w:u w:val="none"/>
          <w:lang w:val="zh-CN"/>
        </w:rPr>
      </w:pPr>
      <w:bookmarkStart w:id="19" w:name="_Toc351203632"/>
      <w:r>
        <w:rPr>
          <w:rFonts w:hint="eastAsia" w:ascii="宋体" w:hAnsi="宋体" w:eastAsia="宋体" w:cs="宋体"/>
          <w:color w:val="auto"/>
          <w:sz w:val="21"/>
          <w:szCs w:val="21"/>
          <w:highlight w:val="none"/>
        </w:rPr>
        <w:t>采用中华人民共和国住房和城乡建设部制定的《建设工程施工合同》2017版第二部分的《通用合同条款》。</w:t>
      </w:r>
      <w:bookmarkEnd w:id="19"/>
    </w:p>
    <w:p w14:paraId="76CF0DA3">
      <w:pPr>
        <w:numPr>
          <w:ilvl w:val="0"/>
          <w:numId w:val="0"/>
        </w:numPr>
        <w:spacing w:line="560" w:lineRule="exact"/>
        <w:jc w:val="center"/>
        <w:outlineLvl w:val="0"/>
        <w:rPr>
          <w:rFonts w:hint="eastAsia" w:ascii="宋体" w:hAnsi="宋体" w:eastAsia="宋体" w:cs="宋体"/>
          <w:color w:val="auto"/>
          <w:kern w:val="0"/>
          <w:sz w:val="44"/>
          <w:szCs w:val="44"/>
          <w:highlight w:val="none"/>
          <w:lang w:val="en-US" w:eastAsia="zh-CN" w:bidi="ar-SA"/>
        </w:rPr>
      </w:pPr>
      <w:bookmarkStart w:id="20" w:name="_Toc33183706"/>
      <w:bookmarkStart w:id="21" w:name="_Toc59810403"/>
      <w:bookmarkStart w:id="22" w:name="_Toc1331"/>
      <w:bookmarkStart w:id="23" w:name="_Toc136350383"/>
    </w:p>
    <w:p w14:paraId="7DA365CD">
      <w:pPr>
        <w:numPr>
          <w:ilvl w:val="0"/>
          <w:numId w:val="0"/>
        </w:numPr>
        <w:spacing w:line="560" w:lineRule="exact"/>
        <w:jc w:val="center"/>
        <w:outlineLvl w:val="0"/>
        <w:rPr>
          <w:rFonts w:hint="eastAsia" w:ascii="宋体" w:hAnsi="宋体" w:eastAsia="宋体" w:cs="宋体"/>
          <w:color w:val="auto"/>
          <w:kern w:val="0"/>
          <w:sz w:val="44"/>
          <w:szCs w:val="44"/>
          <w:highlight w:val="none"/>
          <w:lang w:val="en-US" w:eastAsia="zh-CN" w:bidi="ar-SA"/>
        </w:rPr>
      </w:pPr>
    </w:p>
    <w:p w14:paraId="70DF6FAC">
      <w:pPr>
        <w:numPr>
          <w:ilvl w:val="0"/>
          <w:numId w:val="0"/>
        </w:numPr>
        <w:spacing w:line="560" w:lineRule="exact"/>
        <w:jc w:val="center"/>
        <w:outlineLvl w:val="0"/>
        <w:rPr>
          <w:rFonts w:hint="eastAsia" w:ascii="宋体" w:hAnsi="宋体" w:eastAsia="宋体" w:cs="宋体"/>
          <w:color w:val="auto"/>
          <w:kern w:val="0"/>
          <w:sz w:val="44"/>
          <w:szCs w:val="44"/>
          <w:highlight w:val="none"/>
          <w:lang w:val="en-US" w:eastAsia="zh-CN" w:bidi="ar-SA"/>
        </w:rPr>
      </w:pPr>
    </w:p>
    <w:p w14:paraId="25921F7D">
      <w:pPr>
        <w:numPr>
          <w:ilvl w:val="0"/>
          <w:numId w:val="0"/>
        </w:numPr>
        <w:spacing w:line="560" w:lineRule="exact"/>
        <w:jc w:val="center"/>
        <w:outlineLvl w:val="0"/>
        <w:rPr>
          <w:rFonts w:hint="eastAsia" w:ascii="宋体" w:hAnsi="宋体" w:eastAsia="宋体" w:cs="宋体"/>
          <w:color w:val="auto"/>
          <w:kern w:val="0"/>
          <w:sz w:val="44"/>
          <w:szCs w:val="44"/>
          <w:highlight w:val="none"/>
          <w:lang w:val="en-US" w:eastAsia="zh-CN" w:bidi="ar-SA"/>
        </w:rPr>
      </w:pPr>
    </w:p>
    <w:p w14:paraId="1CC5EE28">
      <w:pPr>
        <w:numPr>
          <w:ilvl w:val="0"/>
          <w:numId w:val="0"/>
        </w:numPr>
        <w:spacing w:line="560" w:lineRule="exact"/>
        <w:jc w:val="center"/>
        <w:outlineLvl w:val="0"/>
        <w:rPr>
          <w:rFonts w:hint="eastAsia" w:ascii="宋体" w:hAnsi="宋体" w:eastAsia="宋体" w:cs="宋体"/>
          <w:color w:val="auto"/>
          <w:kern w:val="0"/>
          <w:sz w:val="44"/>
          <w:szCs w:val="44"/>
          <w:highlight w:val="none"/>
          <w:lang w:val="en-US" w:eastAsia="zh-CN" w:bidi="ar-SA"/>
        </w:rPr>
      </w:pPr>
    </w:p>
    <w:p w14:paraId="77FD0030">
      <w:pPr>
        <w:numPr>
          <w:ilvl w:val="0"/>
          <w:numId w:val="0"/>
        </w:numPr>
        <w:spacing w:line="560" w:lineRule="exact"/>
        <w:jc w:val="center"/>
        <w:outlineLvl w:val="0"/>
        <w:rPr>
          <w:rFonts w:hint="eastAsia" w:ascii="宋体" w:hAnsi="宋体" w:eastAsia="宋体" w:cs="宋体"/>
          <w:color w:val="auto"/>
          <w:kern w:val="0"/>
          <w:sz w:val="44"/>
          <w:szCs w:val="44"/>
          <w:highlight w:val="none"/>
          <w:lang w:val="en-US" w:eastAsia="zh-CN" w:bidi="ar-SA"/>
        </w:rPr>
      </w:pPr>
    </w:p>
    <w:p w14:paraId="7FFA5AFA">
      <w:pPr>
        <w:numPr>
          <w:ilvl w:val="0"/>
          <w:numId w:val="0"/>
        </w:numPr>
        <w:spacing w:line="560" w:lineRule="exact"/>
        <w:jc w:val="center"/>
        <w:outlineLvl w:val="0"/>
        <w:rPr>
          <w:rFonts w:hint="eastAsia" w:ascii="宋体" w:hAnsi="宋体" w:eastAsia="宋体" w:cs="宋体"/>
          <w:color w:val="auto"/>
          <w:kern w:val="0"/>
          <w:sz w:val="44"/>
          <w:szCs w:val="44"/>
          <w:highlight w:val="none"/>
          <w:lang w:val="en-US" w:eastAsia="zh-CN" w:bidi="ar-SA"/>
        </w:rPr>
      </w:pPr>
    </w:p>
    <w:p w14:paraId="00615B1C">
      <w:pPr>
        <w:numPr>
          <w:ilvl w:val="0"/>
          <w:numId w:val="0"/>
        </w:numPr>
        <w:spacing w:line="560" w:lineRule="exact"/>
        <w:jc w:val="center"/>
        <w:outlineLvl w:val="0"/>
        <w:rPr>
          <w:rFonts w:hint="eastAsia" w:ascii="宋体" w:hAnsi="宋体" w:eastAsia="宋体" w:cs="宋体"/>
          <w:color w:val="auto"/>
          <w:kern w:val="0"/>
          <w:sz w:val="44"/>
          <w:szCs w:val="44"/>
          <w:highlight w:val="none"/>
          <w:lang w:val="en-US" w:eastAsia="zh-CN" w:bidi="ar-SA"/>
        </w:rPr>
      </w:pPr>
    </w:p>
    <w:p w14:paraId="3F8E4759">
      <w:pPr>
        <w:numPr>
          <w:ilvl w:val="0"/>
          <w:numId w:val="0"/>
        </w:numPr>
        <w:spacing w:line="560" w:lineRule="exact"/>
        <w:jc w:val="center"/>
        <w:outlineLvl w:val="0"/>
        <w:rPr>
          <w:rFonts w:hint="eastAsia" w:ascii="宋体" w:hAnsi="宋体" w:eastAsia="宋体" w:cs="宋体"/>
          <w:color w:val="auto"/>
          <w:kern w:val="0"/>
          <w:sz w:val="44"/>
          <w:szCs w:val="44"/>
          <w:highlight w:val="none"/>
          <w:lang w:val="en-US" w:eastAsia="zh-CN" w:bidi="ar-SA"/>
        </w:rPr>
      </w:pPr>
    </w:p>
    <w:p w14:paraId="27748F47">
      <w:pPr>
        <w:numPr>
          <w:ilvl w:val="0"/>
          <w:numId w:val="0"/>
        </w:numPr>
        <w:spacing w:line="560" w:lineRule="exact"/>
        <w:jc w:val="center"/>
        <w:outlineLvl w:val="0"/>
        <w:rPr>
          <w:rFonts w:hint="eastAsia" w:ascii="宋体" w:hAnsi="宋体" w:eastAsia="宋体" w:cs="宋体"/>
          <w:color w:val="auto"/>
          <w:kern w:val="0"/>
          <w:sz w:val="44"/>
          <w:szCs w:val="44"/>
          <w:highlight w:val="none"/>
          <w:lang w:val="en-US" w:eastAsia="zh-CN" w:bidi="ar-SA"/>
        </w:rPr>
      </w:pPr>
    </w:p>
    <w:p w14:paraId="7E3276BD">
      <w:pPr>
        <w:numPr>
          <w:ilvl w:val="0"/>
          <w:numId w:val="0"/>
        </w:numPr>
        <w:spacing w:line="560" w:lineRule="exact"/>
        <w:jc w:val="center"/>
        <w:outlineLvl w:val="0"/>
        <w:rPr>
          <w:rFonts w:hint="eastAsia" w:ascii="宋体" w:hAnsi="宋体" w:eastAsia="宋体" w:cs="宋体"/>
          <w:color w:val="auto"/>
          <w:kern w:val="0"/>
          <w:sz w:val="44"/>
          <w:szCs w:val="44"/>
          <w:highlight w:val="none"/>
          <w:lang w:val="en-US" w:eastAsia="zh-CN" w:bidi="ar-SA"/>
        </w:rPr>
      </w:pPr>
    </w:p>
    <w:p w14:paraId="398ABDE4">
      <w:pPr>
        <w:numPr>
          <w:ilvl w:val="0"/>
          <w:numId w:val="0"/>
        </w:numPr>
        <w:spacing w:line="560" w:lineRule="exact"/>
        <w:jc w:val="center"/>
        <w:outlineLvl w:val="0"/>
        <w:rPr>
          <w:rFonts w:hint="eastAsia" w:ascii="宋体" w:hAnsi="宋体" w:eastAsia="宋体" w:cs="宋体"/>
          <w:color w:val="auto"/>
          <w:kern w:val="0"/>
          <w:sz w:val="44"/>
          <w:szCs w:val="44"/>
          <w:highlight w:val="none"/>
          <w:lang w:val="en-US" w:eastAsia="zh-CN" w:bidi="ar-SA"/>
        </w:rPr>
      </w:pPr>
    </w:p>
    <w:p w14:paraId="7438583F">
      <w:pPr>
        <w:numPr>
          <w:ilvl w:val="0"/>
          <w:numId w:val="0"/>
        </w:numPr>
        <w:spacing w:line="560" w:lineRule="exact"/>
        <w:jc w:val="center"/>
        <w:outlineLvl w:val="0"/>
        <w:rPr>
          <w:rFonts w:hint="eastAsia" w:ascii="宋体" w:hAnsi="宋体" w:eastAsia="宋体" w:cs="宋体"/>
          <w:color w:val="auto"/>
          <w:kern w:val="0"/>
          <w:sz w:val="44"/>
          <w:szCs w:val="44"/>
          <w:highlight w:val="none"/>
          <w:lang w:val="en-US" w:eastAsia="zh-CN" w:bidi="ar-SA"/>
        </w:rPr>
      </w:pPr>
    </w:p>
    <w:p w14:paraId="6A891987">
      <w:pPr>
        <w:numPr>
          <w:ilvl w:val="0"/>
          <w:numId w:val="0"/>
        </w:numPr>
        <w:spacing w:line="560" w:lineRule="exact"/>
        <w:jc w:val="center"/>
        <w:outlineLvl w:val="0"/>
        <w:rPr>
          <w:rFonts w:hint="eastAsia" w:ascii="宋体" w:hAnsi="宋体" w:eastAsia="宋体" w:cs="宋体"/>
          <w:color w:val="auto"/>
          <w:kern w:val="0"/>
          <w:sz w:val="44"/>
          <w:szCs w:val="44"/>
          <w:highlight w:val="none"/>
          <w:lang w:val="en-US" w:eastAsia="zh-CN" w:bidi="ar-SA"/>
        </w:rPr>
      </w:pPr>
    </w:p>
    <w:p w14:paraId="65499991">
      <w:pPr>
        <w:numPr>
          <w:ilvl w:val="0"/>
          <w:numId w:val="0"/>
        </w:numPr>
        <w:spacing w:line="560" w:lineRule="exact"/>
        <w:jc w:val="center"/>
        <w:outlineLvl w:val="0"/>
        <w:rPr>
          <w:rFonts w:hint="eastAsia" w:ascii="宋体" w:hAnsi="宋体" w:eastAsia="宋体" w:cs="宋体"/>
          <w:color w:val="auto"/>
          <w:kern w:val="0"/>
          <w:sz w:val="44"/>
          <w:szCs w:val="44"/>
          <w:highlight w:val="none"/>
          <w:lang w:val="en-US" w:eastAsia="zh-CN" w:bidi="ar-SA"/>
        </w:rPr>
      </w:pPr>
    </w:p>
    <w:p w14:paraId="35F49DA3">
      <w:pPr>
        <w:numPr>
          <w:ilvl w:val="0"/>
          <w:numId w:val="0"/>
        </w:numPr>
        <w:spacing w:line="560" w:lineRule="exact"/>
        <w:jc w:val="center"/>
        <w:outlineLvl w:val="0"/>
        <w:rPr>
          <w:rFonts w:hint="eastAsia" w:ascii="宋体" w:hAnsi="宋体" w:eastAsia="宋体" w:cs="宋体"/>
          <w:color w:val="auto"/>
          <w:kern w:val="0"/>
          <w:sz w:val="44"/>
          <w:szCs w:val="44"/>
          <w:highlight w:val="none"/>
          <w:lang w:val="en-US" w:eastAsia="zh-CN" w:bidi="ar-SA"/>
        </w:rPr>
      </w:pPr>
    </w:p>
    <w:p w14:paraId="2D1E8BEE">
      <w:pPr>
        <w:numPr>
          <w:ilvl w:val="0"/>
          <w:numId w:val="0"/>
        </w:numPr>
        <w:spacing w:line="560" w:lineRule="exact"/>
        <w:jc w:val="center"/>
        <w:outlineLvl w:val="0"/>
        <w:rPr>
          <w:rFonts w:hint="eastAsia" w:ascii="宋体" w:hAnsi="宋体" w:eastAsia="宋体" w:cs="宋体"/>
          <w:color w:val="auto"/>
          <w:kern w:val="0"/>
          <w:sz w:val="44"/>
          <w:szCs w:val="44"/>
          <w:highlight w:val="none"/>
          <w:lang w:val="en-US" w:eastAsia="zh-CN" w:bidi="ar-SA"/>
        </w:rPr>
      </w:pPr>
    </w:p>
    <w:p w14:paraId="2332B890">
      <w:pPr>
        <w:numPr>
          <w:ilvl w:val="0"/>
          <w:numId w:val="0"/>
        </w:numPr>
        <w:spacing w:line="560" w:lineRule="exact"/>
        <w:jc w:val="center"/>
        <w:outlineLvl w:val="0"/>
        <w:rPr>
          <w:rFonts w:hint="eastAsia" w:ascii="宋体" w:hAnsi="宋体" w:eastAsia="宋体" w:cs="宋体"/>
          <w:color w:val="auto"/>
          <w:kern w:val="0"/>
          <w:sz w:val="44"/>
          <w:szCs w:val="44"/>
          <w:highlight w:val="none"/>
          <w:lang w:val="en-US" w:eastAsia="zh-CN" w:bidi="ar-SA"/>
        </w:rPr>
      </w:pPr>
    </w:p>
    <w:p w14:paraId="373B81BF">
      <w:pPr>
        <w:numPr>
          <w:ilvl w:val="0"/>
          <w:numId w:val="0"/>
        </w:numPr>
        <w:spacing w:line="560" w:lineRule="exact"/>
        <w:jc w:val="center"/>
        <w:outlineLvl w:val="0"/>
        <w:rPr>
          <w:rFonts w:hint="eastAsia" w:ascii="宋体" w:hAnsi="宋体" w:eastAsia="宋体" w:cs="宋体"/>
          <w:color w:val="auto"/>
          <w:kern w:val="0"/>
          <w:sz w:val="44"/>
          <w:szCs w:val="44"/>
          <w:highlight w:val="none"/>
          <w:lang w:val="en-US" w:eastAsia="zh-CN" w:bidi="ar-SA"/>
        </w:rPr>
      </w:pPr>
    </w:p>
    <w:p w14:paraId="461DCFD6">
      <w:pPr>
        <w:numPr>
          <w:ilvl w:val="0"/>
          <w:numId w:val="0"/>
        </w:numPr>
        <w:spacing w:line="560" w:lineRule="exact"/>
        <w:jc w:val="center"/>
        <w:outlineLvl w:val="0"/>
        <w:rPr>
          <w:rFonts w:hint="eastAsia" w:ascii="宋体" w:hAnsi="宋体" w:eastAsia="宋体" w:cs="宋体"/>
          <w:color w:val="auto"/>
          <w:kern w:val="0"/>
          <w:sz w:val="44"/>
          <w:szCs w:val="44"/>
          <w:highlight w:val="none"/>
          <w:lang w:val="en-US" w:eastAsia="zh-CN" w:bidi="ar-SA"/>
        </w:rPr>
      </w:pPr>
    </w:p>
    <w:p w14:paraId="096EE961">
      <w:pPr>
        <w:numPr>
          <w:ilvl w:val="0"/>
          <w:numId w:val="0"/>
        </w:numPr>
        <w:spacing w:line="560" w:lineRule="exact"/>
        <w:jc w:val="center"/>
        <w:outlineLvl w:val="0"/>
        <w:rPr>
          <w:rFonts w:hint="eastAsia" w:ascii="宋体" w:hAnsi="宋体" w:eastAsia="宋体" w:cs="宋体"/>
          <w:color w:val="auto"/>
          <w:kern w:val="0"/>
          <w:sz w:val="44"/>
          <w:szCs w:val="44"/>
          <w:highlight w:val="none"/>
          <w:lang w:val="en-US" w:eastAsia="zh-CN" w:bidi="ar-SA"/>
        </w:rPr>
      </w:pPr>
      <w:r>
        <w:rPr>
          <w:rFonts w:hint="eastAsia" w:ascii="宋体" w:hAnsi="宋体" w:eastAsia="宋体" w:cs="宋体"/>
          <w:color w:val="auto"/>
          <w:kern w:val="0"/>
          <w:sz w:val="44"/>
          <w:szCs w:val="44"/>
          <w:highlight w:val="none"/>
          <w:lang w:val="en-US" w:eastAsia="zh-CN" w:bidi="ar-SA"/>
        </w:rPr>
        <w:t xml:space="preserve">第二部分 </w:t>
      </w:r>
      <w:r>
        <w:rPr>
          <w:rFonts w:hint="eastAsia" w:ascii="宋体" w:hAnsi="宋体" w:eastAsia="宋体" w:cs="宋体"/>
          <w:color w:val="auto"/>
          <w:kern w:val="0"/>
          <w:sz w:val="44"/>
          <w:szCs w:val="44"/>
          <w:highlight w:val="none"/>
          <w:lang w:val="zh-CN" w:eastAsia="zh-CN" w:bidi="ar-SA"/>
        </w:rPr>
        <w:t>专用</w:t>
      </w:r>
      <w:r>
        <w:rPr>
          <w:rFonts w:hint="eastAsia" w:ascii="宋体" w:hAnsi="宋体" w:eastAsia="宋体" w:cs="宋体"/>
          <w:color w:val="auto"/>
          <w:kern w:val="0"/>
          <w:sz w:val="44"/>
          <w:szCs w:val="44"/>
          <w:highlight w:val="none"/>
          <w:lang w:val="en-US" w:eastAsia="zh-CN" w:bidi="ar-SA"/>
        </w:rPr>
        <w:t>合同条款</w:t>
      </w:r>
      <w:bookmarkEnd w:id="20"/>
      <w:bookmarkEnd w:id="21"/>
      <w:bookmarkEnd w:id="22"/>
      <w:bookmarkEnd w:id="23"/>
    </w:p>
    <w:p w14:paraId="3F803A68">
      <w:pPr>
        <w:pStyle w:val="2"/>
        <w:pageBreakBefore w:val="0"/>
        <w:kinsoku/>
        <w:overflowPunct/>
        <w:topLinePunct w:val="0"/>
        <w:bidi w:val="0"/>
        <w:spacing w:line="360" w:lineRule="auto"/>
        <w:rPr>
          <w:rFonts w:ascii="宋体" w:hAnsi="宋体" w:cs="宋体"/>
          <w:color w:val="auto"/>
          <w:sz w:val="21"/>
          <w:szCs w:val="21"/>
          <w:highlight w:val="none"/>
        </w:rPr>
      </w:pPr>
      <w:bookmarkStart w:id="24" w:name="_Toc222031029"/>
      <w:bookmarkStart w:id="25" w:name="_Toc14158"/>
      <w:bookmarkStart w:id="26" w:name="_Toc222033878"/>
      <w:bookmarkStart w:id="27" w:name="_Toc136350384"/>
      <w:bookmarkStart w:id="28" w:name="_Toc222029527"/>
      <w:bookmarkStart w:id="29" w:name="_Toc229305387"/>
      <w:bookmarkStart w:id="30" w:name="_Toc222032696"/>
      <w:bookmarkStart w:id="31" w:name="_Toc33183707"/>
      <w:bookmarkStart w:id="32" w:name="_Toc59810404"/>
      <w:bookmarkStart w:id="33" w:name="_Toc221951111"/>
      <w:r>
        <w:rPr>
          <w:rFonts w:hint="eastAsia" w:ascii="宋体" w:hAnsi="宋体" w:cs="宋体"/>
          <w:color w:val="auto"/>
          <w:sz w:val="21"/>
          <w:szCs w:val="21"/>
          <w:highlight w:val="none"/>
        </w:rPr>
        <w:t>1.一般约定</w:t>
      </w:r>
      <w:bookmarkEnd w:id="24"/>
      <w:bookmarkEnd w:id="25"/>
      <w:bookmarkEnd w:id="26"/>
      <w:bookmarkEnd w:id="27"/>
      <w:bookmarkEnd w:id="28"/>
      <w:bookmarkEnd w:id="29"/>
      <w:bookmarkEnd w:id="30"/>
      <w:bookmarkEnd w:id="31"/>
      <w:bookmarkEnd w:id="32"/>
      <w:bookmarkEnd w:id="33"/>
    </w:p>
    <w:p w14:paraId="6F83EBA3">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bookmarkStart w:id="34" w:name="_Toc221951112"/>
      <w:bookmarkStart w:id="35" w:name="_Toc33183708"/>
      <w:r>
        <w:rPr>
          <w:rFonts w:hint="eastAsia" w:ascii="宋体" w:hAnsi="宋体" w:cs="宋体"/>
          <w:color w:val="auto"/>
          <w:szCs w:val="21"/>
          <w:highlight w:val="none"/>
        </w:rPr>
        <w:t>1.1  词语定义</w:t>
      </w:r>
      <w:bookmarkEnd w:id="34"/>
      <w:bookmarkEnd w:id="35"/>
    </w:p>
    <w:p w14:paraId="1EE77957">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bookmarkStart w:id="36" w:name="_Toc221951113"/>
      <w:r>
        <w:rPr>
          <w:rFonts w:hint="eastAsia" w:ascii="宋体" w:hAnsi="宋体" w:cs="宋体"/>
          <w:color w:val="auto"/>
          <w:kern w:val="0"/>
          <w:szCs w:val="21"/>
          <w:highlight w:val="none"/>
        </w:rPr>
        <w:t>1.1.1 合同</w:t>
      </w:r>
    </w:p>
    <w:p w14:paraId="14604225">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1.1.1.6 技术标准和要求：</w:t>
      </w:r>
      <w:r>
        <w:rPr>
          <w:rFonts w:hint="eastAsia" w:ascii="宋体" w:hAnsi="宋体" w:cs="宋体"/>
          <w:color w:val="auto"/>
          <w:kern w:val="0"/>
          <w:szCs w:val="21"/>
          <w:highlight w:val="none"/>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p>
    <w:p w14:paraId="38B8E104">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1.1.1.8 已标价工程量清单：</w:t>
      </w:r>
      <w:r>
        <w:rPr>
          <w:rFonts w:hint="eastAsia" w:ascii="宋体" w:hAnsi="宋体" w:cs="宋体"/>
          <w:color w:val="auto"/>
          <w:kern w:val="0"/>
          <w:szCs w:val="21"/>
          <w:highlight w:val="none"/>
          <w:u w:val="single"/>
        </w:rPr>
        <w:t>指构成合同文件组成部分的已标明</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价格、经算术性错误修正及其他错误修正（如有）且承包人已确认的最终的工程量清单。</w:t>
      </w:r>
    </w:p>
    <w:p w14:paraId="3A6AFA5D">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rPr>
        <w:t>1.1.1.9 其他合同文件：</w:t>
      </w:r>
      <w:r>
        <w:rPr>
          <w:rFonts w:hint="eastAsia" w:ascii="宋体" w:hAnsi="宋体" w:cs="宋体"/>
          <w:color w:val="auto"/>
          <w:kern w:val="0"/>
          <w:szCs w:val="21"/>
          <w:highlight w:val="none"/>
          <w:u w:val="single"/>
        </w:rPr>
        <w:t>按照合同协议书〔第六条〕约定执行。</w:t>
      </w:r>
    </w:p>
    <w:p w14:paraId="4CB56F3E">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本项补充1.1.1.10～1.1.1.15目：</w:t>
      </w:r>
    </w:p>
    <w:p w14:paraId="5354F795">
      <w:pPr>
        <w:pageBreakBefore w:val="0"/>
        <w:kinsoku/>
        <w:overflowPunct/>
        <w:topLinePunct w:val="0"/>
        <w:bidi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1.1.1.10招标文件：</w:t>
      </w:r>
      <w:r>
        <w:rPr>
          <w:rFonts w:hint="eastAsia" w:ascii="宋体" w:hAnsi="宋体"/>
          <w:color w:val="auto"/>
          <w:kern w:val="0"/>
          <w:szCs w:val="21"/>
          <w:highlight w:val="none"/>
          <w:u w:val="single"/>
        </w:rPr>
        <w:t>指本工程的招标文件、图纸、其他技术资料及招标人发出的对招标文件所作的澄清、修改、修改等资料</w:t>
      </w:r>
      <w:r>
        <w:rPr>
          <w:rFonts w:hint="eastAsia" w:ascii="宋体" w:hAnsi="宋体"/>
          <w:color w:val="auto"/>
          <w:kern w:val="0"/>
          <w:szCs w:val="21"/>
          <w:highlight w:val="none"/>
        </w:rPr>
        <w:t>。</w:t>
      </w:r>
    </w:p>
    <w:p w14:paraId="6F08887E">
      <w:pPr>
        <w:pageBreakBefore w:val="0"/>
        <w:kinsoku/>
        <w:overflowPunct/>
        <w:topLinePunct w:val="0"/>
        <w:bidi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1.1.1.11 工作：</w:t>
      </w:r>
      <w:r>
        <w:rPr>
          <w:rFonts w:hint="eastAsia" w:ascii="宋体" w:hAnsi="宋体"/>
          <w:color w:val="auto"/>
          <w:kern w:val="0"/>
          <w:szCs w:val="21"/>
          <w:highlight w:val="none"/>
          <w:u w:val="single"/>
        </w:rPr>
        <w:t>指根据合同条款规定，或根据合同合理推及的，为本工程（包括永久工程和临时工程）施工与维护所需要的管理、劳务、材料、施工设备和其他物品的提供</w:t>
      </w:r>
      <w:r>
        <w:rPr>
          <w:rFonts w:hint="eastAsia" w:ascii="宋体" w:hAnsi="宋体"/>
          <w:color w:val="auto"/>
          <w:kern w:val="0"/>
          <w:szCs w:val="21"/>
          <w:highlight w:val="none"/>
        </w:rPr>
        <w:t>。</w:t>
      </w:r>
    </w:p>
    <w:p w14:paraId="799CC700">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1.1.1.12 重大设计变更：</w:t>
      </w:r>
      <w:r>
        <w:rPr>
          <w:rFonts w:hint="eastAsia" w:ascii="宋体" w:hAnsi="宋体"/>
          <w:color w:val="auto"/>
          <w:kern w:val="0"/>
          <w:szCs w:val="21"/>
          <w:highlight w:val="none"/>
          <w:u w:val="single"/>
        </w:rPr>
        <w:t>中小型工程以《重庆市水利工程建设项目设计变更及投资概算调整管理办法》（渝水基</w:t>
      </w:r>
      <w:r>
        <w:rPr>
          <w:rFonts w:hint="eastAsia" w:ascii="宋体" w:hAnsi="宋体"/>
          <w:color w:val="auto"/>
          <w:kern w:val="0"/>
          <w:szCs w:val="21"/>
          <w:highlight w:val="none"/>
          <w:u w:val="single"/>
          <w:lang w:eastAsia="zh-CN"/>
        </w:rPr>
        <w:t>〔</w:t>
      </w:r>
      <w:r>
        <w:rPr>
          <w:rFonts w:hint="eastAsia" w:ascii="宋体" w:hAnsi="宋体"/>
          <w:color w:val="auto"/>
          <w:kern w:val="0"/>
          <w:szCs w:val="21"/>
          <w:highlight w:val="none"/>
          <w:u w:val="single"/>
        </w:rPr>
        <w:t>2007</w:t>
      </w:r>
      <w:r>
        <w:rPr>
          <w:rFonts w:hint="eastAsia" w:ascii="宋体" w:hAnsi="宋体"/>
          <w:color w:val="auto"/>
          <w:kern w:val="0"/>
          <w:szCs w:val="21"/>
          <w:highlight w:val="none"/>
          <w:u w:val="single"/>
          <w:lang w:eastAsia="zh-CN"/>
        </w:rPr>
        <w:t>〕</w:t>
      </w:r>
      <w:r>
        <w:rPr>
          <w:rFonts w:hint="eastAsia" w:ascii="宋体" w:hAnsi="宋体"/>
          <w:color w:val="auto"/>
          <w:kern w:val="0"/>
          <w:szCs w:val="21"/>
          <w:highlight w:val="none"/>
          <w:u w:val="single"/>
        </w:rPr>
        <w:t>20号文）为准，大型工程以“关于印发《水利工程设计变更管理暂行办法》的通知”（水规计</w:t>
      </w:r>
      <w:r>
        <w:rPr>
          <w:rFonts w:hint="eastAsia" w:ascii="宋体" w:hAnsi="宋体"/>
          <w:color w:val="auto"/>
          <w:kern w:val="0"/>
          <w:szCs w:val="21"/>
          <w:highlight w:val="none"/>
          <w:u w:val="single"/>
          <w:lang w:eastAsia="zh-CN"/>
        </w:rPr>
        <w:t>〔</w:t>
      </w:r>
      <w:r>
        <w:rPr>
          <w:rFonts w:hint="eastAsia" w:ascii="宋体" w:hAnsi="宋体"/>
          <w:color w:val="auto"/>
          <w:kern w:val="0"/>
          <w:szCs w:val="21"/>
          <w:highlight w:val="none"/>
          <w:u w:val="single"/>
        </w:rPr>
        <w:t>2012</w:t>
      </w:r>
      <w:r>
        <w:rPr>
          <w:rFonts w:hint="eastAsia" w:ascii="宋体" w:hAnsi="宋体"/>
          <w:color w:val="auto"/>
          <w:kern w:val="0"/>
          <w:szCs w:val="21"/>
          <w:highlight w:val="none"/>
          <w:u w:val="single"/>
          <w:lang w:eastAsia="zh-CN"/>
        </w:rPr>
        <w:t>〕</w:t>
      </w:r>
      <w:r>
        <w:rPr>
          <w:rFonts w:hint="eastAsia" w:ascii="宋体" w:hAnsi="宋体"/>
          <w:color w:val="auto"/>
          <w:kern w:val="0"/>
          <w:szCs w:val="21"/>
          <w:highlight w:val="none"/>
          <w:u w:val="single"/>
        </w:rPr>
        <w:t>93号文）为准。</w:t>
      </w:r>
    </w:p>
    <w:p w14:paraId="37D734CD">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1.1.1.13 公章：专指法人单位名称章。</w:t>
      </w:r>
    </w:p>
    <w:p w14:paraId="3065AB6C">
      <w:pPr>
        <w:pageBreakBefore w:val="0"/>
        <w:kinsoku/>
        <w:overflowPunct/>
        <w:topLinePunct w:val="0"/>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1.1.1.14 到岗：指承包人按照到岗履职承诺安排满足办理施工许可手续相关要求的项目主要管理人员实际到施工现场就职履约的行为。</w:t>
      </w:r>
    </w:p>
    <w:p w14:paraId="22715C37">
      <w:pPr>
        <w:pageBreakBefore w:val="0"/>
        <w:kinsoku/>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1.1.1.15 项目法人：指具有民事权利能力和民事行为能力，依法独立享有民事权利和承担民事义务，以建设项目为目的，从事项目管理的机构、单位或组织。</w:t>
      </w:r>
    </w:p>
    <w:p w14:paraId="2FABB9B5">
      <w:pPr>
        <w:pageBreakBefore w:val="0"/>
        <w:kinsoku/>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1.1.2  合同当事人和人员</w:t>
      </w:r>
      <w:bookmarkEnd w:id="36"/>
    </w:p>
    <w:p w14:paraId="44B8DCD9">
      <w:pPr>
        <w:pageBreakBefore w:val="0"/>
        <w:kinsoku/>
        <w:overflowPunct/>
        <w:topLinePunct w:val="0"/>
        <w:bidi w:val="0"/>
        <w:spacing w:line="360" w:lineRule="auto"/>
        <w:ind w:firstLine="420" w:firstLineChars="200"/>
        <w:rPr>
          <w:rFonts w:ascii="宋体" w:hAnsi="宋体" w:cs="宋体"/>
          <w:color w:val="auto"/>
          <w:szCs w:val="21"/>
          <w:highlight w:val="none"/>
        </w:rPr>
      </w:pPr>
      <w:bookmarkStart w:id="37" w:name="_Toc221951114"/>
      <w:bookmarkStart w:id="38" w:name="_Toc221951125"/>
      <w:r>
        <w:rPr>
          <w:rFonts w:hint="eastAsia" w:ascii="宋体" w:hAnsi="宋体" w:cs="宋体"/>
          <w:color w:val="auto"/>
          <w:szCs w:val="21"/>
          <w:highlight w:val="none"/>
        </w:rPr>
        <w:t>1.1.2.2  发包人：</w:t>
      </w:r>
      <w:r>
        <w:rPr>
          <w:rFonts w:hint="eastAsia" w:ascii="宋体" w:hAnsi="宋体" w:cs="宋体"/>
          <w:color w:val="auto"/>
          <w:szCs w:val="21"/>
          <w:highlight w:val="none"/>
          <w:u w:val="single"/>
        </w:rPr>
        <w:t xml:space="preserve">     </w:t>
      </w:r>
      <w:r>
        <w:rPr>
          <w:rFonts w:hint="eastAsia" w:ascii="宋体" w:hAnsi="宋体" w:cs="宋体"/>
          <w:color w:val="auto"/>
          <w:sz w:val="21"/>
          <w:szCs w:val="21"/>
          <w:highlight w:val="none"/>
          <w:u w:val="single"/>
          <w:lang w:eastAsia="zh-CN"/>
        </w:rPr>
        <w:t>重庆市南川区泽禹供水有限责任公司</w:t>
      </w:r>
      <w:r>
        <w:rPr>
          <w:rFonts w:hint="eastAsia" w:ascii="宋体" w:hAnsi="宋体" w:cs="宋体"/>
          <w:color w:val="auto"/>
          <w:spacing w:val="-5"/>
          <w:sz w:val="21"/>
          <w:szCs w:val="21"/>
          <w:highlight w:val="none"/>
          <w:u w:val="single"/>
          <w:lang w:val="en-US" w:eastAsia="zh-CN"/>
        </w:rPr>
        <w:t xml:space="preserve"> </w:t>
      </w:r>
      <w:r>
        <w:rPr>
          <w:rFonts w:hint="eastAsia" w:ascii="宋体" w:hAnsi="宋体" w:cs="宋体"/>
          <w:color w:val="auto"/>
          <w:szCs w:val="21"/>
          <w:highlight w:val="none"/>
          <w:u w:val="single"/>
        </w:rPr>
        <w:t xml:space="preserve">    </w:t>
      </w:r>
      <w:bookmarkEnd w:id="37"/>
      <w:r>
        <w:rPr>
          <w:rFonts w:hint="eastAsia" w:ascii="宋体" w:hAnsi="宋体" w:cs="宋体"/>
          <w:color w:val="auto"/>
          <w:szCs w:val="21"/>
          <w:highlight w:val="none"/>
        </w:rPr>
        <w:t>；</w:t>
      </w:r>
    </w:p>
    <w:p w14:paraId="06D15952">
      <w:pPr>
        <w:pageBreakBefore w:val="0"/>
        <w:kinsoku/>
        <w:overflowPunct/>
        <w:topLinePunct w:val="0"/>
        <w:bidi w:val="0"/>
        <w:spacing w:line="360" w:lineRule="auto"/>
        <w:ind w:firstLine="840" w:firstLineChars="400"/>
        <w:jc w:val="left"/>
        <w:rPr>
          <w:color w:val="auto"/>
          <w:highlight w:val="none"/>
        </w:rPr>
      </w:pPr>
      <w:r>
        <w:rPr>
          <w:rFonts w:hint="eastAsia" w:ascii="宋体" w:hAnsi="宋体"/>
          <w:color w:val="auto"/>
          <w:szCs w:val="21"/>
          <w:highlight w:val="none"/>
        </w:rPr>
        <w:t>联系人及联系方式：</w:t>
      </w:r>
      <w:r>
        <w:rPr>
          <w:rFonts w:ascii="宋体" w:hAnsi="宋体"/>
          <w:color w:val="auto"/>
          <w:szCs w:val="21"/>
          <w:highlight w:val="none"/>
          <w:u w:val="single"/>
        </w:rPr>
        <w:t></w:t>
      </w:r>
      <w:r>
        <w:rPr>
          <w:rFonts w:hint="eastAsia" w:ascii="宋体" w:hAnsi="宋体" w:cs="宋体"/>
          <w:color w:val="auto"/>
          <w:kern w:val="0"/>
          <w:szCs w:val="21"/>
          <w:highlight w:val="none"/>
          <w:u w:val="single"/>
          <w:lang w:eastAsia="zh-CN"/>
        </w:rPr>
        <w:t>严青林</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s="宋体"/>
          <w:color w:val="auto"/>
          <w:kern w:val="0"/>
          <w:szCs w:val="21"/>
          <w:highlight w:val="none"/>
          <w:u w:val="single"/>
          <w:lang w:val="en-US" w:eastAsia="zh-CN"/>
        </w:rPr>
        <w:t>13896501333</w:t>
      </w:r>
      <w:r>
        <w:rPr>
          <w:rFonts w:hint="eastAsia" w:ascii="宋体" w:hAnsi="宋体"/>
          <w:color w:val="auto"/>
          <w:szCs w:val="21"/>
          <w:highlight w:val="none"/>
        </w:rPr>
        <w:t>。</w:t>
      </w:r>
    </w:p>
    <w:p w14:paraId="50A9F8E2">
      <w:pPr>
        <w:pageBreakBefore w:val="0"/>
        <w:kinsoku/>
        <w:overflowPunct/>
        <w:topLinePunct w:val="0"/>
        <w:bidi w:val="0"/>
        <w:spacing w:line="360" w:lineRule="auto"/>
        <w:ind w:firstLine="420" w:firstLineChars="200"/>
        <w:rPr>
          <w:rFonts w:ascii="宋体" w:hAnsi="宋体" w:cs="宋体"/>
          <w:color w:val="auto"/>
          <w:szCs w:val="21"/>
          <w:highlight w:val="none"/>
        </w:rPr>
      </w:pPr>
      <w:bookmarkStart w:id="39" w:name="_Toc221951115"/>
      <w:r>
        <w:rPr>
          <w:rFonts w:hint="eastAsia" w:ascii="宋体" w:hAnsi="宋体" w:cs="宋体"/>
          <w:color w:val="auto"/>
          <w:szCs w:val="21"/>
          <w:highlight w:val="none"/>
        </w:rPr>
        <w:t>1.1.2.3  承包人：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snapToGrid w:val="0"/>
          <w:color w:val="auto"/>
          <w:kern w:val="0"/>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D6EDDDA">
      <w:pPr>
        <w:pageBreakBefore w:val="0"/>
        <w:kinsoku/>
        <w:overflowPunct/>
        <w:topLinePunct w:val="0"/>
        <w:bidi w:val="0"/>
        <w:spacing w:line="360" w:lineRule="auto"/>
        <w:ind w:firstLine="840" w:firstLineChars="400"/>
        <w:jc w:val="left"/>
        <w:rPr>
          <w:rFonts w:ascii="宋体" w:hAnsi="宋体"/>
          <w:color w:val="auto"/>
          <w:szCs w:val="21"/>
          <w:highlight w:val="none"/>
        </w:rPr>
      </w:pPr>
      <w:r>
        <w:rPr>
          <w:rFonts w:hint="eastAsia" w:ascii="宋体" w:hAnsi="宋体"/>
          <w:color w:val="auto"/>
          <w:szCs w:val="21"/>
          <w:highlight w:val="none"/>
        </w:rPr>
        <w:t>资质类别和等级：</w:t>
      </w:r>
      <w:r>
        <w:rPr>
          <w:rFonts w:ascii="宋体" w:hAnsi="宋体"/>
          <w:color w:val="auto"/>
          <w:szCs w:val="21"/>
          <w:highlight w:val="none"/>
          <w:u w:val="single"/>
        </w:rPr>
        <w:t></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w:t>
      </w:r>
      <w:r>
        <w:rPr>
          <w:rFonts w:hint="eastAsia" w:ascii="宋体" w:hAnsi="宋体"/>
          <w:color w:val="auto"/>
          <w:szCs w:val="21"/>
          <w:highlight w:val="none"/>
        </w:rPr>
        <w:t>；</w:t>
      </w:r>
    </w:p>
    <w:p w14:paraId="13E96671">
      <w:pPr>
        <w:pageBreakBefore w:val="0"/>
        <w:kinsoku/>
        <w:overflowPunct/>
        <w:topLinePunct w:val="0"/>
        <w:bidi w:val="0"/>
        <w:spacing w:line="360" w:lineRule="auto"/>
        <w:ind w:firstLine="840" w:firstLineChars="400"/>
        <w:jc w:val="left"/>
        <w:rPr>
          <w:rFonts w:ascii="宋体" w:hAnsi="宋体" w:cs="宋体"/>
          <w:color w:val="auto"/>
          <w:szCs w:val="21"/>
          <w:highlight w:val="none"/>
        </w:rPr>
      </w:pPr>
      <w:r>
        <w:rPr>
          <w:rFonts w:hint="eastAsia" w:ascii="宋体" w:hAnsi="宋体"/>
          <w:color w:val="auto"/>
          <w:szCs w:val="21"/>
          <w:highlight w:val="none"/>
        </w:rPr>
        <w:t>联系人及联系方式：</w:t>
      </w:r>
      <w:r>
        <w:rPr>
          <w:rFonts w:ascii="宋体" w:hAnsi="宋体"/>
          <w:color w:val="auto"/>
          <w:szCs w:val="21"/>
          <w:highlight w:val="none"/>
          <w:u w:val="single"/>
        </w:rPr>
        <w:t></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bookmarkEnd w:id="39"/>
    </w:p>
    <w:p w14:paraId="33219362">
      <w:pPr>
        <w:pageBreakBefore w:val="0"/>
        <w:kinsoku/>
        <w:overflowPunct/>
        <w:topLinePunct w:val="0"/>
        <w:bidi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 监理人：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(填入监理人名称)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3873DFDE">
      <w:pPr>
        <w:pageBreakBefore w:val="0"/>
        <w:kinsoku/>
        <w:overflowPunct/>
        <w:topLinePunct w:val="0"/>
        <w:bidi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04E558C9">
      <w:pPr>
        <w:pageBreakBefore w:val="0"/>
        <w:kinsoku/>
        <w:overflowPunct/>
        <w:topLinePunct w:val="0"/>
        <w:bidi w:val="0"/>
        <w:spacing w:line="360" w:lineRule="auto"/>
        <w:ind w:firstLine="840" w:firstLineChars="400"/>
        <w:rPr>
          <w:rFonts w:hint="eastAsia" w:ascii="宋体" w:hAnsi="宋体" w:cs="宋体"/>
          <w:color w:val="auto"/>
          <w:szCs w:val="21"/>
          <w:highlight w:val="none"/>
          <w:u w:val="none"/>
        </w:rPr>
      </w:pPr>
      <w:r>
        <w:rPr>
          <w:rFonts w:hint="eastAsia" w:ascii="宋体" w:hAnsi="宋体" w:cs="宋体"/>
          <w:color w:val="auto"/>
          <w:szCs w:val="21"/>
          <w:highlight w:val="none"/>
        </w:rPr>
        <w:t>联系人及联系方式：</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w:t>
      </w:r>
    </w:p>
    <w:p w14:paraId="49C5BC3C">
      <w:pPr>
        <w:pageBreakBefore w:val="0"/>
        <w:kinsoku/>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1.1.4  日期</w:t>
      </w:r>
      <w:bookmarkEnd w:id="38"/>
    </w:p>
    <w:p w14:paraId="04BBED31">
      <w:pPr>
        <w:pageBreakBefore w:val="0"/>
        <w:kinsoku/>
        <w:overflowPunct/>
        <w:topLinePunct w:val="0"/>
        <w:bidi w:val="0"/>
        <w:spacing w:line="360" w:lineRule="auto"/>
        <w:ind w:firstLine="420" w:firstLineChars="200"/>
        <w:rPr>
          <w:rFonts w:ascii="宋体" w:hAnsi="宋体" w:cs="宋体"/>
          <w:color w:val="auto"/>
          <w:szCs w:val="21"/>
          <w:highlight w:val="none"/>
        </w:rPr>
      </w:pPr>
      <w:bookmarkStart w:id="40" w:name="_Toc221951126"/>
      <w:r>
        <w:rPr>
          <w:rFonts w:hint="eastAsia" w:ascii="宋体" w:hAnsi="宋体" w:cs="宋体"/>
          <w:color w:val="auto"/>
          <w:szCs w:val="21"/>
          <w:highlight w:val="none"/>
        </w:rPr>
        <w:t>1.1.4.5  缺陷责任期：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24个月     </w:t>
      </w:r>
      <w:r>
        <w:rPr>
          <w:rFonts w:hint="eastAsia" w:ascii="宋体" w:hAnsi="宋体" w:cs="宋体"/>
          <w:color w:val="auto"/>
          <w:szCs w:val="21"/>
          <w:highlight w:val="none"/>
        </w:rPr>
        <w:t>。</w:t>
      </w:r>
      <w:bookmarkEnd w:id="40"/>
    </w:p>
    <w:p w14:paraId="0A1B0915">
      <w:pPr>
        <w:pageBreakBefore w:val="0"/>
        <w:kinsoku/>
        <w:overflowPunct/>
        <w:topLinePunct w:val="0"/>
        <w:bidi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工程质量保修期：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24个月    </w:t>
      </w:r>
      <w:r>
        <w:rPr>
          <w:rFonts w:hint="eastAsia" w:ascii="宋体" w:hAnsi="宋体" w:cs="宋体"/>
          <w:color w:val="auto"/>
          <w:szCs w:val="21"/>
          <w:highlight w:val="none"/>
        </w:rPr>
        <w:t>。</w:t>
      </w:r>
    </w:p>
    <w:p w14:paraId="6C723003">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bookmarkStart w:id="41" w:name="_Toc33183709"/>
      <w:bookmarkStart w:id="42" w:name="_Toc221951127"/>
      <w:r>
        <w:rPr>
          <w:rFonts w:hint="eastAsia" w:ascii="宋体" w:hAnsi="宋体" w:cs="宋体"/>
          <w:color w:val="auto"/>
          <w:szCs w:val="21"/>
          <w:highlight w:val="none"/>
        </w:rPr>
        <w:t>1.4  合同文件的优先顺序</w:t>
      </w:r>
      <w:bookmarkEnd w:id="41"/>
      <w:bookmarkEnd w:id="42"/>
    </w:p>
    <w:p w14:paraId="04B6AFB1">
      <w:pPr>
        <w:pageBreakBefore w:val="0"/>
        <w:kinsoku/>
        <w:overflowPunct/>
        <w:topLinePunct w:val="0"/>
        <w:bidi w:val="0"/>
        <w:spacing w:line="360" w:lineRule="auto"/>
        <w:ind w:firstLine="420" w:firstLineChars="200"/>
        <w:jc w:val="left"/>
        <w:rPr>
          <w:rFonts w:ascii="宋体" w:hAnsi="宋体"/>
          <w:color w:val="auto"/>
          <w:szCs w:val="21"/>
          <w:highlight w:val="none"/>
        </w:rPr>
      </w:pPr>
      <w:bookmarkStart w:id="43" w:name="_Toc221951128"/>
      <w:r>
        <w:rPr>
          <w:rFonts w:hint="eastAsia" w:ascii="宋体" w:hAnsi="宋体"/>
          <w:color w:val="auto"/>
          <w:szCs w:val="21"/>
          <w:highlight w:val="none"/>
        </w:rPr>
        <w:t>合同文件组成及优先顺序为：</w:t>
      </w:r>
      <w:r>
        <w:rPr>
          <w:rFonts w:hint="eastAsia" w:ascii="宋体" w:hAnsi="宋体"/>
          <w:color w:val="auto"/>
          <w:szCs w:val="21"/>
          <w:highlight w:val="none"/>
          <w:u w:val="single"/>
        </w:rPr>
        <w:t>按照合同协议书</w:t>
      </w:r>
      <w:r>
        <w:rPr>
          <w:rFonts w:hint="eastAsia" w:ascii="宋体" w:hAnsi="宋体"/>
          <w:bCs/>
          <w:color w:val="auto"/>
          <w:szCs w:val="21"/>
          <w:highlight w:val="none"/>
          <w:u w:val="single"/>
        </w:rPr>
        <w:t>〔</w:t>
      </w:r>
      <w:r>
        <w:rPr>
          <w:rFonts w:hint="eastAsia" w:ascii="宋体" w:hAnsi="宋体"/>
          <w:color w:val="auto"/>
          <w:szCs w:val="21"/>
          <w:highlight w:val="none"/>
          <w:u w:val="single"/>
        </w:rPr>
        <w:t>第六条</w:t>
      </w:r>
      <w:r>
        <w:rPr>
          <w:rFonts w:hint="eastAsia" w:ascii="宋体" w:hAnsi="宋体"/>
          <w:bCs/>
          <w:color w:val="auto"/>
          <w:szCs w:val="21"/>
          <w:highlight w:val="none"/>
          <w:u w:val="single"/>
        </w:rPr>
        <w:t>〕</w:t>
      </w:r>
      <w:r>
        <w:rPr>
          <w:rFonts w:hint="eastAsia" w:ascii="宋体" w:hAnsi="宋体"/>
          <w:color w:val="auto"/>
          <w:szCs w:val="21"/>
          <w:highlight w:val="none"/>
          <w:u w:val="single"/>
        </w:rPr>
        <w:t>列明的文件顺序执行</w:t>
      </w:r>
      <w:r>
        <w:rPr>
          <w:rFonts w:hint="eastAsia" w:ascii="宋体" w:hAnsi="宋体"/>
          <w:color w:val="auto"/>
          <w:szCs w:val="21"/>
          <w:highlight w:val="none"/>
        </w:rPr>
        <w:t>。</w:t>
      </w:r>
    </w:p>
    <w:bookmarkEnd w:id="43"/>
    <w:p w14:paraId="2ED4508E">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bookmarkStart w:id="44" w:name="_Toc33183710"/>
      <w:r>
        <w:rPr>
          <w:rFonts w:hint="eastAsia" w:ascii="宋体" w:hAnsi="宋体" w:cs="宋体"/>
          <w:color w:val="auto"/>
          <w:szCs w:val="21"/>
          <w:highlight w:val="none"/>
        </w:rPr>
        <w:t>1.6 图纸和承包人文件</w:t>
      </w:r>
      <w:bookmarkEnd w:id="44"/>
    </w:p>
    <w:p w14:paraId="3E5D9511">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1.6.1 图纸的提供</w:t>
      </w:r>
    </w:p>
    <w:p w14:paraId="622ECE06">
      <w:pPr>
        <w:pageBreakBefore w:val="0"/>
        <w:kinsoku/>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发包人向承包人提供图纸的期限：</w:t>
      </w:r>
      <w:r>
        <w:rPr>
          <w:rFonts w:hint="eastAsia" w:ascii="宋体" w:hAnsi="宋体" w:cs="宋体"/>
          <w:color w:val="auto"/>
          <w:kern w:val="0"/>
          <w:szCs w:val="21"/>
          <w:highlight w:val="none"/>
          <w:u w:val="single"/>
        </w:rPr>
        <w:t>通用合同条款第11.1款〔开工通知〕载明的开工日期前   天</w:t>
      </w:r>
      <w:r>
        <w:rPr>
          <w:rFonts w:hint="eastAsia" w:ascii="宋体" w:hAnsi="宋体" w:cs="宋体"/>
          <w:color w:val="auto"/>
          <w:kern w:val="0"/>
          <w:szCs w:val="21"/>
          <w:highlight w:val="none"/>
        </w:rPr>
        <w:t>；</w:t>
      </w:r>
    </w:p>
    <w:p w14:paraId="7DBA3486">
      <w:pPr>
        <w:pageBreakBefore w:val="0"/>
        <w:kinsoku/>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发包人向承包人提供图纸的数量：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1</w:t>
      </w:r>
      <w:r>
        <w:rPr>
          <w:rFonts w:hint="eastAsia" w:ascii="宋体" w:hAnsi="宋体" w:cs="宋体"/>
          <w:color w:val="auto"/>
          <w:kern w:val="0"/>
          <w:szCs w:val="21"/>
          <w:highlight w:val="none"/>
          <w:u w:val="single"/>
        </w:rPr>
        <w:t>套</w:t>
      </w:r>
      <w:r>
        <w:rPr>
          <w:rFonts w:hint="eastAsia" w:ascii="宋体" w:hAnsi="宋体" w:cs="宋体"/>
          <w:color w:val="auto"/>
          <w:kern w:val="0"/>
          <w:szCs w:val="21"/>
          <w:highlight w:val="none"/>
        </w:rPr>
        <w:t>；</w:t>
      </w:r>
    </w:p>
    <w:p w14:paraId="7DB14B99">
      <w:pPr>
        <w:pageBreakBefore w:val="0"/>
        <w:kinsoku/>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发包人向承包人提供图纸的内容：</w:t>
      </w:r>
      <w:r>
        <w:rPr>
          <w:rFonts w:hint="eastAsia" w:ascii="宋体" w:hAnsi="宋体" w:cs="宋体"/>
          <w:color w:val="auto"/>
          <w:kern w:val="0"/>
          <w:szCs w:val="21"/>
          <w:highlight w:val="none"/>
          <w:u w:val="single"/>
        </w:rPr>
        <w:t>工程承包范围内满足工程进度要求的设计文件</w:t>
      </w:r>
      <w:r>
        <w:rPr>
          <w:rFonts w:hint="eastAsia" w:ascii="宋体" w:hAnsi="宋体" w:cs="宋体"/>
          <w:color w:val="auto"/>
          <w:kern w:val="0"/>
          <w:szCs w:val="21"/>
          <w:highlight w:val="none"/>
        </w:rPr>
        <w:t>；</w:t>
      </w:r>
    </w:p>
    <w:p w14:paraId="2BD35DE7">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发包人组织承包人、监理人和设计人进行图纸会审和设计交底、安全交底的时间：</w:t>
      </w:r>
      <w:r>
        <w:rPr>
          <w:rFonts w:hint="eastAsia" w:ascii="宋体" w:hAnsi="宋体" w:cs="宋体"/>
          <w:color w:val="auto"/>
          <w:kern w:val="0"/>
          <w:szCs w:val="21"/>
          <w:highlight w:val="none"/>
          <w:u w:val="single"/>
        </w:rPr>
        <w:t>提供满足工程进度要求的设计文件后 3 天内</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承包人可以书面方式通过监理人向发包人申请进行紧急的设计交底，发包人认为确有必要且条件许可时，应尽快组织实施承包人申请的设计交底</w:t>
      </w:r>
      <w:r>
        <w:rPr>
          <w:rFonts w:hint="eastAsia" w:ascii="宋体" w:hAnsi="宋体" w:cs="宋体"/>
          <w:color w:val="auto"/>
          <w:kern w:val="0"/>
          <w:szCs w:val="21"/>
          <w:highlight w:val="none"/>
        </w:rPr>
        <w:t>。</w:t>
      </w:r>
    </w:p>
    <w:p w14:paraId="03C29A38">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1.6.2 承包人提供的文件</w:t>
      </w:r>
    </w:p>
    <w:p w14:paraId="27D6250E">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承包人提供文件的数量：</w:t>
      </w:r>
      <w:r>
        <w:rPr>
          <w:rFonts w:hint="eastAsia" w:ascii="宋体" w:hAnsi="宋体" w:cs="宋体"/>
          <w:color w:val="auto"/>
          <w:kern w:val="0"/>
          <w:szCs w:val="21"/>
          <w:highlight w:val="none"/>
          <w:u w:val="single"/>
        </w:rPr>
        <w:t xml:space="preserve"> 四套 </w:t>
      </w:r>
      <w:r>
        <w:rPr>
          <w:rFonts w:hint="eastAsia" w:ascii="宋体" w:hAnsi="宋体" w:cs="宋体"/>
          <w:color w:val="auto"/>
          <w:kern w:val="0"/>
          <w:szCs w:val="21"/>
          <w:highlight w:val="none"/>
        </w:rPr>
        <w:t>。需要由承包人提供的书面文件，包括但不限于：</w:t>
      </w:r>
      <w:r>
        <w:rPr>
          <w:rFonts w:hint="eastAsia" w:ascii="宋体" w:hAnsi="宋体" w:cs="宋体"/>
          <w:color w:val="auto"/>
          <w:kern w:val="0"/>
          <w:szCs w:val="21"/>
          <w:highlight w:val="none"/>
          <w:u w:val="single"/>
        </w:rPr>
        <w:t>施工组织设计、专项施工方案、危险性较大的单项工程（如有）、安全应急方案、进度计划、报表及计划、合同工程完工资料（或工程竣工资料）及施工过程中因工程变更需要报送的施工方案、施工过程中涉及工程价款变更的相关资料、完整的完工结算资料等</w:t>
      </w:r>
      <w:r>
        <w:rPr>
          <w:rFonts w:hint="eastAsia" w:ascii="宋体" w:hAnsi="宋体" w:cs="宋体"/>
          <w:color w:val="auto"/>
          <w:kern w:val="0"/>
          <w:szCs w:val="21"/>
          <w:highlight w:val="none"/>
        </w:rPr>
        <w:t>。</w:t>
      </w:r>
    </w:p>
    <w:p w14:paraId="2799289D">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承包人提供文件的期限：</w:t>
      </w:r>
    </w:p>
    <w:p w14:paraId="104CA5DA">
      <w:pPr>
        <w:pageBreakBefore w:val="0"/>
        <w:kinsoku/>
        <w:overflowPunct/>
        <w:topLinePunct w:val="0"/>
        <w:bidi w:val="0"/>
        <w:snapToGrid w:val="0"/>
        <w:spacing w:line="360" w:lineRule="auto"/>
        <w:ind w:firstLine="47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u w:val="single"/>
        </w:rPr>
        <w:t>图纸会审及设计交底后7天内，向监理人、发包人提交经优化完善的施工组织设计和工程总体进度计划及当年年度施工进度计划。进度计划安排必须符合发包人对本工程总体进度计划的安排。专项方案应在专项方案实施7日前通过审查（含专家论证）。施工组织设计和专项方案经监理人审批同意后执行。承包人应接受监理人、发包人对其提交的施工组织设计和专项方案中不合理的工期安排及技术措施、方案的修改意见，并修改完善后重新报批，直至获得批准</w:t>
      </w:r>
      <w:r>
        <w:rPr>
          <w:rFonts w:hint="eastAsia" w:ascii="宋体" w:hAnsi="宋体" w:cs="宋体"/>
          <w:color w:val="auto"/>
          <w:kern w:val="0"/>
          <w:szCs w:val="21"/>
          <w:highlight w:val="none"/>
        </w:rPr>
        <w:t>。</w:t>
      </w:r>
    </w:p>
    <w:p w14:paraId="1A4EE58A">
      <w:pPr>
        <w:pageBreakBefore w:val="0"/>
        <w:kinsoku/>
        <w:overflowPunct/>
        <w:topLinePunct w:val="0"/>
        <w:bidi w:val="0"/>
        <w:snapToGrid w:val="0"/>
        <w:spacing w:line="360" w:lineRule="auto"/>
        <w:ind w:firstLine="47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u w:val="single"/>
        </w:rPr>
        <w:t>每月 20日前报送上月工程进度完成报表</w:t>
      </w:r>
      <w:r>
        <w:rPr>
          <w:rFonts w:hint="eastAsia" w:ascii="宋体" w:hAnsi="宋体" w:cs="宋体"/>
          <w:color w:val="auto"/>
          <w:kern w:val="0"/>
          <w:szCs w:val="21"/>
          <w:highlight w:val="none"/>
        </w:rPr>
        <w:t>。</w:t>
      </w:r>
    </w:p>
    <w:p w14:paraId="4BDBA74A">
      <w:pPr>
        <w:pageBreakBefore w:val="0"/>
        <w:kinsoku/>
        <w:overflowPunct/>
        <w:topLinePunct w:val="0"/>
        <w:bidi w:val="0"/>
        <w:snapToGrid w:val="0"/>
        <w:spacing w:line="360" w:lineRule="auto"/>
        <w:ind w:firstLine="47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u w:val="single"/>
        </w:rPr>
        <w:t>合同另有约定的,按照其约定</w:t>
      </w:r>
      <w:r>
        <w:rPr>
          <w:rFonts w:hint="eastAsia" w:ascii="宋体" w:hAnsi="宋体" w:cs="宋体"/>
          <w:color w:val="auto"/>
          <w:kern w:val="0"/>
          <w:szCs w:val="21"/>
          <w:highlight w:val="none"/>
        </w:rPr>
        <w:t>。</w:t>
      </w:r>
    </w:p>
    <w:p w14:paraId="72848D74">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承包人提供的文件的形式：</w:t>
      </w:r>
      <w:r>
        <w:rPr>
          <w:rFonts w:hint="eastAsia" w:ascii="宋体" w:hAnsi="宋体" w:cs="宋体"/>
          <w:color w:val="auto"/>
          <w:kern w:val="0"/>
          <w:szCs w:val="21"/>
          <w:highlight w:val="none"/>
          <w:u w:val="single"/>
        </w:rPr>
        <w:t xml:space="preserve">  书面提供  </w:t>
      </w:r>
      <w:r>
        <w:rPr>
          <w:rFonts w:hint="eastAsia" w:ascii="宋体" w:hAnsi="宋体" w:cs="宋体"/>
          <w:color w:val="auto"/>
          <w:kern w:val="0"/>
          <w:szCs w:val="21"/>
          <w:highlight w:val="none"/>
        </w:rPr>
        <w:t>。</w:t>
      </w:r>
      <w:r>
        <w:rPr>
          <w:rFonts w:hint="eastAsia" w:ascii="宋体" w:hAnsi="宋体"/>
          <w:color w:val="auto"/>
          <w:szCs w:val="21"/>
          <w:highlight w:val="none"/>
        </w:rPr>
        <w:t>监理人审批承包人文件的期限：</w:t>
      </w:r>
      <w:r>
        <w:rPr>
          <w:rFonts w:hint="eastAsia" w:ascii="宋体" w:hAnsi="宋体"/>
          <w:color w:val="auto"/>
          <w:szCs w:val="21"/>
          <w:highlight w:val="none"/>
          <w:u w:val="single"/>
        </w:rPr>
        <w:t>收到施工组织设计和工程总体进度计划及当年年度施工进度计划后7天内；合同另有约定的，从其约定</w:t>
      </w:r>
      <w:r>
        <w:rPr>
          <w:rFonts w:hint="eastAsia" w:ascii="宋体" w:hAnsi="宋体"/>
          <w:color w:val="auto"/>
          <w:szCs w:val="21"/>
          <w:highlight w:val="none"/>
        </w:rPr>
        <w:t>。</w:t>
      </w:r>
    </w:p>
    <w:p w14:paraId="5F0594ED">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承包人提供的文件的费用：</w:t>
      </w:r>
      <w:r>
        <w:rPr>
          <w:rFonts w:hint="eastAsia" w:ascii="宋体" w:hAnsi="宋体" w:cs="宋体"/>
          <w:color w:val="auto"/>
          <w:kern w:val="0"/>
          <w:szCs w:val="21"/>
          <w:highlight w:val="none"/>
          <w:u w:val="single"/>
        </w:rPr>
        <w:t>由承包人承担</w:t>
      </w:r>
      <w:r>
        <w:rPr>
          <w:rFonts w:hint="eastAsia" w:ascii="宋体" w:hAnsi="宋体" w:cs="宋体"/>
          <w:color w:val="auto"/>
          <w:kern w:val="0"/>
          <w:szCs w:val="21"/>
          <w:highlight w:val="none"/>
        </w:rPr>
        <w:t>。</w:t>
      </w:r>
    </w:p>
    <w:p w14:paraId="371D7EE8">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发包人审批承包人文件的期限：</w:t>
      </w:r>
      <w:r>
        <w:rPr>
          <w:rFonts w:hint="eastAsia" w:ascii="宋体" w:hAnsi="宋体" w:cs="宋体"/>
          <w:color w:val="auto"/>
          <w:kern w:val="0"/>
          <w:szCs w:val="21"/>
          <w:highlight w:val="none"/>
          <w:u w:val="single"/>
        </w:rPr>
        <w:t>收到后14天内；合同另有约定的，从其约定</w:t>
      </w:r>
      <w:r>
        <w:rPr>
          <w:rFonts w:hint="eastAsia" w:ascii="宋体" w:hAnsi="宋体" w:cs="宋体"/>
          <w:color w:val="auto"/>
          <w:kern w:val="0"/>
          <w:szCs w:val="21"/>
          <w:highlight w:val="none"/>
        </w:rPr>
        <w:t>。</w:t>
      </w:r>
    </w:p>
    <w:p w14:paraId="611109AE">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监理人、发包人的修改意见和审批，不免除或减轻承包人对该工作、工程、材料、工程设备等应承担的责任和义务。</w:t>
      </w:r>
    </w:p>
    <w:p w14:paraId="0B8D0FE6">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1.6.4 图纸的错误</w:t>
      </w:r>
    </w:p>
    <w:p w14:paraId="78F51616">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14:paraId="31C8BBE6">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承包人不得利用图纸的差错、遗漏或缺陷，从中获得不正当的利益。</w:t>
      </w:r>
    </w:p>
    <w:p w14:paraId="5AEE0A09">
      <w:pPr>
        <w:pStyle w:val="4"/>
        <w:pageBreakBefore w:val="0"/>
        <w:kinsoku/>
        <w:overflowPunct/>
        <w:topLinePunct w:val="0"/>
        <w:bidi w:val="0"/>
        <w:spacing w:line="360" w:lineRule="auto"/>
        <w:ind w:firstLine="420" w:firstLineChars="200"/>
        <w:rPr>
          <w:rFonts w:ascii="宋体" w:hAnsi="宋体" w:cs="宋体"/>
          <w:color w:val="auto"/>
          <w:szCs w:val="21"/>
          <w:highlight w:val="none"/>
        </w:rPr>
      </w:pPr>
      <w:bookmarkStart w:id="45" w:name="_Toc221951129"/>
      <w:r>
        <w:rPr>
          <w:rFonts w:hint="eastAsia" w:ascii="宋体" w:hAnsi="宋体" w:cs="宋体"/>
          <w:color w:val="auto"/>
          <w:szCs w:val="21"/>
          <w:highlight w:val="none"/>
        </w:rPr>
        <w:t>1.7  联络</w:t>
      </w:r>
      <w:bookmarkEnd w:id="45"/>
    </w:p>
    <w:p w14:paraId="279C17CA">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bookmarkStart w:id="46" w:name="_Toc221951130"/>
      <w:r>
        <w:rPr>
          <w:rFonts w:hint="eastAsia" w:ascii="宋体" w:hAnsi="宋体" w:cs="宋体"/>
          <w:color w:val="auto"/>
          <w:kern w:val="0"/>
          <w:szCs w:val="21"/>
          <w:highlight w:val="none"/>
        </w:rPr>
        <w:t>1.7.1 发包人和承包人应当在</w:t>
      </w:r>
      <w:r>
        <w:rPr>
          <w:rFonts w:hint="eastAsia" w:ascii="宋体" w:hAnsi="宋体" w:cs="宋体"/>
          <w:color w:val="auto"/>
          <w:kern w:val="0"/>
          <w:szCs w:val="21"/>
          <w:highlight w:val="none"/>
          <w:u w:val="single"/>
        </w:rPr>
        <w:t>1</w:t>
      </w:r>
      <w:r>
        <w:rPr>
          <w:rFonts w:hint="eastAsia" w:ascii="宋体" w:hAnsi="宋体" w:cs="宋体"/>
          <w:color w:val="auto"/>
          <w:kern w:val="0"/>
          <w:szCs w:val="21"/>
          <w:highlight w:val="none"/>
        </w:rPr>
        <w:t>天内将与合同有关的通知、批准、证明、证书、指示、指令、要求、请求、同意、意见、确定和决定等书面函件送达对方当事人，并办理书面签收手续。</w:t>
      </w:r>
    </w:p>
    <w:bookmarkEnd w:id="46"/>
    <w:p w14:paraId="41342AB3">
      <w:pPr>
        <w:pageBreakBefore w:val="0"/>
        <w:tabs>
          <w:tab w:val="left" w:pos="7513"/>
        </w:tabs>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1.7.2 发包人接收文件的地点:</w:t>
      </w:r>
      <w:r>
        <w:rPr>
          <w:rFonts w:hint="eastAsia" w:ascii="宋体" w:hAnsi="宋体" w:cs="宋体"/>
          <w:color w:val="auto"/>
          <w:kern w:val="0"/>
          <w:szCs w:val="21"/>
          <w:highlight w:val="none"/>
          <w:u w:val="single"/>
          <w:lang w:eastAsia="zh-CN"/>
        </w:rPr>
        <w:t>重庆市南川区西城街道总商会大厦</w:t>
      </w:r>
      <w:r>
        <w:rPr>
          <w:rFonts w:hint="eastAsia" w:ascii="宋体" w:hAnsi="宋体" w:cs="宋体"/>
          <w:color w:val="auto"/>
          <w:kern w:val="0"/>
          <w:szCs w:val="21"/>
          <w:highlight w:val="none"/>
          <w:u w:val="single"/>
          <w:lang w:val="en-US" w:eastAsia="zh-CN"/>
        </w:rPr>
        <w:t>B栋15楼工程部</w:t>
      </w:r>
      <w:r>
        <w:rPr>
          <w:rFonts w:hint="eastAsia" w:ascii="宋体" w:hAnsi="宋体" w:cs="宋体"/>
          <w:color w:val="auto"/>
          <w:kern w:val="0"/>
          <w:szCs w:val="21"/>
          <w:highlight w:val="none"/>
        </w:rPr>
        <w:t>；</w:t>
      </w:r>
    </w:p>
    <w:p w14:paraId="05DD330E">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发包人指定的接收人为:</w:t>
      </w:r>
      <w:r>
        <w:rPr>
          <w:rFonts w:ascii="宋体" w:hAnsi="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黄小凤</w:t>
      </w:r>
      <w:r>
        <w:rPr>
          <w:rFonts w:hint="eastAsia" w:ascii="宋体" w:hAnsi="宋体" w:cs="宋体"/>
          <w:color w:val="auto"/>
          <w:kern w:val="0"/>
          <w:szCs w:val="21"/>
          <w:highlight w:val="none"/>
          <w:u w:val="single"/>
          <w:lang w:val="en-US" w:eastAsia="zh-CN"/>
        </w:rPr>
        <w:t xml:space="preserve">  18623077345</w:t>
      </w:r>
      <w:r>
        <w:rPr>
          <w:rFonts w:ascii="宋体" w:hAnsi="宋体"/>
          <w:color w:val="auto"/>
          <w:kern w:val="0"/>
          <w:szCs w:val="21"/>
          <w:highlight w:val="none"/>
          <w:u w:val="single"/>
        </w:rPr>
        <w:t xml:space="preserve"> </w:t>
      </w:r>
      <w:r>
        <w:rPr>
          <w:rFonts w:hint="eastAsia" w:ascii="宋体" w:hAnsi="宋体" w:cs="宋体"/>
          <w:color w:val="auto"/>
          <w:kern w:val="0"/>
          <w:szCs w:val="21"/>
          <w:highlight w:val="none"/>
        </w:rPr>
        <w:t>；</w:t>
      </w:r>
    </w:p>
    <w:p w14:paraId="4ABA4C08">
      <w:pPr>
        <w:pageBreakBefore w:val="0"/>
        <w:tabs>
          <w:tab w:val="left" w:pos="7513"/>
        </w:tabs>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承包人接收文件的地点:</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41A4CEC0">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承包人指定的接收人为：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44956C8D">
      <w:pPr>
        <w:pageBreakBefore w:val="0"/>
        <w:tabs>
          <w:tab w:val="left" w:pos="7371"/>
        </w:tabs>
        <w:kinsoku/>
        <w:overflowPunct/>
        <w:topLinePunct w:val="0"/>
        <w:bidi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监理人接收文件的地点：</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372AB087">
      <w:pPr>
        <w:pageBreakBefore w:val="0"/>
        <w:tabs>
          <w:tab w:val="left" w:pos="7371"/>
        </w:tabs>
        <w:kinsoku/>
        <w:overflowPunct/>
        <w:topLinePunct w:val="0"/>
        <w:bidi w:val="0"/>
        <w:snapToGrid w:val="0"/>
        <w:spacing w:line="360" w:lineRule="auto"/>
        <w:ind w:firstLine="420" w:firstLineChars="200"/>
        <w:rPr>
          <w:rFonts w:hint="default" w:ascii="宋体" w:hAnsi="宋体" w:eastAsia="宋体" w:cs="宋体"/>
          <w:color w:val="auto"/>
          <w:szCs w:val="21"/>
          <w:highlight w:val="none"/>
          <w:u w:val="none"/>
          <w:lang w:val="en-US" w:eastAsia="zh-CN"/>
        </w:rPr>
      </w:pPr>
      <w:r>
        <w:rPr>
          <w:rFonts w:hint="eastAsia" w:ascii="宋体" w:hAnsi="宋体" w:cs="宋体"/>
          <w:color w:val="auto"/>
          <w:kern w:val="0"/>
          <w:szCs w:val="21"/>
          <w:highlight w:val="none"/>
        </w:rPr>
        <w:t>监理人指定的接收人为：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w:t>
      </w:r>
    </w:p>
    <w:p w14:paraId="14CB73BC">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1.9 严禁贿赂</w:t>
      </w:r>
    </w:p>
    <w:p w14:paraId="4EBD5C92">
      <w:pPr>
        <w:pageBreakBefore w:val="0"/>
        <w:kinsoku/>
        <w:overflowPunct/>
        <w:topLinePunct w:val="0"/>
        <w:bidi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本款补充如下：</w:t>
      </w:r>
    </w:p>
    <w:p w14:paraId="62FBF2C8">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在合同执行过程中，发包人和承包人应严格履行附件7《重庆市水利工程建设廉政合同》。</w:t>
      </w:r>
    </w:p>
    <w:p w14:paraId="63067FC5">
      <w:pPr>
        <w:pageBreakBefore w:val="0"/>
        <w:kinsoku/>
        <w:overflowPunct/>
        <w:topLinePunct w:val="0"/>
        <w:bidi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本条补充1.13、1.14款如下：</w:t>
      </w:r>
    </w:p>
    <w:p w14:paraId="380A4B5B">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1.13 知识产权</w:t>
      </w:r>
    </w:p>
    <w:p w14:paraId="2ADF9900">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1.13.1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kern w:val="0"/>
          <w:szCs w:val="21"/>
          <w:highlight w:val="none"/>
          <w:u w:val="single"/>
        </w:rPr>
        <w:t>属于发包人。</w:t>
      </w:r>
    </w:p>
    <w:p w14:paraId="0C3F1864">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关于发包人提供的上述文件的使用限制的要求：</w:t>
      </w:r>
      <w:r>
        <w:rPr>
          <w:rFonts w:hint="eastAsia" w:ascii="宋体" w:hAnsi="宋体" w:cs="宋体"/>
          <w:color w:val="auto"/>
          <w:kern w:val="0"/>
          <w:szCs w:val="21"/>
          <w:highlight w:val="none"/>
          <w:u w:val="single"/>
        </w:rPr>
        <w:t>承包人可以为实现合同目的而复制、使用此类文件，但不能用于与合同无关的其他事项。未经发包人书面同意，承包人不得为了合同以外的目的而复制、使用上述文件或将之提供给任何第三方。</w:t>
      </w:r>
    </w:p>
    <w:p w14:paraId="5ED184A2">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1.13.2 承包人为实施工程所编制的文件，除署名权以外的著作权属于发包人，承包人可因实施工程的运行、调试、维修、改造等目的而复制、使用此类文件，但不能用于与合同无关的其他事项。</w:t>
      </w:r>
    </w:p>
    <w:p w14:paraId="589387CC">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1.13.3 合同当事人保证在履行合同过程中不侵犯对方及第三方的知识产权。</w:t>
      </w:r>
    </w:p>
    <w:p w14:paraId="27D06A56">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bookmarkStart w:id="47" w:name="_Toc532377330"/>
      <w:r>
        <w:rPr>
          <w:rFonts w:hint="eastAsia" w:ascii="宋体" w:hAnsi="宋体" w:cs="宋体"/>
          <w:color w:val="auto"/>
          <w:szCs w:val="21"/>
          <w:highlight w:val="none"/>
        </w:rPr>
        <w:t>1.14工程量清单错误的修正</w:t>
      </w:r>
      <w:bookmarkEnd w:id="47"/>
    </w:p>
    <w:p w14:paraId="26B3ACD9">
      <w:pPr>
        <w:pageBreakBefore w:val="0"/>
        <w:kinsoku/>
        <w:overflowPunct/>
        <w:topLinePunct w:val="0"/>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出现工程量清单错误时，责任和权利划分：</w:t>
      </w:r>
      <w:r>
        <w:rPr>
          <w:rFonts w:hint="eastAsia" w:ascii="宋体" w:hAnsi="宋体"/>
          <w:color w:val="auto"/>
          <w:szCs w:val="21"/>
          <w:highlight w:val="none"/>
          <w:u w:val="single"/>
        </w:rPr>
        <w:t xml:space="preserve"> 由承包人承担   </w:t>
      </w:r>
      <w:r>
        <w:rPr>
          <w:rFonts w:hint="eastAsia" w:ascii="宋体" w:hAnsi="宋体"/>
          <w:color w:val="auto"/>
          <w:szCs w:val="21"/>
          <w:highlight w:val="none"/>
        </w:rPr>
        <w:t>。</w:t>
      </w:r>
    </w:p>
    <w:p w14:paraId="4F669D23">
      <w:pPr>
        <w:pageBreakBefore w:val="0"/>
        <w:kinsoku/>
        <w:overflowPunct/>
        <w:topLinePunct w:val="0"/>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出现工程量清单错误时，是否调整合同价格：</w:t>
      </w:r>
      <w:r>
        <w:rPr>
          <w:rFonts w:hint="eastAsia" w:ascii="宋体" w:hAnsi="宋体"/>
          <w:color w:val="auto"/>
          <w:szCs w:val="21"/>
          <w:highlight w:val="none"/>
          <w:u w:val="single"/>
        </w:rPr>
        <w:t xml:space="preserve">  除相关部门审批同意的设计变更外，施工方按照施工图纸及实际工程量施工，不作增加投资的内容；施工图有设计的，但清单漏项、少量的建设内容，必须按图施工，不作增加投资的内容      </w:t>
      </w:r>
      <w:r>
        <w:rPr>
          <w:rFonts w:hint="eastAsia" w:ascii="宋体" w:hAnsi="宋体"/>
          <w:color w:val="auto"/>
          <w:kern w:val="0"/>
          <w:szCs w:val="21"/>
          <w:highlight w:val="none"/>
        </w:rPr>
        <w:t>。</w:t>
      </w:r>
    </w:p>
    <w:p w14:paraId="4C2DD58C">
      <w:pPr>
        <w:pageBreakBefore w:val="0"/>
        <w:kinsoku/>
        <w:overflowPunct/>
        <w:topLinePunct w:val="0"/>
        <w:bidi w:val="0"/>
        <w:spacing w:line="360" w:lineRule="auto"/>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 xml:space="preserve">允许调整合同价格的工程量偏差范围： </w:t>
      </w:r>
      <w:r>
        <w:rPr>
          <w:rFonts w:hint="eastAsia" w:ascii="宋体" w:hAnsi="宋体" w:eastAsia="宋体"/>
          <w:color w:val="auto"/>
          <w:szCs w:val="21"/>
          <w:highlight w:val="none"/>
          <w:lang w:eastAsia="zh-CN"/>
        </w:rPr>
        <w:t>不调整</w:t>
      </w:r>
      <w:r>
        <w:rPr>
          <w:rFonts w:hint="eastAsia" w:ascii="宋体" w:hAnsi="宋体" w:eastAsia="宋体"/>
          <w:color w:val="auto"/>
          <w:szCs w:val="21"/>
          <w:highlight w:val="none"/>
        </w:rPr>
        <w:t xml:space="preserve"> 。</w:t>
      </w:r>
    </w:p>
    <w:p w14:paraId="546629FC">
      <w:pPr>
        <w:pageBreakBefore w:val="0"/>
        <w:kinsoku/>
        <w:overflowPunct/>
        <w:topLinePunct w:val="0"/>
        <w:bidi w:val="0"/>
        <w:spacing w:line="360" w:lineRule="auto"/>
        <w:ind w:firstLine="422" w:firstLineChars="200"/>
        <w:jc w:val="left"/>
        <w:rPr>
          <w:rFonts w:hint="eastAsia" w:ascii="宋体" w:hAnsi="宋体" w:eastAsia="宋体"/>
          <w:b/>
          <w:bCs/>
          <w:color w:val="auto"/>
          <w:szCs w:val="21"/>
          <w:highlight w:val="none"/>
        </w:rPr>
      </w:pPr>
      <w:bookmarkStart w:id="48" w:name="_Toc136350385"/>
      <w:bookmarkStart w:id="49" w:name="_Toc221951131"/>
      <w:bookmarkStart w:id="50" w:name="_Toc222029528"/>
      <w:bookmarkStart w:id="51" w:name="_Toc222031030"/>
      <w:bookmarkStart w:id="52" w:name="_Toc59810405"/>
      <w:bookmarkStart w:id="53" w:name="_Toc222033879"/>
      <w:bookmarkStart w:id="54" w:name="_Toc4023"/>
      <w:bookmarkStart w:id="55" w:name="_Toc33183711"/>
      <w:bookmarkStart w:id="56" w:name="_Toc229305388"/>
      <w:bookmarkStart w:id="57" w:name="_Toc222032697"/>
      <w:r>
        <w:rPr>
          <w:rFonts w:hint="eastAsia" w:ascii="宋体" w:hAnsi="宋体" w:eastAsia="宋体"/>
          <w:b/>
          <w:bCs/>
          <w:color w:val="auto"/>
          <w:szCs w:val="21"/>
          <w:highlight w:val="none"/>
          <w:lang w:val="en-US" w:eastAsia="zh-CN"/>
        </w:rPr>
        <w:t>2.</w:t>
      </w:r>
      <w:r>
        <w:rPr>
          <w:rFonts w:hint="eastAsia" w:ascii="宋体" w:hAnsi="宋体" w:eastAsia="宋体"/>
          <w:b/>
          <w:bCs/>
          <w:color w:val="auto"/>
          <w:szCs w:val="21"/>
          <w:highlight w:val="none"/>
        </w:rPr>
        <w:t>发包人义务</w:t>
      </w:r>
      <w:bookmarkEnd w:id="48"/>
      <w:bookmarkEnd w:id="49"/>
      <w:bookmarkEnd w:id="50"/>
      <w:bookmarkEnd w:id="51"/>
      <w:bookmarkEnd w:id="52"/>
      <w:bookmarkEnd w:id="53"/>
      <w:bookmarkEnd w:id="54"/>
      <w:bookmarkEnd w:id="55"/>
      <w:bookmarkEnd w:id="56"/>
      <w:bookmarkEnd w:id="57"/>
      <w:bookmarkStart w:id="58" w:name="_Toc33183712"/>
      <w:bookmarkStart w:id="59" w:name="_Toc221951132"/>
    </w:p>
    <w:p w14:paraId="6D647FF8">
      <w:pPr>
        <w:pageBreakBefore w:val="0"/>
        <w:kinsoku/>
        <w:overflowPunct/>
        <w:topLinePunct w:val="0"/>
        <w:bidi w:val="0"/>
        <w:spacing w:line="360" w:lineRule="auto"/>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2.3  提供施工场地</w:t>
      </w:r>
      <w:bookmarkEnd w:id="58"/>
      <w:bookmarkEnd w:id="59"/>
    </w:p>
    <w:p w14:paraId="264553C8">
      <w:pPr>
        <w:pageBreakBefore w:val="0"/>
        <w:kinsoku/>
        <w:overflowPunct/>
        <w:topLinePunct w:val="0"/>
        <w:bidi w:val="0"/>
        <w:adjustRightInd w:val="0"/>
        <w:snapToGrid w:val="0"/>
        <w:spacing w:line="360" w:lineRule="auto"/>
        <w:ind w:firstLine="420" w:firstLineChars="200"/>
        <w:rPr>
          <w:rFonts w:ascii="宋体" w:hAnsi="宋体" w:cs="宋体"/>
          <w:b/>
          <w:bCs/>
          <w:color w:val="auto"/>
          <w:szCs w:val="21"/>
          <w:highlight w:val="none"/>
        </w:rPr>
      </w:pPr>
      <w:bookmarkStart w:id="60" w:name="_Toc221951133"/>
      <w:r>
        <w:rPr>
          <w:rFonts w:hint="eastAsia" w:ascii="宋体" w:hAnsi="宋体" w:cs="宋体"/>
          <w:color w:val="auto"/>
          <w:szCs w:val="21"/>
          <w:highlight w:val="none"/>
        </w:rPr>
        <w:t>2.3.2发包人提供的施工场地范围为：</w:t>
      </w:r>
      <w:bookmarkEnd w:id="60"/>
      <w:r>
        <w:rPr>
          <w:rFonts w:hint="eastAsia" w:ascii="宋体" w:hAnsi="宋体" w:cs="宋体"/>
          <w:color w:val="auto"/>
          <w:szCs w:val="21"/>
          <w:highlight w:val="none"/>
          <w:u w:val="single"/>
        </w:rPr>
        <w:t xml:space="preserve"> </w:t>
      </w:r>
      <w:r>
        <w:rPr>
          <w:rFonts w:ascii="宋体" w:hAnsi="宋体" w:eastAsia="宋体" w:cs="宋体"/>
          <w:color w:val="auto"/>
          <w:spacing w:val="-2"/>
          <w:sz w:val="21"/>
          <w:szCs w:val="21"/>
          <w:highlight w:val="none"/>
          <w:u w:val="single" w:color="auto"/>
        </w:rPr>
        <w:t>本次招标活动所提供的施工设计图及附属所示范围的全部内容以及招标人提供</w:t>
      </w:r>
      <w:r>
        <w:rPr>
          <w:rFonts w:ascii="宋体" w:hAnsi="宋体" w:eastAsia="宋体" w:cs="宋体"/>
          <w:color w:val="auto"/>
          <w:spacing w:val="-7"/>
          <w:sz w:val="21"/>
          <w:szCs w:val="21"/>
          <w:highlight w:val="none"/>
          <w:u w:val="single" w:color="auto"/>
        </w:rPr>
        <w:t>的</w:t>
      </w:r>
      <w:r>
        <w:rPr>
          <w:rFonts w:ascii="宋体" w:hAnsi="宋体" w:eastAsia="宋体" w:cs="宋体"/>
          <w:color w:val="auto"/>
          <w:spacing w:val="-5"/>
          <w:sz w:val="21"/>
          <w:szCs w:val="21"/>
          <w:highlight w:val="none"/>
          <w:u w:val="single" w:color="auto"/>
        </w:rPr>
        <w:t>工程量清单、答疑资料、澄清资料、其他补遗资料等相关内容</w:t>
      </w:r>
      <w:r>
        <w:rPr>
          <w:rFonts w:ascii="宋体" w:hAnsi="宋体" w:eastAsia="宋体" w:cs="宋体"/>
          <w:color w:val="auto"/>
          <w:spacing w:val="-1"/>
          <w:sz w:val="21"/>
          <w:szCs w:val="21"/>
          <w:highlight w:val="none"/>
          <w:u w:val="single" w:color="auto"/>
        </w:rPr>
        <w:t xml:space="preserve">  </w:t>
      </w:r>
      <w:r>
        <w:rPr>
          <w:rFonts w:hint="eastAsia" w:ascii="宋体" w:hAnsi="宋体" w:cs="宋体"/>
          <w:b/>
          <w:bCs/>
          <w:color w:val="auto"/>
          <w:szCs w:val="21"/>
          <w:highlight w:val="none"/>
        </w:rPr>
        <w:t>。</w:t>
      </w:r>
      <w:r>
        <w:rPr>
          <w:rFonts w:hint="eastAsia" w:ascii="宋体" w:hAnsi="宋体" w:cs="宋体"/>
          <w:color w:val="auto"/>
          <w:kern w:val="0"/>
          <w:szCs w:val="21"/>
          <w:highlight w:val="none"/>
        </w:rPr>
        <w:t>施工场地的提供采用以下第</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2</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种方式：</w:t>
      </w:r>
      <w:r>
        <w:rPr>
          <w:rFonts w:hint="eastAsia" w:ascii="宋体" w:hAnsi="宋体" w:cs="宋体"/>
          <w:b/>
          <w:bCs/>
          <w:color w:val="auto"/>
          <w:szCs w:val="21"/>
          <w:highlight w:val="none"/>
        </w:rPr>
        <w:t xml:space="preserve">  </w:t>
      </w:r>
    </w:p>
    <w:p w14:paraId="58371B4E">
      <w:pPr>
        <w:pageBreakBefore w:val="0"/>
        <w:kinsoku/>
        <w:overflowPunct/>
        <w:topLinePunct w:val="0"/>
        <w:bidi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（1）一次提供全部施工场地：发包人于</w:t>
      </w:r>
      <w:r>
        <w:rPr>
          <w:rFonts w:hint="eastAsia" w:ascii="宋体" w:hAnsi="宋体" w:cs="宋体"/>
          <w:color w:val="auto"/>
          <w:kern w:val="0"/>
          <w:szCs w:val="21"/>
          <w:highlight w:val="none"/>
          <w:u w:val="single"/>
        </w:rPr>
        <w:t>开工</w:t>
      </w:r>
      <w:r>
        <w:rPr>
          <w:rFonts w:hint="eastAsia" w:ascii="宋体" w:hAnsi="宋体" w:cs="宋体"/>
          <w:color w:val="auto"/>
          <w:kern w:val="0"/>
          <w:szCs w:val="21"/>
          <w:highlight w:val="none"/>
        </w:rPr>
        <w:t>前向承包人提供合同工程用地范围内的施工场地。</w:t>
      </w:r>
    </w:p>
    <w:p w14:paraId="6A10B0C1">
      <w:pPr>
        <w:pageBreakBefore w:val="0"/>
        <w:kinsoku/>
        <w:overflowPunct/>
        <w:topLinePunct w:val="0"/>
        <w:bidi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（2）分次提供全部施工场地：</w:t>
      </w:r>
      <w:r>
        <w:rPr>
          <w:rFonts w:hint="eastAsia" w:ascii="宋体" w:hAnsi="宋体" w:cs="宋体"/>
          <w:color w:val="auto"/>
          <w:kern w:val="0"/>
          <w:szCs w:val="21"/>
          <w:highlight w:val="none"/>
          <w:u w:val="single"/>
        </w:rPr>
        <w:t>发包人按约定的时间分次向承包人提供合同工程用地范围内的施工场地</w:t>
      </w:r>
      <w:r>
        <w:rPr>
          <w:rFonts w:hint="eastAsia" w:ascii="宋体" w:hAnsi="宋体" w:cs="宋体"/>
          <w:color w:val="auto"/>
          <w:kern w:val="0"/>
          <w:szCs w:val="21"/>
          <w:highlight w:val="none"/>
        </w:rPr>
        <w:t>。</w:t>
      </w:r>
    </w:p>
    <w:p w14:paraId="5273C9F6">
      <w:pPr>
        <w:pageBreakBefore w:val="0"/>
        <w:kinsoku/>
        <w:overflowPunct/>
        <w:topLinePunct w:val="0"/>
        <w:bidi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u w:val="single"/>
        </w:rPr>
        <w:t>承包人编制的施工组织计划已充分考虑了施工场地提供的因素</w:t>
      </w:r>
      <w:r>
        <w:rPr>
          <w:rFonts w:hint="eastAsia" w:ascii="宋体" w:hAnsi="宋体" w:cs="宋体"/>
          <w:color w:val="auto"/>
          <w:kern w:val="0"/>
          <w:szCs w:val="21"/>
          <w:highlight w:val="none"/>
        </w:rPr>
        <w:t>。</w:t>
      </w:r>
    </w:p>
    <w:p w14:paraId="785C822F">
      <w:pPr>
        <w:pageBreakBefore w:val="0"/>
        <w:kinsoku/>
        <w:overflowPunct/>
        <w:topLinePunct w:val="0"/>
        <w:bidi w:val="0"/>
        <w:spacing w:line="360" w:lineRule="auto"/>
        <w:ind w:right="248" w:firstLine="480"/>
        <w:rPr>
          <w:rFonts w:ascii="宋体" w:hAnsi="宋体" w:cs="宋体"/>
          <w:color w:val="auto"/>
          <w:szCs w:val="21"/>
          <w:highlight w:val="none"/>
        </w:rPr>
      </w:pPr>
      <w:r>
        <w:rPr>
          <w:rFonts w:hint="eastAsia" w:ascii="宋体" w:hAnsi="宋体" w:cs="宋体"/>
          <w:color w:val="auto"/>
          <w:szCs w:val="21"/>
          <w:highlight w:val="none"/>
        </w:rPr>
        <w:t>2.3.3承包人自行勘察的施工场地范围为：</w:t>
      </w:r>
      <w:r>
        <w:rPr>
          <w:rFonts w:ascii="宋体" w:hAnsi="宋体" w:eastAsia="宋体" w:cs="宋体"/>
          <w:color w:val="auto"/>
          <w:spacing w:val="1"/>
          <w:sz w:val="21"/>
          <w:szCs w:val="21"/>
          <w:highlight w:val="none"/>
          <w:u w:val="single" w:color="auto"/>
        </w:rPr>
        <w:t>发包人按约定的时间分次向承包人提供合同工程用地范围内的施</w:t>
      </w:r>
      <w:r>
        <w:rPr>
          <w:rFonts w:ascii="宋体" w:hAnsi="宋体" w:eastAsia="宋体" w:cs="宋体"/>
          <w:color w:val="auto"/>
          <w:spacing w:val="-4"/>
          <w:sz w:val="21"/>
          <w:szCs w:val="21"/>
          <w:highlight w:val="none"/>
          <w:u w:val="single" w:color="auto"/>
        </w:rPr>
        <w:t>工</w:t>
      </w:r>
      <w:r>
        <w:rPr>
          <w:rFonts w:ascii="宋体" w:hAnsi="宋体" w:eastAsia="宋体" w:cs="宋体"/>
          <w:color w:val="auto"/>
          <w:spacing w:val="-2"/>
          <w:sz w:val="21"/>
          <w:szCs w:val="21"/>
          <w:highlight w:val="none"/>
          <w:u w:val="single" w:color="auto"/>
        </w:rPr>
        <w:t>场地</w:t>
      </w:r>
      <w:r>
        <w:rPr>
          <w:rFonts w:hint="eastAsia" w:ascii="宋体" w:hAnsi="宋体" w:cs="宋体"/>
          <w:color w:val="auto"/>
          <w:szCs w:val="21"/>
          <w:highlight w:val="none"/>
        </w:rPr>
        <w:t>。</w:t>
      </w:r>
    </w:p>
    <w:p w14:paraId="480DACBA">
      <w:pPr>
        <w:pStyle w:val="4"/>
        <w:pageBreakBefore w:val="0"/>
        <w:kinsoku/>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本项补充2.3.4、2.3.5项如下：：</w:t>
      </w:r>
    </w:p>
    <w:p w14:paraId="1F053DD8">
      <w:pPr>
        <w:pStyle w:val="4"/>
        <w:pageBreakBefore w:val="0"/>
        <w:kinsoku/>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2.3.4关于发包人负责提供施工场地的要求：发包人负责办理施工场地的征用及与之有关的拆迁赔偿手续并承担相关费用。承包人在按10.1款规定提交施工进度计划的同时，应向监理人提交一份按施工先后次序所需的施工场地计划。监理人应在收到此计划后的</w:t>
      </w:r>
      <w:r>
        <w:rPr>
          <w:rFonts w:hint="eastAsia" w:ascii="宋体" w:hAnsi="宋体" w:cs="宋体"/>
          <w:color w:val="auto"/>
          <w:kern w:val="0"/>
          <w:szCs w:val="21"/>
          <w:highlight w:val="none"/>
          <w:u w:val="single"/>
        </w:rPr>
        <w:t>7</w:t>
      </w:r>
      <w:r>
        <w:rPr>
          <w:rFonts w:hint="eastAsia" w:ascii="宋体" w:hAnsi="宋体" w:cs="宋体"/>
          <w:color w:val="auto"/>
          <w:kern w:val="0"/>
          <w:szCs w:val="21"/>
          <w:highlight w:val="none"/>
        </w:rPr>
        <w:t>天内审核并转报发包人核备。发包人应在监理人发出本工程或分部工程开工通知之前，对承包人开工所需的施工场地办妥征用手续和相关拆迁赔偿手续，移交承包人使用，以使承包人能够及时开工；此后按承包人提交并经监理人同意的合同进度计划的安排，分期（也可以一次）将施工所需的其余施工场地办妥征用以及拆迁赔偿手续，移交承包人使用，以使承包人能够连续不间断地施工。由于承包人施工考虑不周或措施不当等原因而造成的超计划占地或拆迁等所发生的征用和赔偿费用，应由承包人承担。</w:t>
      </w:r>
    </w:p>
    <w:p w14:paraId="4431448A">
      <w:pPr>
        <w:pStyle w:val="4"/>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2.3.5关于发包人应负责提供其他施工所需要条件的要求：</w:t>
      </w:r>
      <w:r>
        <w:rPr>
          <w:rFonts w:hint="eastAsia" w:ascii="宋体" w:hAnsi="宋体" w:cs="宋体"/>
          <w:color w:val="auto"/>
          <w:kern w:val="0"/>
          <w:szCs w:val="21"/>
          <w:highlight w:val="none"/>
          <w:u w:val="single"/>
        </w:rPr>
        <w:t xml:space="preserve">  无  </w:t>
      </w:r>
      <w:r>
        <w:rPr>
          <w:rFonts w:hint="eastAsia" w:ascii="宋体" w:hAnsi="宋体" w:cs="宋体"/>
          <w:color w:val="auto"/>
          <w:kern w:val="0"/>
          <w:szCs w:val="21"/>
          <w:highlight w:val="none"/>
        </w:rPr>
        <w:t>。</w:t>
      </w:r>
    </w:p>
    <w:p w14:paraId="4FC4EE53">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bookmarkStart w:id="61" w:name="_Toc221951134"/>
      <w:bookmarkStart w:id="62" w:name="_Toc33183713"/>
      <w:r>
        <w:rPr>
          <w:rFonts w:hint="eastAsia" w:ascii="宋体" w:hAnsi="宋体" w:cs="宋体"/>
          <w:color w:val="auto"/>
          <w:szCs w:val="21"/>
          <w:highlight w:val="none"/>
        </w:rPr>
        <w:t>2.8  其它义务</w:t>
      </w:r>
      <w:bookmarkEnd w:id="61"/>
      <w:bookmarkEnd w:id="62"/>
      <w:r>
        <w:rPr>
          <w:rFonts w:hint="eastAsia" w:ascii="宋体" w:hAnsi="宋体" w:cs="宋体"/>
          <w:color w:val="auto"/>
          <w:szCs w:val="21"/>
          <w:highlight w:val="none"/>
        </w:rPr>
        <w:t xml:space="preserve">  </w:t>
      </w:r>
    </w:p>
    <w:p w14:paraId="71F7E282">
      <w:pPr>
        <w:pageBreakBefore w:val="0"/>
        <w:kinsoku/>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本款补充2.8.1</w:t>
      </w:r>
      <w:r>
        <w:rPr>
          <w:rFonts w:hint="eastAsia" w:ascii="宋体" w:hAnsi="宋体" w:cs="宋体"/>
          <w:color w:val="auto"/>
          <w:kern w:val="0"/>
          <w:szCs w:val="21"/>
          <w:highlight w:val="none"/>
        </w:rPr>
        <w:t>～</w:t>
      </w:r>
      <w:r>
        <w:rPr>
          <w:rFonts w:hint="eastAsia" w:ascii="宋体" w:hAnsi="宋体" w:cs="宋体"/>
          <w:color w:val="auto"/>
          <w:szCs w:val="21"/>
          <w:highlight w:val="none"/>
        </w:rPr>
        <w:t>2.8.4项：</w:t>
      </w:r>
    </w:p>
    <w:p w14:paraId="52F91D85">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2.8.1</w:t>
      </w:r>
      <w:r>
        <w:rPr>
          <w:rFonts w:hint="eastAsia" w:ascii="宋体" w:hAnsi="宋体" w:cs="宋体"/>
          <w:color w:val="auto"/>
          <w:kern w:val="0"/>
          <w:szCs w:val="21"/>
          <w:highlight w:val="none"/>
        </w:rPr>
        <w:t>发包人代表</w:t>
      </w:r>
    </w:p>
    <w:p w14:paraId="11852798">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发包人代表：</w:t>
      </w:r>
    </w:p>
    <w:p w14:paraId="7688749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lang w:eastAsia="zh-CN"/>
        </w:rPr>
        <w:t>严青林</w:t>
      </w:r>
      <w:r>
        <w:rPr>
          <w:rFonts w:hint="eastAsia" w:ascii="宋体" w:hAnsi="宋体" w:cs="宋体"/>
          <w:color w:val="auto"/>
          <w:kern w:val="0"/>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3021C6F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w:t>
      </w:r>
      <w:r>
        <w:rPr>
          <w:rFonts w:hint="eastAsia" w:ascii="宋体" w:hAnsi="宋体"/>
          <w:color w:val="auto"/>
          <w:szCs w:val="21"/>
          <w:highlight w:val="none"/>
          <w:u w:val="single"/>
          <w:lang w:val="en-US" w:eastAsia="zh-CN"/>
        </w:rPr>
        <w:t xml:space="preserve">    </w:t>
      </w:r>
      <w:r>
        <w:rPr>
          <w:rFonts w:hint="eastAsia" w:ascii="宋体" w:hAnsi="宋体" w:cs="宋体"/>
          <w:color w:val="auto"/>
          <w:kern w:val="0"/>
          <w:szCs w:val="21"/>
          <w:highlight w:val="none"/>
          <w:u w:val="single"/>
          <w:lang w:val="en-US" w:eastAsia="zh-CN"/>
        </w:rPr>
        <w:t>13896501333</w:t>
      </w:r>
      <w:r>
        <w:rPr>
          <w:rFonts w:hint="eastAsia" w:ascii="宋体" w:hAnsi="宋体" w:cs="宋体"/>
          <w:color w:val="auto"/>
          <w:kern w:val="0"/>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3AB1392A">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联系地址：</w:t>
      </w:r>
      <w:r>
        <w:rPr>
          <w:rFonts w:hint="eastAsia" w:ascii="宋体" w:hAnsi="宋体" w:cs="宋体"/>
          <w:color w:val="auto"/>
          <w:kern w:val="0"/>
          <w:szCs w:val="21"/>
          <w:highlight w:val="none"/>
          <w:u w:val="single"/>
        </w:rPr>
        <w:t xml:space="preserve">  </w:t>
      </w:r>
      <w:r>
        <w:rPr>
          <w:rFonts w:ascii="宋体" w:hAnsi="宋体" w:eastAsia="宋体" w:cs="宋体"/>
          <w:color w:val="auto"/>
          <w:spacing w:val="-5"/>
          <w:sz w:val="21"/>
          <w:szCs w:val="21"/>
          <w:highlight w:val="none"/>
          <w:u w:val="single"/>
        </w:rPr>
        <w:t>重庆市南川区泽禹供水有限责任公司</w:t>
      </w:r>
      <w:r>
        <w:rPr>
          <w:rFonts w:hint="eastAsia" w:ascii="宋体" w:hAnsi="宋体" w:eastAsia="宋体" w:cs="宋体"/>
          <w:color w:val="auto"/>
          <w:spacing w:val="-5"/>
          <w:sz w:val="21"/>
          <w:szCs w:val="21"/>
          <w:highlight w:val="none"/>
          <w:u w:val="single"/>
          <w:lang w:val="en-US" w:eastAsia="zh-CN"/>
        </w:rPr>
        <w:t xml:space="preserve">  </w:t>
      </w:r>
      <w:r>
        <w:rPr>
          <w:rFonts w:hint="eastAsia" w:ascii="宋体" w:hAnsi="宋体" w:cs="宋体"/>
          <w:color w:val="auto"/>
          <w:kern w:val="0"/>
          <w:szCs w:val="21"/>
          <w:highlight w:val="none"/>
        </w:rPr>
        <w:t>；</w:t>
      </w:r>
    </w:p>
    <w:p w14:paraId="566BD7A2">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邮    编：</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408400</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385A0597">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发包人对发包人代表的授权范围如下：</w:t>
      </w:r>
      <w:r>
        <w:rPr>
          <w:rFonts w:hint="eastAsia" w:ascii="宋体" w:hAnsi="宋体" w:cs="宋体"/>
          <w:color w:val="auto"/>
          <w:kern w:val="0"/>
          <w:szCs w:val="21"/>
          <w:highlight w:val="none"/>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cs="宋体"/>
          <w:color w:val="auto"/>
          <w:kern w:val="0"/>
          <w:szCs w:val="21"/>
          <w:highlight w:val="none"/>
        </w:rPr>
        <w:t>。</w:t>
      </w:r>
    </w:p>
    <w:p w14:paraId="09E2523B">
      <w:pPr>
        <w:keepNext/>
        <w:keepLines/>
        <w:pageBreakBefore w:val="0"/>
        <w:kinsoku/>
        <w:overflowPunct/>
        <w:topLinePunct w:val="0"/>
        <w:bidi w:val="0"/>
        <w:spacing w:line="360" w:lineRule="auto"/>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2.8.2 资金来源证明及支付担保</w:t>
      </w:r>
    </w:p>
    <w:p w14:paraId="05B6E1EC">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发包人提供资金来源证明的期限要求：</w:t>
      </w:r>
      <w:r>
        <w:rPr>
          <w:rFonts w:hint="eastAsia" w:ascii="宋体" w:hAnsi="宋体" w:cs="宋体"/>
          <w:color w:val="auto"/>
          <w:kern w:val="0"/>
          <w:szCs w:val="21"/>
          <w:highlight w:val="none"/>
          <w:u w:val="single"/>
        </w:rPr>
        <w:t>不采用</w:t>
      </w:r>
      <w:r>
        <w:rPr>
          <w:rFonts w:hint="eastAsia" w:ascii="宋体" w:hAnsi="宋体" w:cs="宋体"/>
          <w:color w:val="auto"/>
          <w:kern w:val="0"/>
          <w:szCs w:val="21"/>
          <w:highlight w:val="none"/>
        </w:rPr>
        <w:t>。</w:t>
      </w:r>
    </w:p>
    <w:p w14:paraId="46E21804">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发包人是否提供支付担保：</w:t>
      </w:r>
      <w:r>
        <w:rPr>
          <w:rFonts w:hint="eastAsia" w:ascii="宋体" w:hAnsi="宋体" w:cs="宋体"/>
          <w:color w:val="auto"/>
          <w:kern w:val="0"/>
          <w:szCs w:val="21"/>
          <w:highlight w:val="none"/>
          <w:u w:val="single"/>
        </w:rPr>
        <w:t>提供</w:t>
      </w:r>
      <w:r>
        <w:rPr>
          <w:rFonts w:hint="eastAsia" w:ascii="宋体" w:hAnsi="宋体" w:cs="宋体"/>
          <w:color w:val="auto"/>
          <w:kern w:val="0"/>
          <w:szCs w:val="21"/>
          <w:highlight w:val="none"/>
        </w:rPr>
        <w:t>。</w:t>
      </w:r>
    </w:p>
    <w:p w14:paraId="0EAD7D0A">
      <w:pPr>
        <w:pStyle w:val="4"/>
        <w:pageBreakBefore w:val="0"/>
        <w:kinsoku/>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2.8.3组织竣工验收</w:t>
      </w:r>
    </w:p>
    <w:p w14:paraId="319C6FF6">
      <w:pPr>
        <w:pStyle w:val="4"/>
        <w:pageBreakBefore w:val="0"/>
        <w:kinsoku/>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发包人应按合同约定及时组织法人验收，配合政府验收。</w:t>
      </w:r>
    </w:p>
    <w:p w14:paraId="07E5985F">
      <w:pPr>
        <w:pageBreakBefore w:val="0"/>
        <w:kinsoku/>
        <w:overflowPunct/>
        <w:topLinePunct w:val="0"/>
        <w:bidi w:val="0"/>
        <w:snapToGrid w:val="0"/>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2.8.4其他义务</w:t>
      </w:r>
    </w:p>
    <w:p w14:paraId="7FD42CB1">
      <w:pPr>
        <w:pStyle w:val="4"/>
        <w:pageBreakBefore w:val="0"/>
        <w:kinsoku/>
        <w:overflowPunct/>
        <w:topLinePunct w:val="0"/>
        <w:bidi w:val="0"/>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（1）与承包人签订《重庆市水利工程建设安全生产合同》、《重庆市水利工程建设廉政合同》、《按期支付农民工工资合同》。</w:t>
      </w:r>
    </w:p>
    <w:p w14:paraId="65C00FFC">
      <w:pPr>
        <w:pStyle w:val="4"/>
        <w:pageBreakBefore w:val="0"/>
        <w:kinsoku/>
        <w:overflowPunct/>
        <w:topLinePunct w:val="0"/>
        <w:bidi w:val="0"/>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（2）施工场地征用、搬迁和移民安置由发包人负责。</w:t>
      </w:r>
    </w:p>
    <w:p w14:paraId="1ADECED8">
      <w:pPr>
        <w:pStyle w:val="4"/>
        <w:pageBreakBefore w:val="0"/>
        <w:kinsoku/>
        <w:overflowPunct/>
        <w:topLinePunct w:val="0"/>
        <w:bidi w:val="0"/>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3）由于发包人未能按照本项规定办妥永久征地征用手续，影响承包人及时使用施工场地造成的费用增加和（或）工期延误应由发包人承担。由于承包人未能按照本项规定提交施工场地计划，影响发包人办理施工场地征用手续造成的费用增加和（或）工期延误由承包人承担。</w:t>
      </w:r>
    </w:p>
    <w:p w14:paraId="18241380">
      <w:pPr>
        <w:pStyle w:val="2"/>
        <w:pageBreakBefore w:val="0"/>
        <w:kinsoku/>
        <w:overflowPunct/>
        <w:topLinePunct w:val="0"/>
        <w:bidi w:val="0"/>
        <w:spacing w:line="360" w:lineRule="auto"/>
        <w:rPr>
          <w:rFonts w:ascii="宋体" w:hAnsi="宋体" w:cs="宋体"/>
          <w:color w:val="auto"/>
          <w:sz w:val="21"/>
          <w:szCs w:val="21"/>
          <w:highlight w:val="none"/>
        </w:rPr>
      </w:pPr>
      <w:bookmarkStart w:id="63" w:name="_Toc33183714"/>
      <w:bookmarkStart w:id="64" w:name="_Toc14140"/>
      <w:bookmarkStart w:id="65" w:name="_Toc229305389"/>
      <w:bookmarkStart w:id="66" w:name="_Toc221951140"/>
      <w:bookmarkStart w:id="67" w:name="_Toc59810406"/>
      <w:bookmarkStart w:id="68" w:name="_Toc136350386"/>
      <w:bookmarkStart w:id="69" w:name="_Toc222032698"/>
      <w:bookmarkStart w:id="70" w:name="_Toc222033880"/>
      <w:bookmarkStart w:id="71" w:name="_Toc222031031"/>
      <w:bookmarkStart w:id="72" w:name="_Toc222029529"/>
      <w:r>
        <w:rPr>
          <w:rFonts w:hint="eastAsia" w:ascii="宋体" w:hAnsi="宋体" w:cs="宋体"/>
          <w:color w:val="auto"/>
          <w:sz w:val="21"/>
          <w:szCs w:val="21"/>
          <w:highlight w:val="none"/>
        </w:rPr>
        <w:t>3.监理人</w:t>
      </w:r>
      <w:bookmarkEnd w:id="63"/>
      <w:bookmarkEnd w:id="64"/>
      <w:bookmarkEnd w:id="65"/>
      <w:bookmarkEnd w:id="66"/>
      <w:bookmarkEnd w:id="67"/>
      <w:bookmarkEnd w:id="68"/>
      <w:bookmarkEnd w:id="69"/>
      <w:bookmarkEnd w:id="70"/>
      <w:bookmarkEnd w:id="71"/>
      <w:bookmarkEnd w:id="72"/>
    </w:p>
    <w:p w14:paraId="1A7F46D9">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bookmarkStart w:id="73" w:name="_Toc221951141"/>
      <w:bookmarkStart w:id="74" w:name="_Toc33183715"/>
      <w:r>
        <w:rPr>
          <w:rFonts w:hint="eastAsia" w:ascii="宋体" w:hAnsi="宋体" w:cs="宋体"/>
          <w:color w:val="auto"/>
          <w:szCs w:val="21"/>
          <w:highlight w:val="none"/>
        </w:rPr>
        <w:t>3.1  监理人的职责和权力</w:t>
      </w:r>
      <w:bookmarkEnd w:id="73"/>
      <w:bookmarkEnd w:id="74"/>
    </w:p>
    <w:p w14:paraId="5C853BE3">
      <w:pPr>
        <w:pStyle w:val="4"/>
        <w:pageBreakBefore w:val="0"/>
        <w:kinsoku/>
        <w:overflowPunct/>
        <w:topLinePunct w:val="0"/>
        <w:bidi w:val="0"/>
        <w:spacing w:line="360" w:lineRule="auto"/>
        <w:ind w:firstLine="420" w:firstLineChars="200"/>
        <w:rPr>
          <w:rFonts w:ascii="宋体" w:hAnsi="宋体" w:cs="宋体"/>
          <w:color w:val="auto"/>
          <w:kern w:val="0"/>
          <w:szCs w:val="21"/>
          <w:highlight w:val="none"/>
          <w:u w:val="single"/>
        </w:rPr>
      </w:pPr>
      <w:bookmarkStart w:id="75" w:name="_Toc221951142"/>
      <w:r>
        <w:rPr>
          <w:rFonts w:hint="eastAsia" w:ascii="宋体" w:hAnsi="宋体" w:cs="宋体"/>
          <w:color w:val="auto"/>
          <w:kern w:val="0"/>
          <w:szCs w:val="21"/>
          <w:highlight w:val="none"/>
        </w:rPr>
        <w:t>3.1.1</w:t>
      </w:r>
      <w:bookmarkEnd w:id="75"/>
      <w:r>
        <w:rPr>
          <w:rFonts w:hint="eastAsia" w:ascii="宋体" w:hAnsi="宋体" w:cs="宋体"/>
          <w:color w:val="auto"/>
          <w:kern w:val="0"/>
          <w:szCs w:val="21"/>
          <w:highlight w:val="none"/>
        </w:rPr>
        <w:t xml:space="preserve"> </w:t>
      </w:r>
      <w:bookmarkStart w:id="76" w:name="_Toc221951143"/>
      <w:r>
        <w:rPr>
          <w:rFonts w:hint="eastAsia" w:ascii="宋体" w:hAnsi="宋体" w:cs="宋体"/>
          <w:color w:val="auto"/>
          <w:kern w:val="0"/>
          <w:szCs w:val="21"/>
          <w:highlight w:val="none"/>
        </w:rPr>
        <w:t>监理人须根据发包人事先批准的权力范围行使权力，发包人批准的权力范围：</w:t>
      </w:r>
      <w:bookmarkEnd w:id="76"/>
      <w:bookmarkStart w:id="77" w:name="_Toc221951144"/>
      <w:r>
        <w:rPr>
          <w:rFonts w:hint="eastAsia" w:ascii="宋体" w:hAnsi="宋体" w:cs="宋体"/>
          <w:color w:val="auto"/>
          <w:kern w:val="0"/>
          <w:szCs w:val="21"/>
          <w:highlight w:val="none"/>
          <w:u w:val="single"/>
        </w:rPr>
        <w:t>见发包人与监理人就本工程签订的监理合同；任何涉及费用确定和（或）工期调整，或者设计变更，或者变更估价，或者涉及经济责任的事项，监理工程师在发出指令或通知前，须征得发包人同意。</w:t>
      </w:r>
    </w:p>
    <w:p w14:paraId="40EE1C01">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关于监理人的监理内容：</w:t>
      </w:r>
      <w:r>
        <w:rPr>
          <w:rFonts w:hint="eastAsia" w:ascii="宋体" w:hAnsi="宋体" w:cs="宋体"/>
          <w:color w:val="auto"/>
          <w:kern w:val="0"/>
          <w:szCs w:val="21"/>
          <w:highlight w:val="none"/>
          <w:u w:val="single"/>
        </w:rPr>
        <w:t>见发包人与监理人就本工程签订的监理合同</w:t>
      </w:r>
      <w:r>
        <w:rPr>
          <w:rFonts w:hint="eastAsia" w:ascii="宋体" w:hAnsi="宋体" w:cs="宋体"/>
          <w:color w:val="auto"/>
          <w:kern w:val="0"/>
          <w:szCs w:val="21"/>
          <w:highlight w:val="none"/>
        </w:rPr>
        <w:t>。</w:t>
      </w:r>
    </w:p>
    <w:p w14:paraId="31856D00">
      <w:pPr>
        <w:pStyle w:val="4"/>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关于监理人在施工现场的办公场所、生活场所的提供和费用承担的约定：</w:t>
      </w:r>
      <w:r>
        <w:rPr>
          <w:rFonts w:hint="eastAsia" w:ascii="宋体" w:hAnsi="宋体" w:cs="宋体"/>
          <w:color w:val="auto"/>
          <w:kern w:val="0"/>
          <w:szCs w:val="21"/>
          <w:highlight w:val="none"/>
          <w:u w:val="single"/>
        </w:rPr>
        <w:t xml:space="preserve"> </w:t>
      </w:r>
      <w:r>
        <w:rPr>
          <w:rFonts w:hint="eastAsia" w:ascii="宋体" w:hAnsi="宋体" w:eastAsia="宋体" w:cs="宋体"/>
          <w:color w:val="auto"/>
          <w:sz w:val="21"/>
          <w:szCs w:val="21"/>
          <w:highlight w:val="none"/>
          <w:u w:val="single" w:color="auto"/>
          <w:lang w:eastAsia="zh-CN"/>
        </w:rPr>
        <w:t>由承包人提供并承担费用</w:t>
      </w:r>
      <w:r>
        <w:rPr>
          <w:rFonts w:ascii="宋体" w:hAnsi="宋体" w:eastAsia="宋体" w:cs="宋体"/>
          <w:color w:val="auto"/>
          <w:sz w:val="21"/>
          <w:szCs w:val="21"/>
          <w:highlight w:val="none"/>
          <w:u w:val="single" w:color="auto"/>
        </w:rPr>
        <w:t xml:space="preserve">  </w:t>
      </w:r>
      <w:r>
        <w:rPr>
          <w:rFonts w:hint="eastAsia" w:ascii="宋体" w:hAnsi="宋体" w:cs="宋体"/>
          <w:color w:val="auto"/>
          <w:kern w:val="0"/>
          <w:szCs w:val="21"/>
          <w:highlight w:val="none"/>
        </w:rPr>
        <w:t>。</w:t>
      </w:r>
    </w:p>
    <w:bookmarkEnd w:id="77"/>
    <w:p w14:paraId="20CFAE2C">
      <w:pPr>
        <w:pageBreakBefore w:val="0"/>
        <w:kinsoku/>
        <w:overflowPunct/>
        <w:topLinePunct w:val="0"/>
        <w:bidi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3.2总监理工程师</w:t>
      </w:r>
    </w:p>
    <w:p w14:paraId="53C379AB">
      <w:pPr>
        <w:pageBreakBefore w:val="0"/>
        <w:kinsoku/>
        <w:overflowPunct/>
        <w:topLinePunct w:val="0"/>
        <w:bidi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总监理工程师：</w:t>
      </w:r>
    </w:p>
    <w:p w14:paraId="0795E74E">
      <w:pPr>
        <w:pageBreakBefore w:val="0"/>
        <w:kinsoku/>
        <w:overflowPunct/>
        <w:topLinePunct w:val="0"/>
        <w:bidi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姓    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6D606A40">
      <w:pPr>
        <w:pageBreakBefore w:val="0"/>
        <w:kinsoku/>
        <w:overflowPunct/>
        <w:topLinePunct w:val="0"/>
        <w:bidi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职    务：</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p>
    <w:p w14:paraId="68072362">
      <w:pPr>
        <w:pageBreakBefore w:val="0"/>
        <w:kinsoku/>
        <w:overflowPunct/>
        <w:topLinePunct w:val="0"/>
        <w:bidi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监理工程师执业资格证书号：</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u w:val="none"/>
          <w:lang w:eastAsia="zh-CN"/>
        </w:rPr>
        <w:t>；</w:t>
      </w:r>
      <w:r>
        <w:rPr>
          <w:rFonts w:hint="eastAsia" w:ascii="宋体" w:hAnsi="宋体" w:cs="宋体"/>
          <w:color w:val="auto"/>
          <w:kern w:val="0"/>
          <w:szCs w:val="21"/>
          <w:highlight w:val="none"/>
        </w:rPr>
        <w:t xml:space="preserve">         </w:t>
      </w:r>
    </w:p>
    <w:p w14:paraId="40820CF0">
      <w:pPr>
        <w:pageBreakBefore w:val="0"/>
        <w:kinsoku/>
        <w:overflowPunct/>
        <w:topLinePunct w:val="0"/>
        <w:bidi w:val="0"/>
        <w:spacing w:line="360" w:lineRule="auto"/>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联系方式：</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none"/>
        </w:rPr>
        <w:t xml:space="preserve"> </w:t>
      </w:r>
      <w:r>
        <w:rPr>
          <w:rFonts w:hint="eastAsia" w:ascii="宋体" w:hAnsi="宋体" w:cs="宋体"/>
          <w:color w:val="auto"/>
          <w:kern w:val="0"/>
          <w:szCs w:val="21"/>
          <w:highlight w:val="none"/>
          <w:u w:val="none"/>
          <w:lang w:eastAsia="zh-CN"/>
        </w:rPr>
        <w:t>；</w:t>
      </w:r>
      <w:r>
        <w:rPr>
          <w:rFonts w:hint="eastAsia" w:ascii="宋体" w:hAnsi="宋体" w:cs="宋体"/>
          <w:color w:val="auto"/>
          <w:kern w:val="0"/>
          <w:szCs w:val="21"/>
          <w:highlight w:val="none"/>
          <w:u w:val="none"/>
        </w:rPr>
        <w:t xml:space="preserve">  </w:t>
      </w:r>
    </w:p>
    <w:p w14:paraId="38BBDBC8">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关于监理人的其他约定：</w:t>
      </w:r>
      <w:r>
        <w:rPr>
          <w:rFonts w:hint="eastAsia" w:ascii="宋体" w:hAnsi="宋体" w:cs="宋体"/>
          <w:color w:val="auto"/>
          <w:kern w:val="0"/>
          <w:szCs w:val="21"/>
          <w:highlight w:val="none"/>
          <w:u w:val="single"/>
        </w:rPr>
        <w:t>见发包人与监理人就本工程签订的监理合同</w:t>
      </w:r>
      <w:r>
        <w:rPr>
          <w:rFonts w:hint="eastAsia" w:ascii="宋体" w:hAnsi="宋体" w:cs="宋体"/>
          <w:color w:val="auto"/>
          <w:kern w:val="0"/>
          <w:szCs w:val="21"/>
          <w:highlight w:val="none"/>
        </w:rPr>
        <w:t>。</w:t>
      </w:r>
    </w:p>
    <w:p w14:paraId="49541A39">
      <w:pPr>
        <w:keepNext/>
        <w:keepLines/>
        <w:pageBreakBefore w:val="0"/>
        <w:kinsoku/>
        <w:overflowPunct/>
        <w:topLinePunct w:val="0"/>
        <w:bidi w:val="0"/>
        <w:snapToGrid w:val="0"/>
        <w:spacing w:line="360" w:lineRule="auto"/>
        <w:ind w:firstLine="420" w:firstLineChars="200"/>
        <w:outlineLvl w:val="3"/>
        <w:rPr>
          <w:rFonts w:ascii="宋体" w:hAnsi="宋体" w:cs="宋体"/>
          <w:color w:val="auto"/>
          <w:kern w:val="0"/>
          <w:szCs w:val="21"/>
          <w:highlight w:val="none"/>
        </w:rPr>
      </w:pPr>
      <w:r>
        <w:rPr>
          <w:rFonts w:hint="eastAsia" w:ascii="宋体" w:hAnsi="宋体" w:cs="宋体"/>
          <w:color w:val="auto"/>
          <w:kern w:val="0"/>
          <w:szCs w:val="21"/>
          <w:highlight w:val="none"/>
        </w:rPr>
        <w:t>3.5 商定或确定</w:t>
      </w:r>
    </w:p>
    <w:p w14:paraId="049186AF">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在发包人和承包人不能通过协商达成一致意见时，发包人授权监理人对以下事项进行确定：</w:t>
      </w:r>
    </w:p>
    <w:p w14:paraId="018E70A9">
      <w:pPr>
        <w:pStyle w:val="4"/>
        <w:pageBreakBefore w:val="0"/>
        <w:kinsoku/>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。（2）</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1E48E508">
      <w:pPr>
        <w:pStyle w:val="4"/>
        <w:pageBreakBefore w:val="0"/>
        <w:kinsoku/>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w:t>
      </w:r>
    </w:p>
    <w:p w14:paraId="529514FD">
      <w:pPr>
        <w:pStyle w:val="2"/>
        <w:pageBreakBefore w:val="0"/>
        <w:kinsoku/>
        <w:overflowPunct/>
        <w:topLinePunct w:val="0"/>
        <w:bidi w:val="0"/>
        <w:spacing w:line="360" w:lineRule="auto"/>
        <w:rPr>
          <w:rFonts w:ascii="宋体" w:hAnsi="宋体" w:cs="宋体"/>
          <w:color w:val="auto"/>
          <w:sz w:val="21"/>
          <w:szCs w:val="21"/>
          <w:highlight w:val="none"/>
        </w:rPr>
      </w:pPr>
      <w:bookmarkStart w:id="78" w:name="_Toc222032699"/>
      <w:bookmarkStart w:id="79" w:name="_Toc136350387"/>
      <w:bookmarkStart w:id="80" w:name="_Toc222029530"/>
      <w:bookmarkStart w:id="81" w:name="_Toc222031032"/>
      <w:bookmarkStart w:id="82" w:name="_Toc30620"/>
      <w:bookmarkStart w:id="83" w:name="_Toc59810407"/>
      <w:bookmarkStart w:id="84" w:name="_Toc221951150"/>
      <w:bookmarkStart w:id="85" w:name="_Toc33183717"/>
      <w:bookmarkStart w:id="86" w:name="_Toc222033881"/>
      <w:bookmarkStart w:id="87" w:name="_Toc229305390"/>
      <w:r>
        <w:rPr>
          <w:rFonts w:hint="eastAsia" w:ascii="宋体" w:hAnsi="宋体" w:cs="宋体"/>
          <w:color w:val="auto"/>
          <w:sz w:val="21"/>
          <w:szCs w:val="21"/>
          <w:highlight w:val="none"/>
        </w:rPr>
        <w:t>4.承包人</w:t>
      </w:r>
      <w:bookmarkEnd w:id="78"/>
      <w:bookmarkEnd w:id="79"/>
      <w:bookmarkEnd w:id="80"/>
      <w:bookmarkEnd w:id="81"/>
      <w:bookmarkEnd w:id="82"/>
      <w:bookmarkEnd w:id="83"/>
      <w:bookmarkEnd w:id="84"/>
      <w:bookmarkEnd w:id="85"/>
      <w:bookmarkEnd w:id="86"/>
      <w:bookmarkEnd w:id="87"/>
    </w:p>
    <w:p w14:paraId="59D7F894">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bookmarkStart w:id="88" w:name="_Toc33183718"/>
      <w:bookmarkStart w:id="89" w:name="_Toc221951151"/>
      <w:r>
        <w:rPr>
          <w:rFonts w:hint="eastAsia" w:ascii="宋体" w:hAnsi="宋体" w:cs="宋体"/>
          <w:color w:val="auto"/>
          <w:szCs w:val="21"/>
          <w:highlight w:val="none"/>
        </w:rPr>
        <w:t>4.1  承包人的一般义务</w:t>
      </w:r>
      <w:bookmarkEnd w:id="88"/>
      <w:bookmarkEnd w:id="89"/>
    </w:p>
    <w:p w14:paraId="70E18BA3">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bookmarkStart w:id="90" w:name="_Toc221951152"/>
      <w:r>
        <w:rPr>
          <w:rFonts w:hint="eastAsia" w:ascii="宋体" w:hAnsi="宋体" w:cs="宋体"/>
          <w:color w:val="auto"/>
          <w:kern w:val="0"/>
          <w:szCs w:val="21"/>
          <w:highlight w:val="none"/>
        </w:rPr>
        <w:t>4.1.3完成各项承包工作</w:t>
      </w:r>
    </w:p>
    <w:p w14:paraId="5C47EA50">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(1)办理法律规定和合同约定应由承包人办理的许可和批准，并将办理结果书面报送发包人留存；协助发包人办理施工所需的相关证件及手续。  </w:t>
      </w:r>
    </w:p>
    <w:p w14:paraId="5D871A6C">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59A747DD">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(3)按法律规定和合同约定采取施工安全和环境保护措施，办理工伤保险，确保工程及人员、材料、设备和设施的安全。</w:t>
      </w:r>
    </w:p>
    <w:p w14:paraId="59CA0108">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 按合同约定的工作内容和施工进度要求，编制施工组织设计和施工措施计划，并对所有施工作业和施工方法的完备性和安全可靠性负责。施工组织设计和施工措施计划中的措施保障水平应满足工程按合同进度实施的需要，且不得低于投标时施工组织设计的措施保障水平。</w:t>
      </w:r>
    </w:p>
    <w:p w14:paraId="43BBFCCA">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按照约定采取施工安全措施，确保工程及其人员、材料、设备和设施的安全，防止因工程施工造成的人身伤害和财产损失。</w:t>
      </w:r>
    </w:p>
    <w:p w14:paraId="20B60F63">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将发包人按合同约定支付的各项价款专用于合同工程，且应及时支付其雇用人员工资，并及时向分包人支付合同价款。</w:t>
      </w:r>
    </w:p>
    <w:p w14:paraId="74DF75A1">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承包人提交的竣工资料的内容：</w:t>
      </w:r>
      <w:r>
        <w:rPr>
          <w:rFonts w:hint="eastAsia" w:ascii="宋体" w:hAnsi="宋体" w:cs="宋体"/>
          <w:color w:val="auto"/>
          <w:kern w:val="0"/>
          <w:szCs w:val="21"/>
          <w:highlight w:val="none"/>
          <w:u w:val="single"/>
        </w:rPr>
        <w:t>按《重庆市水利工程建设项目竣工档案编制办法》（渝水【2011】39号）</w:t>
      </w:r>
      <w:r>
        <w:rPr>
          <w:rFonts w:hint="eastAsia" w:ascii="宋体" w:hAnsi="宋体" w:cs="宋体"/>
          <w:color w:val="auto"/>
          <w:kern w:val="0"/>
          <w:szCs w:val="21"/>
          <w:highlight w:val="none"/>
          <w:u w:val="single"/>
          <w:lang w:eastAsia="zh-CN"/>
        </w:rPr>
        <w:t>和</w:t>
      </w:r>
      <w:r>
        <w:rPr>
          <w:rFonts w:hint="eastAsia" w:ascii="宋体" w:hAnsi="宋体" w:eastAsia="宋体" w:cs="宋体"/>
          <w:color w:val="auto"/>
          <w:kern w:val="0"/>
          <w:sz w:val="21"/>
          <w:szCs w:val="21"/>
          <w:highlight w:val="none"/>
          <w:u w:val="single"/>
          <w:lang w:val="en-US" w:eastAsia="zh-CN" w:bidi="ar"/>
        </w:rPr>
        <w:t>重庆市发改委《重点工程项目以工代赈工作指南（试行）》</w:t>
      </w:r>
      <w:r>
        <w:rPr>
          <w:rFonts w:hint="eastAsia" w:ascii="宋体" w:hAnsi="宋体" w:cs="宋体"/>
          <w:color w:val="auto"/>
          <w:kern w:val="0"/>
          <w:szCs w:val="21"/>
          <w:highlight w:val="none"/>
          <w:u w:val="single"/>
        </w:rPr>
        <w:t>规定执行</w:t>
      </w:r>
      <w:r>
        <w:rPr>
          <w:rFonts w:hint="eastAsia" w:ascii="宋体" w:hAnsi="宋体" w:cs="宋体"/>
          <w:color w:val="auto"/>
          <w:kern w:val="0"/>
          <w:szCs w:val="21"/>
          <w:highlight w:val="none"/>
        </w:rPr>
        <w:t>。</w:t>
      </w:r>
    </w:p>
    <w:p w14:paraId="28786D69">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承包人需要提交的竣工资料套数：</w:t>
      </w:r>
      <w:r>
        <w:rPr>
          <w:rFonts w:hint="eastAsia" w:ascii="宋体" w:hAnsi="宋体" w:cs="宋体"/>
          <w:color w:val="auto"/>
          <w:kern w:val="0"/>
          <w:szCs w:val="21"/>
          <w:highlight w:val="none"/>
          <w:u w:val="single"/>
        </w:rPr>
        <w:t>完整竣工资料一式 四 套（含电子文档）</w:t>
      </w:r>
      <w:r>
        <w:rPr>
          <w:rFonts w:hint="eastAsia" w:ascii="宋体" w:hAnsi="宋体" w:cs="宋体"/>
          <w:color w:val="auto"/>
          <w:kern w:val="0"/>
          <w:szCs w:val="21"/>
          <w:highlight w:val="none"/>
        </w:rPr>
        <w:t>。</w:t>
      </w:r>
    </w:p>
    <w:p w14:paraId="4D6A46DA">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承包人提交的竣工资料的费用承担：</w:t>
      </w:r>
      <w:r>
        <w:rPr>
          <w:rFonts w:hint="eastAsia" w:ascii="宋体" w:hAnsi="宋体" w:cs="宋体"/>
          <w:color w:val="auto"/>
          <w:kern w:val="0"/>
          <w:szCs w:val="21"/>
          <w:highlight w:val="none"/>
          <w:u w:val="single"/>
        </w:rPr>
        <w:t>由承包人承担</w:t>
      </w:r>
      <w:r>
        <w:rPr>
          <w:rFonts w:hint="eastAsia" w:ascii="宋体" w:hAnsi="宋体" w:cs="宋体"/>
          <w:color w:val="auto"/>
          <w:kern w:val="0"/>
          <w:szCs w:val="21"/>
          <w:highlight w:val="none"/>
        </w:rPr>
        <w:t>。</w:t>
      </w:r>
    </w:p>
    <w:p w14:paraId="1E381D59">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承包人提交的竣工资料移交时间：</w:t>
      </w:r>
      <w:r>
        <w:rPr>
          <w:rFonts w:hint="eastAsia" w:ascii="宋体" w:hAnsi="宋体" w:cs="宋体"/>
          <w:color w:val="auto"/>
          <w:kern w:val="0"/>
          <w:szCs w:val="21"/>
          <w:highlight w:val="none"/>
          <w:u w:val="single"/>
        </w:rPr>
        <w:t>工程完工验收合格后1个月内移交给发包人</w:t>
      </w:r>
      <w:r>
        <w:rPr>
          <w:rFonts w:hint="eastAsia" w:ascii="宋体" w:hAnsi="宋体" w:cs="宋体"/>
          <w:color w:val="auto"/>
          <w:kern w:val="0"/>
          <w:szCs w:val="21"/>
          <w:highlight w:val="none"/>
        </w:rPr>
        <w:t>。</w:t>
      </w:r>
    </w:p>
    <w:p w14:paraId="6BD5ADCD">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承包人提交的竣工资料形式要求：</w:t>
      </w:r>
      <w:r>
        <w:rPr>
          <w:rFonts w:hint="eastAsia" w:ascii="宋体" w:hAnsi="宋体" w:cs="宋体"/>
          <w:color w:val="auto"/>
          <w:kern w:val="0"/>
          <w:szCs w:val="21"/>
          <w:highlight w:val="none"/>
          <w:u w:val="single"/>
        </w:rPr>
        <w:t>完整的书面文件及电子文档</w:t>
      </w:r>
      <w:r>
        <w:rPr>
          <w:rFonts w:hint="eastAsia" w:ascii="宋体" w:hAnsi="宋体" w:cs="宋体"/>
          <w:color w:val="auto"/>
          <w:kern w:val="0"/>
          <w:szCs w:val="21"/>
          <w:highlight w:val="none"/>
        </w:rPr>
        <w:t>。</w:t>
      </w:r>
    </w:p>
    <w:p w14:paraId="34B96ACA">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4.1.4对施工作业和施工方法的完备性负责</w:t>
      </w:r>
    </w:p>
    <w:p w14:paraId="0DD6261A">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本项补充4.1.4.1目如下：</w:t>
      </w:r>
    </w:p>
    <w:p w14:paraId="4B276D1C">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4.1.4.1施工组织设计的提交和修改</w:t>
      </w:r>
    </w:p>
    <w:p w14:paraId="4C3FEADA">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（1）承包人提交详细施工组织设计的期限的约定：</w:t>
      </w:r>
      <w:r>
        <w:rPr>
          <w:rFonts w:hint="eastAsia" w:ascii="宋体" w:hAnsi="宋体" w:cs="宋体"/>
          <w:color w:val="auto"/>
          <w:kern w:val="0"/>
          <w:szCs w:val="21"/>
          <w:highlight w:val="none"/>
          <w:u w:val="single"/>
        </w:rPr>
        <w:t>合同签订后14天内，但最迟不得晚于开工通知载明的开工日期前7天</w:t>
      </w:r>
      <w:r>
        <w:rPr>
          <w:rFonts w:hint="eastAsia" w:ascii="宋体" w:hAnsi="宋体" w:cs="宋体"/>
          <w:color w:val="auto"/>
          <w:kern w:val="0"/>
          <w:szCs w:val="21"/>
          <w:highlight w:val="none"/>
        </w:rPr>
        <w:t>。</w:t>
      </w:r>
    </w:p>
    <w:p w14:paraId="4672FF02">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（2）承包人编制施工组织设计的内容：</w:t>
      </w:r>
      <w:r>
        <w:rPr>
          <w:rFonts w:hint="eastAsia" w:ascii="宋体" w:hAnsi="宋体" w:eastAsia="宋体" w:cs="宋体"/>
          <w:color w:val="auto"/>
          <w:spacing w:val="2"/>
          <w:sz w:val="21"/>
          <w:szCs w:val="21"/>
          <w:highlight w:val="none"/>
          <w:u w:val="single" w:color="auto"/>
        </w:rPr>
        <w:t>应采用文字并结合图表形式说明施工方法:拟投入工 程的主要施工设备情况、拟配备工程的试验和检测仪器设备情况、劳动力计划等:结合工程特点提 出切实可行的工程质量、安全生产、文明施工、工程进度、技术组织措施</w:t>
      </w:r>
      <w:r>
        <w:rPr>
          <w:rFonts w:hint="eastAsia" w:ascii="宋体" w:hAnsi="宋体" w:eastAsia="宋体" w:cs="宋体"/>
          <w:color w:val="auto"/>
          <w:spacing w:val="2"/>
          <w:sz w:val="21"/>
          <w:szCs w:val="21"/>
          <w:highlight w:val="none"/>
          <w:u w:val="single" w:color="auto"/>
          <w:lang w:eastAsia="zh-CN"/>
        </w:rPr>
        <w:t>，</w:t>
      </w:r>
      <w:r>
        <w:rPr>
          <w:rFonts w:hint="eastAsia" w:ascii="宋体" w:hAnsi="宋体" w:eastAsia="宋体" w:cs="宋体"/>
          <w:color w:val="auto"/>
          <w:spacing w:val="2"/>
          <w:sz w:val="21"/>
          <w:szCs w:val="21"/>
          <w:highlight w:val="none"/>
          <w:u w:val="single" w:color="auto"/>
        </w:rPr>
        <w:t>同时应对关键工序、复 杂环节重点提出相应技术措施，如冬雨季施工技术、减少噪音、降低环境污染、地下管线及其他地上地下设施的保护加固措施等按发包人要求提供</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w:t>
      </w:r>
    </w:p>
    <w:p w14:paraId="447FA3EF">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rPr>
        <w:t>（3）发包人和监理人在收到详细的施工组织设计后确认或提出修改意见的期限：</w:t>
      </w:r>
      <w:r>
        <w:rPr>
          <w:rFonts w:hint="eastAsia" w:ascii="宋体" w:hAnsi="宋体" w:cs="宋体"/>
          <w:color w:val="auto"/>
          <w:kern w:val="0"/>
          <w:szCs w:val="21"/>
          <w:highlight w:val="none"/>
          <w:u w:val="single"/>
        </w:rPr>
        <w:t>收到施工组织设计后 7天内</w:t>
      </w:r>
      <w:r>
        <w:rPr>
          <w:rFonts w:hint="eastAsia" w:ascii="宋体" w:hAnsi="宋体" w:cs="宋体"/>
          <w:color w:val="auto"/>
          <w:kern w:val="0"/>
          <w:szCs w:val="21"/>
          <w:highlight w:val="none"/>
        </w:rPr>
        <w:t>。</w:t>
      </w:r>
    </w:p>
    <w:p w14:paraId="782E0D00">
      <w:pPr>
        <w:pStyle w:val="4"/>
        <w:pageBreakBefore w:val="0"/>
        <w:kinsoku/>
        <w:overflowPunct/>
        <w:topLinePunct w:val="0"/>
        <w:autoSpaceDE w:val="0"/>
        <w:autoSpaceDN w:val="0"/>
        <w:bidi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color w:val="auto"/>
          <w:highlight w:val="none"/>
        </w:rPr>
        <w:t>本款补充细化4.1.9、4.1.10项如下：</w:t>
      </w:r>
    </w:p>
    <w:p w14:paraId="0BC0E7C1">
      <w:pPr>
        <w:pageBreakBefore w:val="0"/>
        <w:kinsoku/>
        <w:overflowPunct/>
        <w:topLinePunct w:val="0"/>
        <w:autoSpaceDE w:val="0"/>
        <w:autoSpaceDN w:val="0"/>
        <w:bidi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4.1.9工程的维护和照管</w:t>
      </w:r>
    </w:p>
    <w:p w14:paraId="4B3CA86E">
      <w:pPr>
        <w:pageBreakBefore w:val="0"/>
        <w:kinsoku/>
        <w:overflowPunct/>
        <w:topLinePunct w:val="0"/>
        <w:autoSpaceDE w:val="0"/>
        <w:autoSpaceDN w:val="0"/>
        <w:bidi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完工验收证书颁发前，承包人应负责照管和维护工程及将用于或安装在本工程中的材料、设备。完工验收证书颁发时尚有部分未完工工程的，承包人还应负责该未完工工程、材料、设备的照管和维护工作，直至完工后移交给发包人为止。</w:t>
      </w:r>
    </w:p>
    <w:p w14:paraId="5A336911">
      <w:pPr>
        <w:pageBreakBefore w:val="0"/>
        <w:kinsoku/>
        <w:overflowPunct/>
        <w:topLinePunct w:val="0"/>
        <w:autoSpaceDE w:val="0"/>
        <w:autoSpaceDN w:val="0"/>
        <w:bidi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在承包人负责照管与维护期间，如果本工程或材料、设备等发生损失或损害，除不可抗力原因之外，承包人均应自费弥补，并达到合同要求。承包人还应对按第23项（索赔）规定而实施作业过程中由承包人造成的对工程的任何损失或损害负责。</w:t>
      </w:r>
    </w:p>
    <w:p w14:paraId="57EC8213">
      <w:pPr>
        <w:pageBreakBefore w:val="0"/>
        <w:kinsoku/>
        <w:overflowPunct/>
        <w:topLinePunct w:val="0"/>
        <w:autoSpaceDE w:val="0"/>
        <w:autoSpaceDN w:val="0"/>
        <w:bidi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4.1.10其他义务</w:t>
      </w:r>
    </w:p>
    <w:p w14:paraId="2D06EF41">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（1）在开始施工之前，承包人应核查、复测本工程的各种基准标志。承包人应及时将上述基准标志中存在的错误、不完整或其他缺陷通知发包人，以便发包人核实后重新确认。</w:t>
      </w:r>
    </w:p>
    <w:p w14:paraId="52A10549">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u w:val="single"/>
        </w:rPr>
        <w:t>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14:paraId="6B7FA343">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14:paraId="2C166512">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（4）承包人应服从发包人要求的管理模式、工作方式和工作要求，同时接受监理人、跟审单位（如有）的管理和全程监督，配合项目结、决算的办理。</w:t>
      </w:r>
    </w:p>
    <w:p w14:paraId="41C28CD2">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 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重庆市水利建设市场主体信用信息平台。工资支付表应如实记录支付单位、支付时间、支付对象、支付数额、支付对象的身份证号和签名等信息。民工花名册和工资支付表应报监理人备查。</w:t>
      </w:r>
    </w:p>
    <w:p w14:paraId="043A258E">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w:t>
      </w:r>
    </w:p>
    <w:p w14:paraId="65727617">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承包人安排在施工场地的主要管理人员应与承包人承诺的名单一致，并保持相对稳定。未经监理人批准，上述人员不应无故不到位或被替换；若确实无法到位或需替换，需经监理人审核并报发包人批准后，用同等资质和经历的人员替换。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14:paraId="5C6824AF">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（8）承包人应履行的其他义务：</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6D31BBBD">
      <w:pPr>
        <w:pageBreakBefore w:val="0"/>
        <w:kinsoku/>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  履约担保</w:t>
      </w:r>
    </w:p>
    <w:p w14:paraId="30502BF1">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本款补充4.2.1～4.2.2项如下：</w:t>
      </w:r>
    </w:p>
    <w:p w14:paraId="21CCF7E1">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4.2.1 承包人是否提供履约担保：</w:t>
      </w:r>
      <w:r>
        <w:rPr>
          <w:rFonts w:hint="eastAsia" w:ascii="宋体" w:hAnsi="宋体" w:cs="宋体"/>
          <w:color w:val="auto"/>
          <w:kern w:val="0"/>
          <w:szCs w:val="21"/>
          <w:highlight w:val="none"/>
          <w:u w:val="single"/>
        </w:rPr>
        <w:t>提供</w:t>
      </w:r>
      <w:r>
        <w:rPr>
          <w:rFonts w:hint="eastAsia" w:ascii="宋体" w:hAnsi="宋体" w:cs="宋体"/>
          <w:color w:val="auto"/>
          <w:kern w:val="0"/>
          <w:szCs w:val="21"/>
          <w:highlight w:val="none"/>
        </w:rPr>
        <w:t>。</w:t>
      </w:r>
    </w:p>
    <w:p w14:paraId="43B6E5F0">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4.2.2承包人提供履约担保的形式、金额及期限：</w:t>
      </w:r>
    </w:p>
    <w:p w14:paraId="0CD6BBF5">
      <w:pPr>
        <w:pageBreakBefore w:val="0"/>
        <w:kinsoku/>
        <w:overflowPunct/>
        <w:topLinePunct w:val="0"/>
        <w:bidi w:val="0"/>
        <w:snapToGrid w:val="0"/>
        <w:spacing w:line="360" w:lineRule="auto"/>
        <w:ind w:firstLine="420" w:firstLineChars="200"/>
        <w:rPr>
          <w:rFonts w:ascii="宋体" w:hAnsi="宋体"/>
          <w:color w:val="auto"/>
          <w:kern w:val="0"/>
          <w:szCs w:val="21"/>
          <w:highlight w:val="none"/>
          <w:u w:val="single"/>
        </w:rPr>
      </w:pPr>
      <w:r>
        <w:rPr>
          <w:rFonts w:hint="eastAsia" w:ascii="宋体" w:hAnsi="宋体" w:cs="宋体"/>
          <w:color w:val="auto"/>
          <w:kern w:val="0"/>
          <w:szCs w:val="21"/>
          <w:highlight w:val="none"/>
        </w:rPr>
        <w:t>（1）履约担保的形式：</w:t>
      </w:r>
      <w:r>
        <w:rPr>
          <w:rFonts w:hint="eastAsia" w:ascii="宋体" w:hAnsi="宋体"/>
          <w:color w:val="auto"/>
          <w:kern w:val="0"/>
          <w:szCs w:val="21"/>
          <w:highlight w:val="none"/>
        </w:rPr>
        <w:t>现金或保函或现金+保函的组合；</w:t>
      </w:r>
      <w:r>
        <w:rPr>
          <w:rFonts w:hint="eastAsia" w:ascii="宋体" w:hAnsi="宋体" w:cs="宋体"/>
          <w:color w:val="auto"/>
          <w:kern w:val="0"/>
          <w:szCs w:val="21"/>
          <w:highlight w:val="none"/>
        </w:rPr>
        <w:t>采用保函形式的，保函必须为不可撤销且见索即付</w:t>
      </w:r>
      <w:r>
        <w:rPr>
          <w:rFonts w:hint="eastAsia" w:ascii="宋体" w:hAnsi="宋体"/>
          <w:color w:val="auto"/>
          <w:kern w:val="0"/>
          <w:szCs w:val="21"/>
          <w:highlight w:val="none"/>
        </w:rPr>
        <w:t>。</w:t>
      </w:r>
    </w:p>
    <w:p w14:paraId="065F1519">
      <w:pPr>
        <w:pageBreakBefore w:val="0"/>
        <w:tabs>
          <w:tab w:val="left" w:pos="1134"/>
        </w:tabs>
        <w:kinsoku/>
        <w:overflowPunct/>
        <w:topLinePunct w:val="0"/>
        <w:bidi w:val="0"/>
        <w:spacing w:line="360" w:lineRule="auto"/>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）履约担保的金额：</w:t>
      </w:r>
      <w:r>
        <w:rPr>
          <w:rFonts w:hint="eastAsia" w:ascii="宋体" w:hAnsi="宋体" w:cs="宋体"/>
          <w:color w:val="auto"/>
          <w:kern w:val="0"/>
          <w:szCs w:val="21"/>
          <w:highlight w:val="none"/>
          <w:u w:val="single"/>
        </w:rPr>
        <w:t xml:space="preserve"> </w:t>
      </w:r>
      <w:r>
        <w:rPr>
          <w:rFonts w:hint="eastAsia" w:ascii="宋体" w:hAnsi="宋体"/>
          <w:color w:val="auto"/>
          <w:kern w:val="0"/>
          <w:szCs w:val="21"/>
          <w:highlight w:val="none"/>
          <w:u w:val="single"/>
        </w:rPr>
        <w:t>中标合同金额的1</w:t>
      </w:r>
      <w:r>
        <w:rPr>
          <w:rFonts w:ascii="宋体" w:hAnsi="宋体"/>
          <w:color w:val="auto"/>
          <w:kern w:val="0"/>
          <w:szCs w:val="21"/>
          <w:highlight w:val="none"/>
          <w:u w:val="single"/>
        </w:rPr>
        <w:t>0%</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rPr>
        <w:t>。</w:t>
      </w:r>
    </w:p>
    <w:p w14:paraId="3E8BCEB9">
      <w:pPr>
        <w:pageBreakBefore w:val="0"/>
        <w:tabs>
          <w:tab w:val="left" w:pos="1134"/>
        </w:tabs>
        <w:kinsoku/>
        <w:overflowPunct/>
        <w:topLinePunct w:val="0"/>
        <w:bidi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）履约担保的提交时间：</w:t>
      </w:r>
      <w:r>
        <w:rPr>
          <w:rFonts w:hint="eastAsia" w:ascii="宋体" w:hAnsi="宋体" w:cs="宋体"/>
          <w:color w:val="auto"/>
          <w:kern w:val="0"/>
          <w:szCs w:val="21"/>
          <w:highlight w:val="none"/>
          <w:u w:val="single"/>
        </w:rPr>
        <w:t>在合同签订前，承包人按担保金额向发包人提交履约担保。</w:t>
      </w:r>
    </w:p>
    <w:p w14:paraId="6B96D080">
      <w:pPr>
        <w:pageBreakBefore w:val="0"/>
        <w:tabs>
          <w:tab w:val="left" w:pos="1134"/>
        </w:tabs>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）履约担保的期限：</w:t>
      </w:r>
      <w:r>
        <w:rPr>
          <w:rFonts w:hint="eastAsia" w:ascii="宋体" w:hAnsi="宋体" w:cs="宋体"/>
          <w:color w:val="auto"/>
          <w:kern w:val="0"/>
          <w:szCs w:val="21"/>
          <w:highlight w:val="none"/>
          <w:u w:val="single"/>
        </w:rPr>
        <w:t>自提交履约担保之日起至发包人颁发合同工程完工证书止</w:t>
      </w:r>
      <w:r>
        <w:rPr>
          <w:rFonts w:hint="eastAsia" w:ascii="宋体" w:hAnsi="宋体" w:cs="宋体"/>
          <w:color w:val="auto"/>
          <w:kern w:val="0"/>
          <w:szCs w:val="21"/>
          <w:highlight w:val="none"/>
        </w:rPr>
        <w:t>。</w:t>
      </w:r>
    </w:p>
    <w:p w14:paraId="4493B805">
      <w:pPr>
        <w:pStyle w:val="4"/>
        <w:pageBreakBefore w:val="0"/>
        <w:kinsoku/>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）履约担保的退还时间：</w:t>
      </w:r>
      <w:r>
        <w:rPr>
          <w:rFonts w:hint="eastAsia" w:ascii="宋体" w:hAnsi="宋体" w:cs="宋体"/>
          <w:color w:val="auto"/>
          <w:kern w:val="0"/>
          <w:szCs w:val="21"/>
          <w:highlight w:val="none"/>
          <w:u w:val="single"/>
        </w:rPr>
        <w:t>合同工程完工证书颁发后</w:t>
      </w:r>
      <w:r>
        <w:rPr>
          <w:rFonts w:ascii="宋体" w:hAnsi="宋体" w:cs="宋体"/>
          <w:color w:val="auto"/>
          <w:kern w:val="0"/>
          <w:szCs w:val="21"/>
          <w:highlight w:val="none"/>
          <w:u w:val="single"/>
        </w:rPr>
        <w:t xml:space="preserve">28天内退还  </w:t>
      </w:r>
      <w:r>
        <w:rPr>
          <w:rFonts w:hint="eastAsia" w:ascii="宋体" w:hAnsi="宋体" w:cs="宋体"/>
          <w:color w:val="auto"/>
          <w:kern w:val="0"/>
          <w:szCs w:val="21"/>
          <w:highlight w:val="none"/>
          <w:u w:val="none"/>
        </w:rPr>
        <w:t>。</w:t>
      </w:r>
      <w:bookmarkEnd w:id="90"/>
      <w:bookmarkStart w:id="91" w:name="_Toc221951153"/>
      <w:bookmarkStart w:id="92" w:name="_Toc33183719"/>
    </w:p>
    <w:p w14:paraId="002F3108">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4.3  分包</w:t>
      </w:r>
      <w:bookmarkEnd w:id="91"/>
      <w:bookmarkEnd w:id="92"/>
    </w:p>
    <w:p w14:paraId="46FA5423">
      <w:pPr>
        <w:pStyle w:val="4"/>
        <w:pageBreakBefore w:val="0"/>
        <w:kinsoku/>
        <w:overflowPunct/>
        <w:topLinePunct w:val="0"/>
        <w:bidi w:val="0"/>
        <w:spacing w:line="360" w:lineRule="auto"/>
        <w:ind w:firstLine="420" w:firstLineChars="200"/>
        <w:rPr>
          <w:color w:val="auto"/>
          <w:highlight w:val="none"/>
        </w:rPr>
      </w:pPr>
      <w:r>
        <w:rPr>
          <w:rFonts w:hint="eastAsia" w:ascii="宋体" w:hAnsi="宋体" w:cs="宋体"/>
          <w:color w:val="auto"/>
          <w:szCs w:val="21"/>
          <w:highlight w:val="none"/>
        </w:rPr>
        <w:t>本工程不允许分包</w:t>
      </w:r>
    </w:p>
    <w:p w14:paraId="3467FBCF">
      <w:pPr>
        <w:pageBreakBefore w:val="0"/>
        <w:kinsoku/>
        <w:overflowPunct/>
        <w:topLinePunct w:val="0"/>
        <w:bidi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4.5  承包人项目经理</w:t>
      </w:r>
    </w:p>
    <w:p w14:paraId="3523406D">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项目经理：</w:t>
      </w:r>
    </w:p>
    <w:p w14:paraId="0B6ACB37">
      <w:pPr>
        <w:pageBreakBefore w:val="0"/>
        <w:kinsoku/>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olor w:val="auto"/>
          <w:kern w:val="0"/>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56AE4DFD">
      <w:pPr>
        <w:pageBreakBefore w:val="0"/>
        <w:kinsoku/>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61D5E001">
      <w:pPr>
        <w:pageBreakBefore w:val="0"/>
        <w:kinsoku/>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建造师执业资格等级：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2D25FB9">
      <w:pPr>
        <w:pStyle w:val="6"/>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baseline"/>
        <w:rPr>
          <w:rFonts w:ascii="宋体" w:hAnsi="宋体" w:cs="宋体"/>
          <w:color w:val="auto"/>
          <w:szCs w:val="21"/>
          <w:highlight w:val="none"/>
        </w:rPr>
      </w:pPr>
      <w:r>
        <w:rPr>
          <w:rFonts w:hint="eastAsia" w:ascii="宋体" w:hAnsi="宋体" w:cs="宋体"/>
          <w:color w:val="auto"/>
          <w:szCs w:val="21"/>
          <w:highlight w:val="none"/>
        </w:rPr>
        <w:t>建造师注册证书号：</w:t>
      </w:r>
      <w:r>
        <w:rPr>
          <w:rFonts w:hint="eastAsia" w:ascii="宋体" w:hAnsi="宋体" w:cs="宋体"/>
          <w:color w:val="auto"/>
          <w:szCs w:val="21"/>
          <w:highlight w:val="none"/>
          <w:u w:val="single"/>
          <w:lang w:val="en-US" w:eastAsia="zh-CN"/>
        </w:rPr>
        <w:t xml:space="preserve"> </w:t>
      </w:r>
      <w:r>
        <w:rPr>
          <w:rFonts w:hint="eastAsia" w:cs="宋体"/>
          <w:color w:val="auto"/>
          <w:kern w:val="2"/>
          <w:sz w:val="21"/>
          <w:szCs w:val="21"/>
          <w:highlight w:val="none"/>
          <w:u w:val="single"/>
          <w:lang w:val="en-US" w:eastAsia="zh-CN" w:bidi="ar-SA"/>
        </w:rPr>
        <w:t xml:space="preserve"> </w:t>
      </w:r>
      <w:r>
        <w:rPr>
          <w:rFonts w:hint="eastAsia" w:ascii="宋体" w:hAnsi="宋体" w:cs="宋体"/>
          <w:color w:val="auto"/>
          <w:szCs w:val="21"/>
          <w:highlight w:val="none"/>
        </w:rPr>
        <w:t>；</w:t>
      </w:r>
    </w:p>
    <w:p w14:paraId="455203E3">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ascii="宋体" w:hAnsi="宋体" w:cs="宋体"/>
          <w:color w:val="auto"/>
          <w:szCs w:val="21"/>
          <w:highlight w:val="none"/>
        </w:rPr>
      </w:pPr>
      <w:r>
        <w:rPr>
          <w:rFonts w:hint="eastAsia" w:ascii="宋体" w:hAnsi="宋体" w:cs="宋体"/>
          <w:color w:val="auto"/>
          <w:szCs w:val="21"/>
          <w:highlight w:val="none"/>
        </w:rPr>
        <w:t>建造师执业印章号：</w:t>
      </w:r>
      <w:r>
        <w:rPr>
          <w:rFonts w:hint="eastAsia" w:ascii="宋体" w:hAnsi="宋体" w:cs="宋体"/>
          <w:color w:val="auto"/>
          <w:szCs w:val="21"/>
          <w:highlight w:val="none"/>
          <w:u w:val="single"/>
        </w:rPr>
        <w:t></w:t>
      </w:r>
      <w:r>
        <w:rPr>
          <w:rFonts w:hint="eastAsia" w:ascii="宋体" w:hAnsi="宋体" w:cs="宋体"/>
          <w:color w:val="auto"/>
          <w:kern w:val="2"/>
          <w:sz w:val="21"/>
          <w:szCs w:val="21"/>
          <w:highlight w:val="none"/>
          <w:u w:val="single"/>
          <w:lang w:val="en-US" w:eastAsia="zh-CN" w:bidi="ar-SA"/>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716D628">
      <w:pPr>
        <w:pageBreakBefore w:val="0"/>
        <w:kinsoku/>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安全生产考核合格证书号：</w:t>
      </w:r>
      <w:r>
        <w:rPr>
          <w:rFonts w:hint="eastAsia" w:ascii="宋体" w:hAnsi="宋体" w:cs="宋体"/>
          <w:color w:val="auto"/>
          <w:szCs w:val="21"/>
          <w:highlight w:val="none"/>
          <w:u w:val="single"/>
        </w:rPr>
        <w:t></w:t>
      </w:r>
      <w:r>
        <w:rPr>
          <w:rFonts w:hint="eastAsia" w:ascii="宋体" w:hAnsi="宋体"/>
          <w:color w:val="auto"/>
          <w:kern w:val="0"/>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4AC17158">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联系方式：</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05823D0">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承包人对项目经理的授权范围如下：</w:t>
      </w:r>
      <w:r>
        <w:rPr>
          <w:rFonts w:hint="eastAsia" w:ascii="宋体" w:hAnsi="宋体" w:cs="宋体"/>
          <w:color w:val="auto"/>
          <w:kern w:val="0"/>
          <w:szCs w:val="21"/>
          <w:highlight w:val="none"/>
          <w:u w:val="single"/>
        </w:rPr>
        <w:t>严格按设计图纸、现行国家施工规范及验收规范组织施工，保证工程质量、进度、安全；及时向监理人、发包人报告现场情况（以承包人书面授权范围为准）</w:t>
      </w:r>
      <w:r>
        <w:rPr>
          <w:rFonts w:hint="eastAsia" w:ascii="宋体" w:hAnsi="宋体" w:cs="宋体"/>
          <w:color w:val="auto"/>
          <w:kern w:val="0"/>
          <w:szCs w:val="21"/>
          <w:highlight w:val="none"/>
        </w:rPr>
        <w:t>。</w:t>
      </w:r>
    </w:p>
    <w:p w14:paraId="172A87E6">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关于项目经理每月在施工现场的时间要求：</w:t>
      </w:r>
      <w:r>
        <w:rPr>
          <w:rFonts w:hint="eastAsia" w:ascii="宋体" w:hAnsi="宋体" w:cs="宋体"/>
          <w:color w:val="auto"/>
          <w:kern w:val="0"/>
          <w:szCs w:val="21"/>
          <w:highlight w:val="none"/>
          <w:u w:val="single"/>
        </w:rPr>
        <w:t>不少于22天，由监理人负责项目经理的考勤</w:t>
      </w:r>
      <w:r>
        <w:rPr>
          <w:rFonts w:hint="eastAsia" w:ascii="宋体" w:hAnsi="宋体" w:cs="宋体"/>
          <w:color w:val="auto"/>
          <w:kern w:val="0"/>
          <w:szCs w:val="21"/>
          <w:highlight w:val="none"/>
        </w:rPr>
        <w:t>。</w:t>
      </w:r>
    </w:p>
    <w:p w14:paraId="4073F079">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u w:val="single"/>
        </w:rPr>
        <w:t>承包人应在合同签订前提交与项目经理签订的劳动合同及为项目经理缴纳社会保险的证明，承包人未在限期内提交的，项目经理无权履行职责，发包人有权要求更换项目经理</w:t>
      </w:r>
      <w:r>
        <w:rPr>
          <w:rFonts w:hint="eastAsia" w:ascii="宋体" w:hAnsi="宋体" w:cs="宋体"/>
          <w:color w:val="auto"/>
          <w:kern w:val="0"/>
          <w:szCs w:val="21"/>
          <w:highlight w:val="none"/>
        </w:rPr>
        <w:t>。</w:t>
      </w:r>
    </w:p>
    <w:p w14:paraId="5F47A1AD">
      <w:pPr>
        <w:pageBreakBefore w:val="0"/>
        <w:kinsoku/>
        <w:overflowPunct/>
        <w:topLinePunct w:val="0"/>
        <w:bidi w:val="0"/>
        <w:spacing w:line="360" w:lineRule="auto"/>
        <w:ind w:right="248" w:firstLine="420" w:firstLineChars="200"/>
        <w:rPr>
          <w:rFonts w:ascii="宋体" w:hAnsi="宋体" w:cs="宋体"/>
          <w:bCs/>
          <w:color w:val="auto"/>
          <w:szCs w:val="21"/>
          <w:highlight w:val="none"/>
        </w:rPr>
      </w:pPr>
      <w:r>
        <w:rPr>
          <w:rFonts w:hint="eastAsia" w:ascii="宋体" w:hAnsi="宋体" w:cs="宋体"/>
          <w:bCs/>
          <w:color w:val="auto"/>
          <w:szCs w:val="21"/>
          <w:highlight w:val="none"/>
        </w:rPr>
        <w:t>4.6承包人人员的管理</w:t>
      </w:r>
    </w:p>
    <w:p w14:paraId="51C97FE7">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4.6.5</w:t>
      </w:r>
      <w:r>
        <w:rPr>
          <w:rFonts w:hint="eastAsia" w:ascii="宋体" w:hAnsi="宋体" w:cs="宋体"/>
          <w:color w:val="auto"/>
          <w:kern w:val="0"/>
          <w:szCs w:val="21"/>
          <w:highlight w:val="none"/>
        </w:rPr>
        <w:t>技术负责人</w:t>
      </w:r>
    </w:p>
    <w:p w14:paraId="43F2AF04">
      <w:pPr>
        <w:pageBreakBefore w:val="0"/>
        <w:kinsoku/>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7819E00">
      <w:pPr>
        <w:pageBreakBefore w:val="0"/>
        <w:kinsoku/>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DC63848">
      <w:pPr>
        <w:pageBreakBefore w:val="0"/>
        <w:kinsoku/>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职称等级：</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9C16112">
      <w:pPr>
        <w:pageBreakBefore w:val="0"/>
        <w:kinsoku/>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专    业：</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0E8E795">
      <w:pPr>
        <w:pageBreakBefore w:val="0"/>
        <w:kinsoku/>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证书编号：</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C6AC466">
      <w:pPr>
        <w:pageBreakBefore w:val="0"/>
        <w:kinsoku/>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联系方式：</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E351484">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关于技术负责人每月在施工现场的时间要求：</w:t>
      </w:r>
      <w:r>
        <w:rPr>
          <w:rFonts w:hint="eastAsia" w:ascii="宋体" w:hAnsi="宋体" w:cs="宋体"/>
          <w:color w:val="auto"/>
          <w:kern w:val="0"/>
          <w:szCs w:val="21"/>
          <w:highlight w:val="none"/>
          <w:u w:val="single"/>
        </w:rPr>
        <w:t>不少于22天，由监理人负责技术负责人的考勤</w:t>
      </w:r>
      <w:r>
        <w:rPr>
          <w:rFonts w:hint="eastAsia" w:ascii="宋体" w:hAnsi="宋体" w:cs="宋体"/>
          <w:color w:val="auto"/>
          <w:kern w:val="0"/>
          <w:szCs w:val="21"/>
          <w:highlight w:val="none"/>
        </w:rPr>
        <w:t>。</w:t>
      </w:r>
    </w:p>
    <w:p w14:paraId="3B5FC39A">
      <w:pPr>
        <w:pageBreakBefore w:val="0"/>
        <w:kinsoku/>
        <w:overflowPunct/>
        <w:topLinePunct w:val="0"/>
        <w:bidi w:val="0"/>
        <w:spacing w:line="360" w:lineRule="auto"/>
        <w:ind w:right="248" w:firstLine="420" w:firstLineChars="200"/>
        <w:rPr>
          <w:rFonts w:ascii="宋体" w:hAnsi="宋体" w:cs="宋体"/>
          <w:bCs/>
          <w:color w:val="auto"/>
          <w:szCs w:val="21"/>
          <w:highlight w:val="none"/>
        </w:rPr>
      </w:pPr>
      <w:r>
        <w:rPr>
          <w:rFonts w:hint="eastAsia" w:ascii="宋体" w:hAnsi="宋体" w:cs="宋体"/>
          <w:color w:val="auto"/>
          <w:kern w:val="0"/>
          <w:szCs w:val="21"/>
          <w:highlight w:val="none"/>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cs="宋体"/>
          <w:color w:val="auto"/>
          <w:kern w:val="0"/>
          <w:szCs w:val="21"/>
          <w:highlight w:val="none"/>
        </w:rPr>
        <w:t>。</w:t>
      </w:r>
    </w:p>
    <w:p w14:paraId="1ED7903C">
      <w:pPr>
        <w:pageBreakBefore w:val="0"/>
        <w:kinsoku/>
        <w:overflowPunct/>
        <w:topLinePunct w:val="0"/>
        <w:bidi w:val="0"/>
        <w:spacing w:before="1" w:line="360" w:lineRule="auto"/>
        <w:ind w:left="0" w:leftChars="0" w:firstLine="420" w:firstLineChars="200"/>
        <w:rPr>
          <w:rFonts w:ascii="宋体" w:hAnsi="宋体" w:cs="宋体"/>
          <w:color w:val="auto"/>
          <w:kern w:val="0"/>
          <w:szCs w:val="21"/>
          <w:highlight w:val="none"/>
        </w:rPr>
      </w:pPr>
      <w:r>
        <w:rPr>
          <w:rFonts w:hint="eastAsia" w:ascii="宋体" w:hAnsi="宋体" w:cs="宋体"/>
          <w:bCs/>
          <w:color w:val="auto"/>
          <w:szCs w:val="21"/>
          <w:highlight w:val="none"/>
        </w:rPr>
        <w:t>4.6.6</w:t>
      </w:r>
      <w:r>
        <w:rPr>
          <w:rFonts w:hint="eastAsia" w:ascii="宋体" w:hAnsi="宋体" w:cs="宋体"/>
          <w:color w:val="auto"/>
          <w:kern w:val="0"/>
          <w:szCs w:val="21"/>
          <w:highlight w:val="none"/>
        </w:rPr>
        <w:t>承包人主要施工管理人员离开施工现场的批准要求：</w:t>
      </w:r>
      <w:r>
        <w:rPr>
          <w:rFonts w:hint="eastAsia" w:ascii="宋体" w:hAnsi="宋体" w:cs="宋体"/>
          <w:color w:val="auto"/>
          <w:kern w:val="0"/>
          <w:szCs w:val="21"/>
          <w:highlight w:val="none"/>
          <w:u w:val="single"/>
        </w:rPr>
        <w:t xml:space="preserve"> </w:t>
      </w:r>
      <w:r>
        <w:rPr>
          <w:rFonts w:hint="eastAsia" w:ascii="宋体" w:hAnsi="宋体" w:eastAsia="宋体" w:cs="宋体"/>
          <w:color w:val="auto"/>
          <w:spacing w:val="-3"/>
          <w:sz w:val="21"/>
          <w:szCs w:val="21"/>
          <w:highlight w:val="none"/>
          <w:u w:val="single" w:color="auto"/>
        </w:rPr>
        <w:t>承包人应提前</w:t>
      </w:r>
      <w:r>
        <w:rPr>
          <w:rFonts w:hint="eastAsia" w:ascii="宋体" w:hAnsi="宋体" w:eastAsia="宋体" w:cs="宋体"/>
          <w:color w:val="auto"/>
          <w:spacing w:val="-3"/>
          <w:sz w:val="21"/>
          <w:szCs w:val="21"/>
          <w:highlight w:val="none"/>
          <w:u w:val="single" w:color="auto"/>
          <w:lang w:eastAsia="zh-CN"/>
        </w:rPr>
        <w:t>通知发包人和监理人，经发包人同意后方可离开</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w:t>
      </w:r>
    </w:p>
    <w:p w14:paraId="69F9F4A1">
      <w:pPr>
        <w:pageBreakBefore w:val="0"/>
        <w:kinsoku/>
        <w:overflowPunct/>
        <w:topLinePunct w:val="0"/>
        <w:bidi w:val="0"/>
        <w:snapToGrid w:val="0"/>
        <w:spacing w:line="360" w:lineRule="auto"/>
        <w:ind w:firstLine="480"/>
        <w:rPr>
          <w:rFonts w:ascii="宋体" w:hAnsi="宋体" w:cs="宋体"/>
          <w:bCs/>
          <w:color w:val="auto"/>
          <w:szCs w:val="21"/>
          <w:highlight w:val="none"/>
        </w:rPr>
      </w:pPr>
      <w:r>
        <w:rPr>
          <w:rFonts w:hint="eastAsia" w:ascii="宋体" w:hAnsi="宋体" w:cs="宋体"/>
          <w:bCs/>
          <w:color w:val="auto"/>
          <w:szCs w:val="21"/>
          <w:highlight w:val="none"/>
        </w:rPr>
        <w:t>4.7撤换承包人项目经理和其他人员</w:t>
      </w:r>
    </w:p>
    <w:p w14:paraId="00F1DF78">
      <w:pPr>
        <w:pStyle w:val="4"/>
        <w:pageBreakBefore w:val="0"/>
        <w:kinsoku/>
        <w:overflowPunct/>
        <w:topLinePunct w:val="0"/>
        <w:bidi w:val="0"/>
        <w:spacing w:line="360" w:lineRule="auto"/>
        <w:ind w:firstLine="420" w:firstLineChars="200"/>
        <w:rPr>
          <w:color w:val="auto"/>
          <w:highlight w:val="none"/>
        </w:rPr>
      </w:pPr>
      <w:r>
        <w:rPr>
          <w:rFonts w:hint="eastAsia" w:ascii="宋体" w:hAnsi="宋体" w:cs="宋体"/>
          <w:bCs/>
          <w:color w:val="auto"/>
          <w:szCs w:val="21"/>
          <w:highlight w:val="none"/>
        </w:rPr>
        <w:t>本款补充4.7.1、4.7.2项如下：</w:t>
      </w:r>
    </w:p>
    <w:p w14:paraId="4326B9AE">
      <w:pPr>
        <w:pageBreakBefore w:val="0"/>
        <w:kinsoku/>
        <w:overflowPunct/>
        <w:topLinePunct w:val="0"/>
        <w:bidi w:val="0"/>
        <w:snapToGrid w:val="0"/>
        <w:spacing w:line="360" w:lineRule="auto"/>
        <w:ind w:firstLine="480"/>
        <w:rPr>
          <w:rFonts w:ascii="宋体" w:hAnsi="宋体" w:cs="宋体"/>
          <w:bCs/>
          <w:color w:val="auto"/>
          <w:szCs w:val="21"/>
          <w:highlight w:val="none"/>
        </w:rPr>
      </w:pPr>
      <w:r>
        <w:rPr>
          <w:rFonts w:hint="eastAsia" w:ascii="宋体" w:hAnsi="宋体" w:cs="宋体"/>
          <w:bCs/>
          <w:color w:val="auto"/>
          <w:szCs w:val="21"/>
          <w:highlight w:val="none"/>
        </w:rPr>
        <w:t>4.7.1撤换承包人项目经理</w:t>
      </w:r>
      <w:r>
        <w:rPr>
          <w:rFonts w:hint="eastAsia" w:ascii="宋体" w:hAnsi="宋体" w:cs="宋体"/>
          <w:color w:val="auto"/>
          <w:kern w:val="0"/>
          <w:szCs w:val="21"/>
          <w:highlight w:val="none"/>
        </w:rPr>
        <w:t>（或）技术负责人</w:t>
      </w:r>
    </w:p>
    <w:p w14:paraId="4AD49DBB">
      <w:pPr>
        <w:pageBreakBefore w:val="0"/>
        <w:kinsoku/>
        <w:overflowPunct/>
        <w:topLinePunct w:val="0"/>
        <w:bidi w:val="0"/>
        <w:snapToGrid w:val="0"/>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继任项目经理和（或）技术负责人继续履行合同约定的职责。</w:t>
      </w:r>
    </w:p>
    <w:p w14:paraId="3259A4C6">
      <w:pPr>
        <w:pageBreakBefore w:val="0"/>
        <w:kinsoku/>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若项目经理和</w:t>
      </w:r>
      <w:r>
        <w:rPr>
          <w:rFonts w:hint="eastAsia" w:ascii="宋体" w:hAnsi="宋体" w:cs="宋体"/>
          <w:color w:val="auto"/>
          <w:kern w:val="0"/>
          <w:szCs w:val="21"/>
          <w:highlight w:val="none"/>
        </w:rPr>
        <w:t>（或）</w:t>
      </w:r>
      <w:r>
        <w:rPr>
          <w:rFonts w:hint="eastAsia" w:ascii="宋体" w:hAnsi="宋体" w:cs="宋体"/>
          <w:color w:val="auto"/>
          <w:szCs w:val="21"/>
          <w:highlight w:val="none"/>
        </w:rPr>
        <w:t>技术负责人出现下列情形需更换的，承包人应在</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rPr>
        <w:t>天前书面通知发包人和监理人，</w:t>
      </w:r>
      <w:r>
        <w:rPr>
          <w:rFonts w:hint="eastAsia" w:ascii="宋体" w:hAnsi="宋体"/>
          <w:color w:val="auto"/>
          <w:szCs w:val="21"/>
          <w:highlight w:val="none"/>
        </w:rPr>
        <w:t>经发包人领导班子集体决策同意后予以批准，并将变更信息推送给行业主管部门：</w:t>
      </w:r>
    </w:p>
    <w:p w14:paraId="4D38CBFA">
      <w:pPr>
        <w:pageBreakBefore w:val="0"/>
        <w:kinsoku/>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（1）死亡；</w:t>
      </w:r>
    </w:p>
    <w:p w14:paraId="65636CE2">
      <w:pPr>
        <w:pageBreakBefore w:val="0"/>
        <w:kinsoku/>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（2）非承包人原因导致工期延长，而致使项目经理和技术负责人达到法定退休年龄且确需退休；</w:t>
      </w:r>
    </w:p>
    <w:p w14:paraId="68892F09">
      <w:pPr>
        <w:pageBreakBefore w:val="0"/>
        <w:kinsoku/>
        <w:overflowPunct/>
        <w:topLinePunct w:val="0"/>
        <w:bidi w:val="0"/>
        <w:spacing w:line="360" w:lineRule="auto"/>
        <w:ind w:right="248" w:firstLine="420" w:firstLineChars="200"/>
        <w:rPr>
          <w:rFonts w:ascii="宋体" w:hAnsi="宋体" w:cs="宋体"/>
          <w:color w:val="auto"/>
          <w:szCs w:val="21"/>
          <w:highlight w:val="none"/>
        </w:rPr>
      </w:pPr>
      <w:r>
        <w:rPr>
          <w:rFonts w:hint="eastAsia" w:ascii="宋体" w:hAnsi="宋体" w:cs="宋体"/>
          <w:color w:val="auto"/>
          <w:szCs w:val="21"/>
          <w:highlight w:val="none"/>
        </w:rPr>
        <w:t>（3）按《职工非因工伤残或因病丧失劳动能力程度鉴定标准（试行）》规定鉴定为完全丧失劳动能力和大部分丧失劳动能力；</w:t>
      </w:r>
    </w:p>
    <w:p w14:paraId="70F95CD5">
      <w:pPr>
        <w:pageBreakBefore w:val="0"/>
        <w:kinsoku/>
        <w:overflowPunct/>
        <w:topLinePunct w:val="0"/>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（4）非承包人原因导致中标3个月不能开工；</w:t>
      </w:r>
    </w:p>
    <w:p w14:paraId="00E9146D">
      <w:pPr>
        <w:pageBreakBefore w:val="0"/>
        <w:kinsoku/>
        <w:overflowPunct/>
        <w:topLinePunct w:val="0"/>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（5）被公安或者司法机关限制人身自由；</w:t>
      </w:r>
    </w:p>
    <w:p w14:paraId="26361E15">
      <w:pPr>
        <w:pageBreakBefore w:val="0"/>
        <w:kinsoku/>
        <w:overflowPunct/>
        <w:topLinePunct w:val="0"/>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（6）被取消职称或者执业资格，不满足项目管理要求；</w:t>
      </w:r>
    </w:p>
    <w:p w14:paraId="4EEF9A28">
      <w:pPr>
        <w:pageBreakBefore w:val="0"/>
        <w:kinsoku/>
        <w:overflowPunct/>
        <w:topLinePunct w:val="0"/>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u w:val="single"/>
        </w:rPr>
        <w:t>非承包人原因导致确需变更的其它情形</w:t>
      </w:r>
      <w:r>
        <w:rPr>
          <w:rFonts w:hint="eastAsia" w:ascii="宋体" w:hAnsi="宋体"/>
          <w:color w:val="auto"/>
          <w:szCs w:val="21"/>
          <w:highlight w:val="none"/>
        </w:rPr>
        <w:t>。</w:t>
      </w:r>
    </w:p>
    <w:p w14:paraId="1432C4A2">
      <w:pPr>
        <w:pageBreakBefore w:val="0"/>
        <w:kinsoku/>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4.7.2撤换承包人其他人员</w:t>
      </w:r>
    </w:p>
    <w:p w14:paraId="73984E4C">
      <w:pPr>
        <w:pageBreakBefore w:val="0"/>
        <w:kinsoku/>
        <w:overflowPunct/>
        <w:topLinePunct w:val="0"/>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承包人应按招标人招标文件规定配备现场施工从业人员，具体人员配备如下：</w:t>
      </w:r>
      <w:r>
        <w:rPr>
          <w:rFonts w:hint="eastAsia" w:ascii="宋体" w:hAnsi="宋体"/>
          <w:color w:val="auto"/>
          <w:szCs w:val="21"/>
          <w:highlight w:val="none"/>
          <w:u w:val="single"/>
        </w:rPr>
        <w:t xml:space="preserve"> 项目经理、施工员、安全员、材料员、造价员</w:t>
      </w:r>
      <w:r>
        <w:rPr>
          <w:rFonts w:hint="eastAsia" w:ascii="宋体" w:hAnsi="宋体"/>
          <w:color w:val="auto"/>
          <w:szCs w:val="21"/>
          <w:highlight w:val="none"/>
          <w:u w:val="single"/>
          <w:lang w:eastAsia="zh-CN"/>
        </w:rPr>
        <w:t>、质量员</w:t>
      </w:r>
      <w:r>
        <w:rPr>
          <w:rFonts w:hint="eastAsia" w:ascii="宋体" w:hAnsi="宋体"/>
          <w:color w:val="auto"/>
          <w:szCs w:val="21"/>
          <w:highlight w:val="none"/>
          <w:u w:val="single"/>
        </w:rPr>
        <w:t xml:space="preserve">等  </w:t>
      </w:r>
      <w:r>
        <w:rPr>
          <w:rFonts w:hint="eastAsia" w:ascii="宋体" w:hAnsi="宋体"/>
          <w:color w:val="auto"/>
          <w:szCs w:val="21"/>
          <w:highlight w:val="none"/>
        </w:rPr>
        <w:t>。若国有资金投资项目其他主要人员变更的，参照《重庆市政府投资项目合同变更管理暂行办法》的规定。</w:t>
      </w:r>
    </w:p>
    <w:p w14:paraId="696FBA44">
      <w:pPr>
        <w:pageBreakBefore w:val="0"/>
        <w:kinsoku/>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14:paraId="105AD147">
      <w:pPr>
        <w:pageBreakBefore w:val="0"/>
        <w:kinsoku/>
        <w:overflowPunct/>
        <w:topLinePunct w:val="0"/>
        <w:bidi w:val="0"/>
        <w:snapToGrid w:val="0"/>
        <w:spacing w:line="360" w:lineRule="auto"/>
        <w:ind w:firstLine="420" w:firstLineChars="200"/>
        <w:rPr>
          <w:rFonts w:ascii="宋体" w:hAnsi="宋体" w:cs="宋体"/>
          <w:bCs/>
          <w:color w:val="auto"/>
          <w:szCs w:val="21"/>
          <w:highlight w:val="none"/>
        </w:rPr>
      </w:pPr>
      <w:r>
        <w:rPr>
          <w:rFonts w:hint="eastAsia" w:ascii="宋体" w:hAnsi="宋体" w:cs="宋体"/>
          <w:color w:val="auto"/>
          <w:kern w:val="0"/>
          <w:szCs w:val="21"/>
          <w:highlight w:val="none"/>
        </w:rPr>
        <w:t>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w:t>
      </w:r>
      <w:r>
        <w:rPr>
          <w:rFonts w:hint="eastAsia" w:ascii="宋体" w:hAnsi="宋体"/>
          <w:color w:val="auto"/>
          <w:szCs w:val="21"/>
          <w:highlight w:val="none"/>
        </w:rPr>
        <w:t>审核批准</w:t>
      </w:r>
      <w:r>
        <w:rPr>
          <w:rFonts w:hint="eastAsia" w:ascii="宋体" w:hAnsi="宋体" w:cs="宋体"/>
          <w:color w:val="auto"/>
          <w:kern w:val="0"/>
          <w:szCs w:val="21"/>
          <w:highlight w:val="none"/>
        </w:rPr>
        <w:t>。</w:t>
      </w:r>
    </w:p>
    <w:p w14:paraId="07179623">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bookmarkStart w:id="93" w:name="_Toc33183720"/>
      <w:bookmarkStart w:id="94" w:name="_Toc221951158"/>
      <w:r>
        <w:rPr>
          <w:rFonts w:hint="eastAsia" w:ascii="宋体" w:hAnsi="宋体" w:cs="宋体"/>
          <w:color w:val="auto"/>
          <w:szCs w:val="21"/>
          <w:highlight w:val="none"/>
        </w:rPr>
        <w:t>4.11  不利物质条件</w:t>
      </w:r>
      <w:bookmarkEnd w:id="93"/>
      <w:bookmarkEnd w:id="94"/>
    </w:p>
    <w:p w14:paraId="10C7B031">
      <w:pPr>
        <w:keepNext w:val="0"/>
        <w:keepLines w:val="0"/>
        <w:pageBreakBefore w:val="0"/>
        <w:widowControl w:val="0"/>
        <w:kinsoku/>
        <w:wordWrap/>
        <w:overflowPunct/>
        <w:topLinePunct w:val="0"/>
        <w:autoSpaceDE/>
        <w:autoSpaceDN/>
        <w:bidi w:val="0"/>
        <w:adjustRightInd/>
        <w:snapToGrid/>
        <w:spacing w:before="20" w:line="360" w:lineRule="auto"/>
        <w:ind w:left="0" w:leftChars="0" w:firstLine="420" w:firstLineChars="200"/>
        <w:textAlignment w:val="auto"/>
        <w:rPr>
          <w:rFonts w:ascii="宋体" w:hAnsi="宋体" w:cs="宋体"/>
          <w:color w:val="auto"/>
          <w:szCs w:val="21"/>
          <w:highlight w:val="none"/>
        </w:rPr>
      </w:pPr>
      <w:bookmarkStart w:id="95" w:name="_Toc221951159"/>
      <w:r>
        <w:rPr>
          <w:rFonts w:hint="eastAsia" w:ascii="宋体" w:hAnsi="宋体" w:cs="宋体"/>
          <w:color w:val="auto"/>
          <w:szCs w:val="21"/>
          <w:highlight w:val="none"/>
        </w:rPr>
        <w:t>4.11.1不利物质条件的范围：</w:t>
      </w:r>
      <w:r>
        <w:rPr>
          <w:rFonts w:hint="eastAsia" w:ascii="宋体" w:hAnsi="宋体" w:cs="宋体"/>
          <w:color w:val="auto"/>
          <w:szCs w:val="21"/>
          <w:highlight w:val="none"/>
          <w:u w:val="single"/>
        </w:rPr>
        <w:t xml:space="preserve">  </w:t>
      </w:r>
      <w:bookmarkEnd w:id="95"/>
      <w:r>
        <w:rPr>
          <w:rFonts w:hint="eastAsia" w:ascii="宋体" w:hAnsi="宋体" w:eastAsia="宋体" w:cs="宋体"/>
          <w:color w:val="auto"/>
          <w:spacing w:val="-3"/>
          <w:sz w:val="21"/>
          <w:szCs w:val="21"/>
          <w:highlight w:val="none"/>
          <w:u w:val="single" w:color="auto"/>
        </w:rPr>
        <w:t>按通用合同条款执行(疫情期间，承包人应根据国家法律法 规及地方防疫要求，做好疫情防控工作。若因承包人管理不当导致的任何责任及后果均由承包人承担。发包人将不定期进行检查，对承包人未按要求做好疫情防控工作的，发包人有权要求其整 改直至合格为止，由此产生的成本及工期延误由承包人承担</w:t>
      </w:r>
      <w:r>
        <w:rPr>
          <w:rFonts w:hint="eastAsia" w:ascii="宋体" w:hAnsi="宋体" w:cs="宋体"/>
          <w:color w:val="auto"/>
          <w:spacing w:val="-3"/>
          <w:sz w:val="21"/>
          <w:szCs w:val="21"/>
          <w:highlight w:val="none"/>
          <w:u w:val="single" w:color="auto"/>
          <w:lang w:eastAsia="zh-CN"/>
        </w:rPr>
        <w:t>）</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w:t>
      </w:r>
    </w:p>
    <w:p w14:paraId="0168E958">
      <w:pPr>
        <w:pStyle w:val="2"/>
        <w:pageBreakBefore w:val="0"/>
        <w:kinsoku/>
        <w:overflowPunct/>
        <w:topLinePunct w:val="0"/>
        <w:bidi w:val="0"/>
        <w:spacing w:line="360" w:lineRule="auto"/>
        <w:ind w:firstLine="422" w:firstLineChars="200"/>
        <w:rPr>
          <w:rFonts w:ascii="宋体" w:hAnsi="宋体" w:cs="宋体"/>
          <w:color w:val="auto"/>
          <w:sz w:val="21"/>
          <w:szCs w:val="21"/>
          <w:highlight w:val="none"/>
        </w:rPr>
      </w:pPr>
      <w:bookmarkStart w:id="96" w:name="_Toc229305391"/>
      <w:bookmarkStart w:id="97" w:name="_Toc221951160"/>
      <w:bookmarkStart w:id="98" w:name="_Toc222031033"/>
      <w:bookmarkStart w:id="99" w:name="_Toc222032700"/>
      <w:bookmarkStart w:id="100" w:name="_Toc59810408"/>
      <w:bookmarkStart w:id="101" w:name="_Toc33183721"/>
      <w:bookmarkStart w:id="102" w:name="_Toc222029531"/>
      <w:bookmarkStart w:id="103" w:name="_Toc136350388"/>
      <w:bookmarkStart w:id="104" w:name="_Toc30241"/>
      <w:bookmarkStart w:id="105" w:name="_Toc222033882"/>
      <w:r>
        <w:rPr>
          <w:rFonts w:hint="eastAsia" w:ascii="宋体" w:hAnsi="宋体" w:cs="宋体"/>
          <w:color w:val="auto"/>
          <w:sz w:val="21"/>
          <w:szCs w:val="21"/>
          <w:highlight w:val="none"/>
        </w:rPr>
        <w:t>5.材料和工程设备</w:t>
      </w:r>
      <w:bookmarkEnd w:id="96"/>
      <w:bookmarkEnd w:id="97"/>
      <w:bookmarkEnd w:id="98"/>
      <w:bookmarkEnd w:id="99"/>
      <w:bookmarkEnd w:id="100"/>
      <w:bookmarkEnd w:id="101"/>
      <w:bookmarkEnd w:id="102"/>
      <w:bookmarkEnd w:id="103"/>
      <w:bookmarkEnd w:id="104"/>
      <w:bookmarkEnd w:id="105"/>
    </w:p>
    <w:p w14:paraId="1637B0A7">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bookmarkStart w:id="106" w:name="_Toc33183722"/>
      <w:bookmarkStart w:id="107" w:name="_Toc221951163"/>
      <w:r>
        <w:rPr>
          <w:rFonts w:hint="eastAsia" w:ascii="宋体" w:hAnsi="宋体" w:cs="宋体"/>
          <w:color w:val="auto"/>
          <w:szCs w:val="21"/>
          <w:highlight w:val="none"/>
        </w:rPr>
        <w:t>5.1承包人提供的材料和工程设备</w:t>
      </w:r>
      <w:bookmarkEnd w:id="106"/>
    </w:p>
    <w:p w14:paraId="27248661">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本款补充细化如下：</w:t>
      </w:r>
    </w:p>
    <w:p w14:paraId="7418985D">
      <w:pPr>
        <w:pageBreakBefore w:val="0"/>
        <w:numPr>
          <w:ilvl w:val="0"/>
          <w:numId w:val="1"/>
        </w:numPr>
        <w:kinsoku/>
        <w:overflowPunct/>
        <w:topLinePunct w:val="0"/>
        <w:bidi w:val="0"/>
        <w:spacing w:line="36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承包人负责采购、运输和保管的材料、工程设备：</w:t>
      </w:r>
      <w:r>
        <w:rPr>
          <w:rFonts w:hint="eastAsia" w:ascii="宋体" w:hAnsi="宋体" w:cs="宋体"/>
          <w:color w:val="auto"/>
          <w:kern w:val="0"/>
          <w:szCs w:val="21"/>
          <w:highlight w:val="none"/>
          <w:u w:val="single"/>
        </w:rPr>
        <w:t>由</w:t>
      </w:r>
      <w:r>
        <w:rPr>
          <w:rFonts w:hint="eastAsia" w:ascii="宋体" w:hAnsi="宋体" w:cs="宋体"/>
          <w:color w:val="auto"/>
          <w:kern w:val="0"/>
          <w:szCs w:val="21"/>
          <w:highlight w:val="none"/>
          <w:u w:val="single"/>
          <w:lang w:eastAsia="zh-CN"/>
        </w:rPr>
        <w:t>发</w:t>
      </w:r>
      <w:r>
        <w:rPr>
          <w:rFonts w:hint="eastAsia" w:ascii="宋体" w:hAnsi="宋体" w:cs="宋体"/>
          <w:color w:val="auto"/>
          <w:kern w:val="0"/>
          <w:szCs w:val="21"/>
          <w:highlight w:val="none"/>
          <w:u w:val="single"/>
        </w:rPr>
        <w:t>包人</w:t>
      </w:r>
      <w:r>
        <w:rPr>
          <w:rFonts w:hint="eastAsia" w:ascii="宋体" w:hAnsi="宋体" w:cs="宋体"/>
          <w:color w:val="auto"/>
          <w:kern w:val="0"/>
          <w:szCs w:val="21"/>
          <w:highlight w:val="none"/>
          <w:u w:val="single"/>
          <w:lang w:eastAsia="zh-CN"/>
        </w:rPr>
        <w:t>提供</w:t>
      </w:r>
      <w:r>
        <w:rPr>
          <w:rFonts w:hint="eastAsia" w:ascii="宋体" w:hAnsi="宋体" w:cs="宋体"/>
          <w:color w:val="auto"/>
          <w:kern w:val="0"/>
          <w:szCs w:val="21"/>
          <w:highlight w:val="none"/>
          <w:u w:val="single"/>
        </w:rPr>
        <w:t>。</w:t>
      </w:r>
    </w:p>
    <w:p w14:paraId="15671346">
      <w:pPr>
        <w:pageBreakBefore w:val="0"/>
        <w:numPr>
          <w:ilvl w:val="0"/>
          <w:numId w:val="0"/>
        </w:numPr>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（2）承包人报送监理人审批的时间：</w:t>
      </w:r>
      <w:r>
        <w:rPr>
          <w:rFonts w:hint="eastAsia" w:ascii="宋体" w:hAnsi="宋体" w:cs="宋体"/>
          <w:color w:val="auto"/>
          <w:kern w:val="0"/>
          <w:szCs w:val="21"/>
          <w:highlight w:val="none"/>
          <w:u w:val="single"/>
        </w:rPr>
        <w:t>按发包人及监理单位的相关规定执行</w:t>
      </w:r>
      <w:r>
        <w:rPr>
          <w:rFonts w:hint="eastAsia" w:ascii="宋体" w:hAnsi="宋体" w:cs="宋体"/>
          <w:color w:val="auto"/>
          <w:kern w:val="0"/>
          <w:szCs w:val="21"/>
          <w:highlight w:val="none"/>
        </w:rPr>
        <w:t>。</w:t>
      </w:r>
    </w:p>
    <w:p w14:paraId="0F18BBA7">
      <w:pPr>
        <w:pageBreakBefore w:val="0"/>
        <w:kinsoku/>
        <w:overflowPunct/>
        <w:topLinePunct w:val="0"/>
        <w:bidi w:val="0"/>
        <w:spacing w:line="360" w:lineRule="auto"/>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（3）</w:t>
      </w:r>
      <w:r>
        <w:rPr>
          <w:rFonts w:hint="eastAsia" w:ascii="宋体" w:hAnsi="宋体"/>
          <w:color w:val="auto"/>
          <w:szCs w:val="21"/>
          <w:highlight w:val="none"/>
        </w:rPr>
        <w:t>承包人选择的生产厂家或供应商满足下列条件：</w:t>
      </w:r>
    </w:p>
    <w:p w14:paraId="7BBEFF46">
      <w:pPr>
        <w:pageBreakBefore w:val="0"/>
        <w:kinsoku/>
        <w:overflowPunct/>
        <w:topLinePunct w:val="0"/>
        <w:bidi w:val="0"/>
        <w:spacing w:line="360" w:lineRule="auto"/>
        <w:ind w:firstLine="840" w:firstLineChars="400"/>
        <w:jc w:val="left"/>
        <w:rPr>
          <w:rFonts w:ascii="宋体" w:hAnsi="宋体"/>
          <w:color w:val="auto"/>
          <w:szCs w:val="21"/>
          <w:highlight w:val="none"/>
        </w:rPr>
      </w:pPr>
      <w:r>
        <w:rPr>
          <w:rFonts w:hint="eastAsia" w:ascii="宋体" w:hAnsi="宋体"/>
          <w:color w:val="auto"/>
          <w:szCs w:val="21"/>
          <w:highlight w:val="none"/>
        </w:rPr>
        <w:t>A.承包人选择的混凝土供应商应满足下列条件：</w:t>
      </w:r>
      <w:r>
        <w:rPr>
          <w:rFonts w:hint="eastAsia" w:ascii="宋体" w:hAnsi="宋体"/>
          <w:color w:val="auto"/>
          <w:szCs w:val="21"/>
          <w:highlight w:val="none"/>
          <w:u w:val="single"/>
        </w:rPr>
        <w:t>工程质量标准</w:t>
      </w:r>
      <w:r>
        <w:rPr>
          <w:rFonts w:hint="eastAsia" w:ascii="宋体" w:hAnsi="宋体"/>
          <w:color w:val="auto"/>
          <w:szCs w:val="21"/>
          <w:highlight w:val="none"/>
        </w:rPr>
        <w:t>；</w:t>
      </w:r>
    </w:p>
    <w:p w14:paraId="36ED087B">
      <w:pPr>
        <w:pageBreakBefore w:val="0"/>
        <w:kinsoku/>
        <w:overflowPunct/>
        <w:topLinePunct w:val="0"/>
        <w:bidi w:val="0"/>
        <w:spacing w:line="360" w:lineRule="auto"/>
        <w:ind w:firstLine="840" w:firstLineChars="400"/>
        <w:jc w:val="left"/>
        <w:rPr>
          <w:rFonts w:ascii="宋体" w:hAnsi="宋体"/>
          <w:color w:val="auto"/>
          <w:szCs w:val="21"/>
          <w:highlight w:val="none"/>
        </w:rPr>
      </w:pPr>
      <w:r>
        <w:rPr>
          <w:rFonts w:hint="eastAsia" w:ascii="宋体" w:hAnsi="宋体"/>
          <w:color w:val="auto"/>
          <w:szCs w:val="21"/>
          <w:highlight w:val="none"/>
        </w:rPr>
        <w:t>B.承包人选择的钢材供应商应满足下列条件：</w:t>
      </w:r>
      <w:r>
        <w:rPr>
          <w:rFonts w:hint="eastAsia" w:ascii="宋体" w:hAnsi="宋体"/>
          <w:color w:val="auto"/>
          <w:szCs w:val="21"/>
          <w:highlight w:val="none"/>
          <w:u w:val="single"/>
        </w:rPr>
        <w:t>工程质量标准</w:t>
      </w:r>
      <w:r>
        <w:rPr>
          <w:rFonts w:hint="eastAsia" w:ascii="宋体" w:hAnsi="宋体"/>
          <w:color w:val="auto"/>
          <w:szCs w:val="21"/>
          <w:highlight w:val="none"/>
        </w:rPr>
        <w:t>；</w:t>
      </w:r>
    </w:p>
    <w:p w14:paraId="7472B433">
      <w:pPr>
        <w:pageBreakBefore w:val="0"/>
        <w:kinsoku/>
        <w:overflowPunct/>
        <w:topLinePunct w:val="0"/>
        <w:bidi w:val="0"/>
        <w:spacing w:line="360" w:lineRule="auto"/>
        <w:ind w:firstLine="840" w:firstLineChars="400"/>
        <w:jc w:val="left"/>
        <w:rPr>
          <w:rFonts w:ascii="宋体" w:hAnsi="宋体"/>
          <w:color w:val="auto"/>
          <w:szCs w:val="21"/>
          <w:highlight w:val="none"/>
        </w:rPr>
      </w:pPr>
      <w:r>
        <w:rPr>
          <w:rFonts w:hint="eastAsia" w:ascii="宋体" w:hAnsi="宋体"/>
          <w:color w:val="auto"/>
          <w:szCs w:val="21"/>
          <w:highlight w:val="none"/>
        </w:rPr>
        <w:t>C.承包人选择的水泥供应商应满足下列条件</w:t>
      </w:r>
      <w:r>
        <w:rPr>
          <w:rFonts w:hint="eastAsia" w:ascii="宋体" w:hAnsi="宋体"/>
          <w:color w:val="auto"/>
          <w:szCs w:val="21"/>
          <w:highlight w:val="none"/>
          <w:u w:val="single"/>
        </w:rPr>
        <w:t>工程质量标准</w:t>
      </w:r>
      <w:r>
        <w:rPr>
          <w:rFonts w:hint="eastAsia" w:ascii="宋体" w:hAnsi="宋体"/>
          <w:color w:val="auto"/>
          <w:szCs w:val="21"/>
          <w:highlight w:val="none"/>
        </w:rPr>
        <w:t>；</w:t>
      </w:r>
    </w:p>
    <w:p w14:paraId="11F34B0C">
      <w:pPr>
        <w:pageBreakBefore w:val="0"/>
        <w:kinsoku/>
        <w:overflowPunct/>
        <w:topLinePunct w:val="0"/>
        <w:bidi w:val="0"/>
        <w:spacing w:line="360" w:lineRule="auto"/>
        <w:ind w:firstLine="840" w:firstLineChars="400"/>
        <w:jc w:val="left"/>
        <w:rPr>
          <w:rFonts w:ascii="宋体" w:hAnsi="宋体"/>
          <w:color w:val="auto"/>
          <w:szCs w:val="21"/>
          <w:highlight w:val="none"/>
        </w:rPr>
      </w:pPr>
      <w:r>
        <w:rPr>
          <w:rFonts w:hint="eastAsia" w:ascii="宋体" w:hAnsi="宋体"/>
          <w:color w:val="auto"/>
          <w:szCs w:val="21"/>
          <w:highlight w:val="none"/>
        </w:rPr>
        <w:t>D.承包人采购的材料与设计或标准要求不符时，承包人应按发包人和监理人要求的时间运出施工场地，并重新采购符合要求的产品，并承担由此发生的费用，因此延误的工期不予顺延。</w:t>
      </w:r>
    </w:p>
    <w:p w14:paraId="20B7EDCF">
      <w:pPr>
        <w:pageBreakBefore w:val="0"/>
        <w:kinsoku/>
        <w:overflowPunct/>
        <w:topLinePunct w:val="0"/>
        <w:bidi w:val="0"/>
        <w:spacing w:line="360" w:lineRule="auto"/>
        <w:ind w:firstLine="840" w:firstLineChars="400"/>
        <w:jc w:val="left"/>
        <w:rPr>
          <w:rFonts w:ascii="宋体" w:hAnsi="宋体"/>
          <w:color w:val="auto"/>
          <w:szCs w:val="21"/>
          <w:highlight w:val="none"/>
        </w:rPr>
      </w:pPr>
      <w:r>
        <w:rPr>
          <w:rFonts w:hint="eastAsia" w:ascii="宋体" w:hAnsi="宋体"/>
          <w:color w:val="auto"/>
          <w:szCs w:val="21"/>
          <w:highlight w:val="none"/>
        </w:rPr>
        <w:t>E.承包人采购的材料在使用前，应按发包人和监理人的要求进行检验或试验，不合格的不得使用。</w:t>
      </w:r>
    </w:p>
    <w:p w14:paraId="2EC37463">
      <w:pPr>
        <w:pageBreakBefore w:val="0"/>
        <w:kinsoku/>
        <w:overflowPunct/>
        <w:topLinePunct w:val="0"/>
        <w:bidi w:val="0"/>
        <w:spacing w:line="360" w:lineRule="auto"/>
        <w:ind w:firstLine="840" w:firstLineChars="400"/>
        <w:jc w:val="left"/>
        <w:rPr>
          <w:rFonts w:ascii="宋体" w:hAnsi="宋体" w:cs="宋体"/>
          <w:color w:val="auto"/>
          <w:szCs w:val="21"/>
          <w:highlight w:val="none"/>
        </w:rPr>
      </w:pPr>
      <w:r>
        <w:rPr>
          <w:rFonts w:hint="eastAsia" w:ascii="宋体" w:hAnsi="宋体"/>
          <w:color w:val="auto"/>
          <w:szCs w:val="21"/>
          <w:highlight w:val="none"/>
        </w:rPr>
        <w:t>F.</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F83A832">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bookmarkStart w:id="108" w:name="_Toc33183723"/>
      <w:r>
        <w:rPr>
          <w:rFonts w:hint="eastAsia" w:ascii="宋体" w:hAnsi="宋体" w:cs="宋体"/>
          <w:color w:val="auto"/>
          <w:szCs w:val="21"/>
          <w:highlight w:val="none"/>
        </w:rPr>
        <w:t>5.2  发包人提供的材料和工程设备</w:t>
      </w:r>
      <w:bookmarkEnd w:id="107"/>
      <w:bookmarkEnd w:id="108"/>
    </w:p>
    <w:p w14:paraId="76CDD43C">
      <w:pPr>
        <w:pageBreakBefore w:val="0"/>
        <w:kinsoku/>
        <w:overflowPunct/>
        <w:topLinePunct w:val="0"/>
        <w:bidi w:val="0"/>
        <w:spacing w:line="360" w:lineRule="auto"/>
        <w:ind w:right="248" w:firstLine="420" w:firstLineChars="200"/>
        <w:rPr>
          <w:rFonts w:ascii="宋体" w:hAnsi="宋体" w:cs="宋体"/>
          <w:color w:val="auto"/>
          <w:szCs w:val="21"/>
          <w:highlight w:val="none"/>
        </w:rPr>
      </w:pPr>
      <w:r>
        <w:rPr>
          <w:rFonts w:hint="eastAsia" w:ascii="宋体" w:hAnsi="宋体" w:cs="宋体"/>
          <w:color w:val="auto"/>
          <w:szCs w:val="21"/>
          <w:highlight w:val="none"/>
        </w:rPr>
        <w:t>5.2.1发包人提供的材料和工程设备见下表：</w:t>
      </w:r>
    </w:p>
    <w:p w14:paraId="5DA51188">
      <w:pPr>
        <w:pageBreakBefore w:val="0"/>
        <w:kinsoku/>
        <w:overflowPunct/>
        <w:topLinePunct w:val="0"/>
        <w:bidi w:val="0"/>
        <w:spacing w:line="360" w:lineRule="auto"/>
        <w:ind w:right="248"/>
        <w:jc w:val="both"/>
        <w:rPr>
          <w:rFonts w:hint="eastAsia" w:ascii="宋体" w:hAnsi="宋体" w:cs="宋体"/>
          <w:b/>
          <w:color w:val="auto"/>
          <w:szCs w:val="21"/>
          <w:highlight w:val="none"/>
        </w:rPr>
      </w:pPr>
    </w:p>
    <w:p w14:paraId="2BA0D188">
      <w:pPr>
        <w:pageBreakBefore w:val="0"/>
        <w:kinsoku/>
        <w:overflowPunct/>
        <w:topLinePunct w:val="0"/>
        <w:bidi w:val="0"/>
        <w:spacing w:line="360" w:lineRule="auto"/>
        <w:ind w:right="248"/>
        <w:jc w:val="center"/>
        <w:rPr>
          <w:rFonts w:hint="eastAsia" w:ascii="宋体" w:hAnsi="宋体" w:cs="宋体"/>
          <w:b/>
          <w:color w:val="auto"/>
          <w:szCs w:val="21"/>
          <w:highlight w:val="none"/>
        </w:rPr>
      </w:pPr>
      <w:r>
        <w:rPr>
          <w:rFonts w:hint="eastAsia" w:ascii="宋体" w:hAnsi="宋体" w:cs="宋体"/>
          <w:b/>
          <w:color w:val="auto"/>
          <w:szCs w:val="21"/>
          <w:highlight w:val="none"/>
        </w:rPr>
        <w:t>发包人提供的主要材料表(</w:t>
      </w:r>
      <w:r>
        <w:rPr>
          <w:rFonts w:hint="eastAsia" w:ascii="宋体" w:hAnsi="宋体" w:cs="宋体"/>
          <w:color w:val="auto"/>
          <w:szCs w:val="21"/>
          <w:highlight w:val="none"/>
        </w:rPr>
        <w:t>参考格式</w:t>
      </w:r>
      <w:r>
        <w:rPr>
          <w:rFonts w:hint="eastAsia" w:ascii="宋体" w:hAnsi="宋体" w:cs="宋体"/>
          <w:b/>
          <w:color w:val="auto"/>
          <w:szCs w:val="21"/>
          <w:highlight w:val="none"/>
        </w:rPr>
        <w:t>)</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710"/>
        <w:gridCol w:w="1710"/>
        <w:gridCol w:w="1464"/>
        <w:gridCol w:w="1067"/>
        <w:gridCol w:w="1420"/>
        <w:gridCol w:w="892"/>
      </w:tblGrid>
      <w:tr w14:paraId="031B2B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14:paraId="45D26A4E">
            <w:pPr>
              <w:pageBreakBefore w:val="0"/>
              <w:kinsoku/>
              <w:overflowPunct/>
              <w:topLinePunct w:val="0"/>
              <w:bidi w:val="0"/>
              <w:spacing w:line="360" w:lineRule="auto"/>
              <w:ind w:right="-3"/>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710" w:type="dxa"/>
            <w:noWrap w:val="0"/>
            <w:vAlign w:val="center"/>
          </w:tcPr>
          <w:p w14:paraId="751BD5CE">
            <w:pPr>
              <w:pageBreakBefore w:val="0"/>
              <w:kinsoku/>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材料名称</w:t>
            </w:r>
          </w:p>
        </w:tc>
        <w:tc>
          <w:tcPr>
            <w:tcW w:w="1710" w:type="dxa"/>
            <w:noWrap w:val="0"/>
            <w:vAlign w:val="center"/>
          </w:tcPr>
          <w:p w14:paraId="43419EEC">
            <w:pPr>
              <w:pageBreakBefore w:val="0"/>
              <w:kinsoku/>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材料规格</w:t>
            </w:r>
          </w:p>
        </w:tc>
        <w:tc>
          <w:tcPr>
            <w:tcW w:w="1464" w:type="dxa"/>
            <w:noWrap w:val="0"/>
            <w:vAlign w:val="center"/>
          </w:tcPr>
          <w:p w14:paraId="77182BAD">
            <w:pPr>
              <w:pageBreakBefore w:val="0"/>
              <w:kinsoku/>
              <w:overflowPunct/>
              <w:topLinePunct w:val="0"/>
              <w:bidi w:val="0"/>
              <w:spacing w:line="360" w:lineRule="auto"/>
              <w:ind w:right="-33"/>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067" w:type="dxa"/>
            <w:noWrap w:val="0"/>
            <w:vAlign w:val="center"/>
          </w:tcPr>
          <w:p w14:paraId="323FF348">
            <w:pPr>
              <w:pageBreakBefore w:val="0"/>
              <w:kinsoku/>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交货地点</w:t>
            </w:r>
          </w:p>
        </w:tc>
        <w:tc>
          <w:tcPr>
            <w:tcW w:w="1420" w:type="dxa"/>
            <w:noWrap w:val="0"/>
            <w:vAlign w:val="center"/>
          </w:tcPr>
          <w:p w14:paraId="29ED82B3">
            <w:pPr>
              <w:pageBreakBefore w:val="0"/>
              <w:kinsoku/>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计划交货日期</w:t>
            </w:r>
          </w:p>
        </w:tc>
        <w:tc>
          <w:tcPr>
            <w:tcW w:w="892" w:type="dxa"/>
            <w:noWrap w:val="0"/>
            <w:vAlign w:val="center"/>
          </w:tcPr>
          <w:p w14:paraId="4C74AE4F">
            <w:pPr>
              <w:pageBreakBefore w:val="0"/>
              <w:kinsoku/>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279218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14:paraId="0AE921DB">
            <w:pPr>
              <w:pageBreakBefore w:val="0"/>
              <w:kinsoku/>
              <w:overflowPunct/>
              <w:topLinePunct w:val="0"/>
              <w:bidi w:val="0"/>
              <w:spacing w:line="360" w:lineRule="auto"/>
              <w:ind w:right="248"/>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1710" w:type="dxa"/>
            <w:noWrap w:val="0"/>
            <w:vAlign w:val="center"/>
          </w:tcPr>
          <w:p w14:paraId="667CADF7">
            <w:pPr>
              <w:pageBreakBefore w:val="0"/>
              <w:kinsoku/>
              <w:overflowPunct/>
              <w:topLinePunct w:val="0"/>
              <w:bidi w:val="0"/>
              <w:spacing w:line="360" w:lineRule="auto"/>
              <w:ind w:right="248" w:rightChars="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远传水表</w:t>
            </w:r>
          </w:p>
        </w:tc>
        <w:tc>
          <w:tcPr>
            <w:tcW w:w="1710" w:type="dxa"/>
            <w:noWrap w:val="0"/>
            <w:vAlign w:val="center"/>
          </w:tcPr>
          <w:p w14:paraId="5D1CDB37">
            <w:pPr>
              <w:pageBreakBefore w:val="0"/>
              <w:kinsoku/>
              <w:overflowPunct/>
              <w:topLinePunct w:val="0"/>
              <w:bidi w:val="0"/>
              <w:spacing w:line="360" w:lineRule="auto"/>
              <w:ind w:right="248" w:rightChars="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DN15</w:t>
            </w:r>
          </w:p>
        </w:tc>
        <w:tc>
          <w:tcPr>
            <w:tcW w:w="1464" w:type="dxa"/>
            <w:noWrap w:val="0"/>
            <w:vAlign w:val="center"/>
          </w:tcPr>
          <w:p w14:paraId="53AB5CDA">
            <w:pPr>
              <w:pageBreakBefore w:val="0"/>
              <w:kinsoku/>
              <w:overflowPunct/>
              <w:topLinePunct w:val="0"/>
              <w:bidi w:val="0"/>
              <w:spacing w:line="360" w:lineRule="auto"/>
              <w:ind w:right="248" w:rightChars="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300只</w:t>
            </w:r>
          </w:p>
        </w:tc>
        <w:tc>
          <w:tcPr>
            <w:tcW w:w="1067" w:type="dxa"/>
            <w:noWrap w:val="0"/>
            <w:vAlign w:val="center"/>
          </w:tcPr>
          <w:p w14:paraId="159F33F2">
            <w:pPr>
              <w:pageBreakBefore w:val="0"/>
              <w:kinsoku/>
              <w:overflowPunct/>
              <w:topLinePunct w:val="0"/>
              <w:bidi w:val="0"/>
              <w:spacing w:line="360" w:lineRule="auto"/>
              <w:ind w:right="248"/>
              <w:jc w:val="center"/>
              <w:rPr>
                <w:rFonts w:ascii="宋体" w:hAnsi="宋体" w:cs="宋体"/>
                <w:color w:val="auto"/>
                <w:szCs w:val="21"/>
                <w:highlight w:val="none"/>
              </w:rPr>
            </w:pPr>
          </w:p>
        </w:tc>
        <w:tc>
          <w:tcPr>
            <w:tcW w:w="1420" w:type="dxa"/>
            <w:noWrap w:val="0"/>
            <w:vAlign w:val="center"/>
          </w:tcPr>
          <w:p w14:paraId="65F31E83">
            <w:pPr>
              <w:pageBreakBefore w:val="0"/>
              <w:kinsoku/>
              <w:overflowPunct/>
              <w:topLinePunct w:val="0"/>
              <w:bidi w:val="0"/>
              <w:spacing w:line="360" w:lineRule="auto"/>
              <w:ind w:right="248"/>
              <w:jc w:val="center"/>
              <w:rPr>
                <w:rFonts w:ascii="宋体" w:hAnsi="宋体" w:cs="宋体"/>
                <w:color w:val="auto"/>
                <w:szCs w:val="21"/>
                <w:highlight w:val="none"/>
              </w:rPr>
            </w:pPr>
          </w:p>
        </w:tc>
        <w:tc>
          <w:tcPr>
            <w:tcW w:w="892" w:type="dxa"/>
            <w:noWrap w:val="0"/>
            <w:vAlign w:val="center"/>
          </w:tcPr>
          <w:p w14:paraId="60596F69">
            <w:pPr>
              <w:pageBreakBefore w:val="0"/>
              <w:kinsoku/>
              <w:overflowPunct/>
              <w:topLinePunct w:val="0"/>
              <w:bidi w:val="0"/>
              <w:spacing w:line="360" w:lineRule="auto"/>
              <w:ind w:right="248"/>
              <w:jc w:val="center"/>
              <w:rPr>
                <w:rFonts w:ascii="宋体" w:hAnsi="宋体" w:cs="宋体"/>
                <w:color w:val="auto"/>
                <w:szCs w:val="21"/>
                <w:highlight w:val="none"/>
              </w:rPr>
            </w:pPr>
          </w:p>
        </w:tc>
      </w:tr>
      <w:tr w14:paraId="02C73A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14:paraId="569D0DE7">
            <w:pPr>
              <w:pageBreakBefore w:val="0"/>
              <w:kinsoku/>
              <w:overflowPunct/>
              <w:topLinePunct w:val="0"/>
              <w:bidi w:val="0"/>
              <w:spacing w:line="360" w:lineRule="auto"/>
              <w:ind w:right="248"/>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710" w:type="dxa"/>
            <w:noWrap w:val="0"/>
            <w:vAlign w:val="center"/>
          </w:tcPr>
          <w:p w14:paraId="7D500094">
            <w:pPr>
              <w:pageBreakBefore w:val="0"/>
              <w:kinsoku/>
              <w:overflowPunct/>
              <w:topLinePunct w:val="0"/>
              <w:bidi w:val="0"/>
              <w:spacing w:line="360" w:lineRule="auto"/>
              <w:ind w:right="248"/>
              <w:jc w:val="center"/>
              <w:rPr>
                <w:rFonts w:hint="eastAsia" w:ascii="宋体" w:hAnsi="宋体" w:eastAsia="宋体" w:cs="宋体"/>
                <w:color w:val="auto"/>
                <w:szCs w:val="21"/>
                <w:highlight w:val="none"/>
                <w:lang w:eastAsia="zh-CN"/>
              </w:rPr>
            </w:pPr>
          </w:p>
        </w:tc>
        <w:tc>
          <w:tcPr>
            <w:tcW w:w="1710" w:type="dxa"/>
            <w:noWrap w:val="0"/>
            <w:vAlign w:val="center"/>
          </w:tcPr>
          <w:p w14:paraId="549CF443">
            <w:pPr>
              <w:pageBreakBefore w:val="0"/>
              <w:kinsoku/>
              <w:overflowPunct/>
              <w:topLinePunct w:val="0"/>
              <w:bidi w:val="0"/>
              <w:spacing w:line="360" w:lineRule="auto"/>
              <w:ind w:right="248"/>
              <w:jc w:val="center"/>
              <w:rPr>
                <w:rFonts w:ascii="宋体" w:hAnsi="宋体" w:cs="宋体"/>
                <w:color w:val="auto"/>
                <w:szCs w:val="21"/>
                <w:highlight w:val="none"/>
              </w:rPr>
            </w:pPr>
          </w:p>
        </w:tc>
        <w:tc>
          <w:tcPr>
            <w:tcW w:w="1464" w:type="dxa"/>
            <w:noWrap w:val="0"/>
            <w:vAlign w:val="center"/>
          </w:tcPr>
          <w:p w14:paraId="6012BDDC">
            <w:pPr>
              <w:pageBreakBefore w:val="0"/>
              <w:kinsoku/>
              <w:overflowPunct/>
              <w:topLinePunct w:val="0"/>
              <w:bidi w:val="0"/>
              <w:spacing w:line="360" w:lineRule="auto"/>
              <w:ind w:right="248"/>
              <w:jc w:val="center"/>
              <w:rPr>
                <w:rFonts w:hint="default" w:ascii="宋体" w:hAnsi="宋体" w:cs="宋体"/>
                <w:color w:val="auto"/>
                <w:szCs w:val="21"/>
                <w:highlight w:val="none"/>
                <w:lang w:val="en-US" w:eastAsia="zh-CN"/>
              </w:rPr>
            </w:pPr>
          </w:p>
        </w:tc>
        <w:tc>
          <w:tcPr>
            <w:tcW w:w="1067" w:type="dxa"/>
            <w:noWrap w:val="0"/>
            <w:vAlign w:val="center"/>
          </w:tcPr>
          <w:p w14:paraId="70A1E27D">
            <w:pPr>
              <w:pageBreakBefore w:val="0"/>
              <w:kinsoku/>
              <w:overflowPunct/>
              <w:topLinePunct w:val="0"/>
              <w:bidi w:val="0"/>
              <w:spacing w:line="360" w:lineRule="auto"/>
              <w:ind w:right="248"/>
              <w:jc w:val="center"/>
              <w:rPr>
                <w:rFonts w:ascii="宋体" w:hAnsi="宋体" w:cs="宋体"/>
                <w:color w:val="auto"/>
                <w:szCs w:val="21"/>
                <w:highlight w:val="none"/>
              </w:rPr>
            </w:pPr>
          </w:p>
        </w:tc>
        <w:tc>
          <w:tcPr>
            <w:tcW w:w="1420" w:type="dxa"/>
            <w:noWrap w:val="0"/>
            <w:vAlign w:val="center"/>
          </w:tcPr>
          <w:p w14:paraId="2B7F1098">
            <w:pPr>
              <w:pageBreakBefore w:val="0"/>
              <w:kinsoku/>
              <w:overflowPunct/>
              <w:topLinePunct w:val="0"/>
              <w:bidi w:val="0"/>
              <w:spacing w:line="360" w:lineRule="auto"/>
              <w:ind w:right="248"/>
              <w:jc w:val="center"/>
              <w:rPr>
                <w:rFonts w:ascii="宋体" w:hAnsi="宋体" w:cs="宋体"/>
                <w:color w:val="auto"/>
                <w:szCs w:val="21"/>
                <w:highlight w:val="none"/>
              </w:rPr>
            </w:pPr>
          </w:p>
        </w:tc>
        <w:tc>
          <w:tcPr>
            <w:tcW w:w="892" w:type="dxa"/>
            <w:noWrap w:val="0"/>
            <w:vAlign w:val="center"/>
          </w:tcPr>
          <w:p w14:paraId="14C41EF6">
            <w:pPr>
              <w:pageBreakBefore w:val="0"/>
              <w:kinsoku/>
              <w:overflowPunct/>
              <w:topLinePunct w:val="0"/>
              <w:bidi w:val="0"/>
              <w:spacing w:line="360" w:lineRule="auto"/>
              <w:ind w:right="248"/>
              <w:jc w:val="center"/>
              <w:rPr>
                <w:rFonts w:ascii="宋体" w:hAnsi="宋体" w:cs="宋体"/>
                <w:color w:val="auto"/>
                <w:szCs w:val="21"/>
                <w:highlight w:val="none"/>
              </w:rPr>
            </w:pPr>
          </w:p>
        </w:tc>
      </w:tr>
      <w:tr w14:paraId="2B06E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14:paraId="273BDC1C">
            <w:pPr>
              <w:pageBreakBefore w:val="0"/>
              <w:kinsoku/>
              <w:overflowPunct/>
              <w:topLinePunct w:val="0"/>
              <w:bidi w:val="0"/>
              <w:spacing w:line="360" w:lineRule="auto"/>
              <w:ind w:right="248"/>
              <w:jc w:val="center"/>
              <w:rPr>
                <w:rFonts w:ascii="宋体" w:hAnsi="宋体" w:cs="宋体"/>
                <w:color w:val="auto"/>
                <w:szCs w:val="21"/>
                <w:highlight w:val="none"/>
              </w:rPr>
            </w:pPr>
          </w:p>
        </w:tc>
        <w:tc>
          <w:tcPr>
            <w:tcW w:w="1710" w:type="dxa"/>
            <w:noWrap w:val="0"/>
            <w:vAlign w:val="center"/>
          </w:tcPr>
          <w:p w14:paraId="028AA10E">
            <w:pPr>
              <w:pageBreakBefore w:val="0"/>
              <w:kinsoku/>
              <w:overflowPunct/>
              <w:topLinePunct w:val="0"/>
              <w:bidi w:val="0"/>
              <w:spacing w:line="360" w:lineRule="auto"/>
              <w:ind w:right="248"/>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1710" w:type="dxa"/>
            <w:noWrap w:val="0"/>
            <w:vAlign w:val="center"/>
          </w:tcPr>
          <w:p w14:paraId="029CFCF6">
            <w:pPr>
              <w:pageBreakBefore w:val="0"/>
              <w:kinsoku/>
              <w:overflowPunct/>
              <w:topLinePunct w:val="0"/>
              <w:bidi w:val="0"/>
              <w:spacing w:line="360" w:lineRule="auto"/>
              <w:ind w:right="248"/>
              <w:jc w:val="center"/>
              <w:rPr>
                <w:rFonts w:hint="eastAsia" w:ascii="宋体" w:hAnsi="宋体" w:cs="宋体"/>
                <w:color w:val="auto"/>
                <w:szCs w:val="21"/>
                <w:highlight w:val="none"/>
              </w:rPr>
            </w:pPr>
          </w:p>
        </w:tc>
        <w:tc>
          <w:tcPr>
            <w:tcW w:w="1464" w:type="dxa"/>
            <w:noWrap w:val="0"/>
            <w:vAlign w:val="center"/>
          </w:tcPr>
          <w:p w14:paraId="2DA582D5">
            <w:pPr>
              <w:pageBreakBefore w:val="0"/>
              <w:kinsoku/>
              <w:overflowPunct/>
              <w:topLinePunct w:val="0"/>
              <w:bidi w:val="0"/>
              <w:spacing w:line="360" w:lineRule="auto"/>
              <w:ind w:right="248"/>
              <w:jc w:val="center"/>
              <w:rPr>
                <w:rFonts w:hint="eastAsia" w:ascii="宋体" w:hAnsi="宋体" w:cs="宋体"/>
                <w:color w:val="auto"/>
                <w:szCs w:val="21"/>
                <w:highlight w:val="none"/>
                <w:lang w:val="en-US" w:eastAsia="zh-CN"/>
              </w:rPr>
            </w:pPr>
          </w:p>
        </w:tc>
        <w:tc>
          <w:tcPr>
            <w:tcW w:w="1067" w:type="dxa"/>
            <w:noWrap w:val="0"/>
            <w:vAlign w:val="center"/>
          </w:tcPr>
          <w:p w14:paraId="73B62E88">
            <w:pPr>
              <w:pageBreakBefore w:val="0"/>
              <w:kinsoku/>
              <w:overflowPunct/>
              <w:topLinePunct w:val="0"/>
              <w:bidi w:val="0"/>
              <w:spacing w:line="360" w:lineRule="auto"/>
              <w:ind w:right="248"/>
              <w:jc w:val="center"/>
              <w:rPr>
                <w:rFonts w:ascii="宋体" w:hAnsi="宋体" w:cs="宋体"/>
                <w:color w:val="auto"/>
                <w:szCs w:val="21"/>
                <w:highlight w:val="none"/>
              </w:rPr>
            </w:pPr>
          </w:p>
        </w:tc>
        <w:tc>
          <w:tcPr>
            <w:tcW w:w="1420" w:type="dxa"/>
            <w:noWrap w:val="0"/>
            <w:vAlign w:val="center"/>
          </w:tcPr>
          <w:p w14:paraId="7FB917E4">
            <w:pPr>
              <w:pageBreakBefore w:val="0"/>
              <w:kinsoku/>
              <w:overflowPunct/>
              <w:topLinePunct w:val="0"/>
              <w:bidi w:val="0"/>
              <w:spacing w:line="360" w:lineRule="auto"/>
              <w:ind w:right="248"/>
              <w:jc w:val="center"/>
              <w:rPr>
                <w:rFonts w:ascii="宋体" w:hAnsi="宋体" w:cs="宋体"/>
                <w:color w:val="auto"/>
                <w:szCs w:val="21"/>
                <w:highlight w:val="none"/>
              </w:rPr>
            </w:pPr>
          </w:p>
        </w:tc>
        <w:tc>
          <w:tcPr>
            <w:tcW w:w="892" w:type="dxa"/>
            <w:noWrap w:val="0"/>
            <w:vAlign w:val="center"/>
          </w:tcPr>
          <w:p w14:paraId="3A3CA2C1">
            <w:pPr>
              <w:pageBreakBefore w:val="0"/>
              <w:kinsoku/>
              <w:overflowPunct/>
              <w:topLinePunct w:val="0"/>
              <w:bidi w:val="0"/>
              <w:spacing w:line="360" w:lineRule="auto"/>
              <w:ind w:right="248"/>
              <w:jc w:val="center"/>
              <w:rPr>
                <w:rFonts w:ascii="宋体" w:hAnsi="宋体" w:cs="宋体"/>
                <w:color w:val="auto"/>
                <w:szCs w:val="21"/>
                <w:highlight w:val="none"/>
              </w:rPr>
            </w:pPr>
          </w:p>
        </w:tc>
      </w:tr>
    </w:tbl>
    <w:p w14:paraId="3FA7777A">
      <w:pPr>
        <w:pStyle w:val="4"/>
        <w:rPr>
          <w:color w:val="auto"/>
          <w:highlight w:val="none"/>
        </w:rPr>
      </w:pPr>
    </w:p>
    <w:p w14:paraId="1192B588">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bookmarkStart w:id="109" w:name="_Toc229305392"/>
      <w:bookmarkStart w:id="110" w:name="_Toc221951166"/>
      <w:bookmarkStart w:id="111" w:name="_Toc222032701"/>
      <w:bookmarkStart w:id="112" w:name="_Toc222031034"/>
      <w:bookmarkStart w:id="113" w:name="_Toc222029532"/>
      <w:bookmarkStart w:id="114" w:name="_Toc222033883"/>
      <w:r>
        <w:rPr>
          <w:rFonts w:hint="eastAsia" w:ascii="宋体" w:hAnsi="宋体"/>
          <w:color w:val="auto"/>
          <w:szCs w:val="21"/>
          <w:highlight w:val="none"/>
        </w:rPr>
        <w:t>材料（设备）的名称、规格、数量和价格：</w:t>
      </w:r>
      <w:r>
        <w:rPr>
          <w:rFonts w:hint="eastAsia" w:ascii="宋体" w:hAnsi="宋体"/>
          <w:color w:val="auto"/>
          <w:szCs w:val="21"/>
          <w:highlight w:val="none"/>
          <w:u w:val="single"/>
        </w:rPr>
        <w:t>发包人提供甲供材料（设备）的明细表，结算时</w:t>
      </w:r>
      <w:r>
        <w:rPr>
          <w:rFonts w:hint="eastAsia" w:ascii="宋体" w:hAnsi="宋体"/>
          <w:color w:val="auto"/>
          <w:szCs w:val="21"/>
          <w:highlight w:val="none"/>
          <w:u w:val="single"/>
          <w:lang w:eastAsia="zh-CN"/>
        </w:rPr>
        <w:t>不计入承包人工程结算中，由承包人单独结算</w:t>
      </w:r>
      <w:r>
        <w:rPr>
          <w:rFonts w:hint="eastAsia" w:ascii="宋体" w:hAnsi="宋体"/>
          <w:color w:val="auto"/>
          <w:szCs w:val="21"/>
          <w:highlight w:val="none"/>
        </w:rPr>
        <w:t>。</w:t>
      </w:r>
    </w:p>
    <w:p w14:paraId="027545E6">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5.4 禁止使用不合格的材料和工程设备</w:t>
      </w:r>
    </w:p>
    <w:p w14:paraId="45798EEC">
      <w:pPr>
        <w:pageBreakBefore w:val="0"/>
        <w:kinsoku/>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本款补充细化如下：</w:t>
      </w:r>
      <w:r>
        <w:rPr>
          <w:rFonts w:hint="eastAsia" w:ascii="宋体" w:hAnsi="宋体" w:cs="宋体"/>
          <w:color w:val="auto"/>
          <w:kern w:val="0"/>
          <w:szCs w:val="21"/>
          <w:highlight w:val="none"/>
          <w:u w:val="single"/>
        </w:rPr>
        <w:t>发包人按约定的内容提供材料设备，承包人按施工规范和检测规范对一切进场材料进行质量检验，承包人有权退回检验不合格的材料；承包人对投入使用的材料质量负责，并对工程质量全面负责。</w:t>
      </w:r>
    </w:p>
    <w:p w14:paraId="5094919E">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本条补充5.5、5.6款如下：</w:t>
      </w:r>
    </w:p>
    <w:p w14:paraId="799A0C22">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5.5 材料与工程设备的保管与使用</w:t>
      </w:r>
    </w:p>
    <w:p w14:paraId="7B61AC10">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发包人供应的材料设备的保管费用的承担：</w:t>
      </w:r>
      <w:r>
        <w:rPr>
          <w:rFonts w:hint="eastAsia" w:ascii="宋体" w:hAnsi="宋体" w:cs="宋体"/>
          <w:color w:val="auto"/>
          <w:kern w:val="0"/>
          <w:szCs w:val="21"/>
          <w:highlight w:val="none"/>
          <w:u w:val="single"/>
          <w:lang w:eastAsia="zh-CN"/>
        </w:rPr>
        <w:t>由承包人承担</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761F8F6E">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5.6 样品</w:t>
      </w:r>
    </w:p>
    <w:p w14:paraId="47B0D1F9">
      <w:pPr>
        <w:pageBreakBefore w:val="0"/>
        <w:kinsoku/>
        <w:overflowPunct/>
        <w:topLinePunct w:val="0"/>
        <w:autoSpaceDE w:val="0"/>
        <w:autoSpaceDN w:val="0"/>
        <w:bidi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需要承包人报送样品的材料或工程设备，样品的种类、名称、规格、数量要求：</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合格</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bookmarkStart w:id="115" w:name="_Toc20051"/>
      <w:bookmarkStart w:id="116" w:name="_Toc33183724"/>
      <w:bookmarkStart w:id="117" w:name="_Toc59810409"/>
      <w:bookmarkStart w:id="118" w:name="_Toc136350389"/>
    </w:p>
    <w:p w14:paraId="12113EDC">
      <w:pPr>
        <w:pageBreakBefore w:val="0"/>
        <w:kinsoku/>
        <w:overflowPunct/>
        <w:topLinePunct w:val="0"/>
        <w:autoSpaceDE w:val="0"/>
        <w:autoSpaceDN w:val="0"/>
        <w:bidi w:val="0"/>
        <w:adjustRightInd w:val="0"/>
        <w:spacing w:line="360" w:lineRule="auto"/>
        <w:jc w:val="left"/>
        <w:rPr>
          <w:rFonts w:ascii="宋体" w:hAnsi="宋体" w:cs="宋体"/>
          <w:b/>
          <w:bCs/>
          <w:color w:val="auto"/>
          <w:sz w:val="21"/>
          <w:szCs w:val="21"/>
          <w:highlight w:val="none"/>
        </w:rPr>
      </w:pPr>
      <w:r>
        <w:rPr>
          <w:rFonts w:hint="eastAsia" w:ascii="宋体" w:hAnsi="宋体" w:cs="宋体"/>
          <w:b/>
          <w:bCs/>
          <w:color w:val="auto"/>
          <w:sz w:val="21"/>
          <w:szCs w:val="21"/>
          <w:highlight w:val="none"/>
        </w:rPr>
        <w:t>6.施工设备和临时设施</w:t>
      </w:r>
      <w:bookmarkEnd w:id="109"/>
      <w:bookmarkEnd w:id="110"/>
      <w:bookmarkEnd w:id="111"/>
      <w:bookmarkEnd w:id="112"/>
      <w:bookmarkEnd w:id="113"/>
      <w:bookmarkEnd w:id="114"/>
      <w:bookmarkEnd w:id="115"/>
      <w:bookmarkEnd w:id="116"/>
      <w:bookmarkEnd w:id="117"/>
      <w:bookmarkEnd w:id="118"/>
      <w:r>
        <w:rPr>
          <w:rFonts w:hint="eastAsia" w:ascii="宋体" w:hAnsi="宋体" w:cs="宋体"/>
          <w:b/>
          <w:bCs/>
          <w:color w:val="auto"/>
          <w:sz w:val="21"/>
          <w:szCs w:val="21"/>
          <w:highlight w:val="none"/>
        </w:rPr>
        <w:t xml:space="preserve"> </w:t>
      </w:r>
    </w:p>
    <w:p w14:paraId="0BD3A522">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bookmarkStart w:id="119" w:name="_Toc33183725"/>
      <w:bookmarkStart w:id="120" w:name="_Toc221951167"/>
      <w:r>
        <w:rPr>
          <w:rFonts w:hint="eastAsia" w:ascii="宋体" w:hAnsi="宋体" w:cs="宋体"/>
          <w:color w:val="auto"/>
          <w:szCs w:val="21"/>
          <w:highlight w:val="none"/>
        </w:rPr>
        <w:t>6.1  承包人提供的施工设备和临时设施</w:t>
      </w:r>
      <w:bookmarkEnd w:id="119"/>
    </w:p>
    <w:p w14:paraId="275EACB2">
      <w:pPr>
        <w:pageBreakBefore w:val="0"/>
        <w:kinsoku/>
        <w:overflowPunct/>
        <w:topLinePunct w:val="0"/>
        <w:autoSpaceDE w:val="0"/>
        <w:autoSpaceDN w:val="0"/>
        <w:bidi w:val="0"/>
        <w:adjustRightInd w:val="0"/>
        <w:spacing w:line="360" w:lineRule="auto"/>
        <w:ind w:firstLine="480"/>
        <w:jc w:val="left"/>
        <w:rPr>
          <w:rFonts w:ascii="宋体" w:hAnsi="宋体" w:cs="宋体"/>
          <w:color w:val="auto"/>
          <w:szCs w:val="21"/>
          <w:highlight w:val="none"/>
        </w:rPr>
      </w:pPr>
      <w:r>
        <w:rPr>
          <w:rFonts w:hint="eastAsia" w:ascii="宋体" w:hAnsi="宋体" w:cs="宋体"/>
          <w:color w:val="auto"/>
          <w:kern w:val="0"/>
          <w:szCs w:val="21"/>
          <w:highlight w:val="none"/>
        </w:rPr>
        <w:t>关于修建临时设施费用承担的约定：</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由承包人承担</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p>
    <w:p w14:paraId="261C5F2C">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bookmarkStart w:id="121" w:name="_Toc33183726"/>
      <w:r>
        <w:rPr>
          <w:rFonts w:hint="eastAsia" w:ascii="宋体" w:hAnsi="宋体" w:cs="宋体"/>
          <w:color w:val="auto"/>
          <w:szCs w:val="21"/>
          <w:highlight w:val="none"/>
        </w:rPr>
        <w:t>6.2  发包人提供的施工设备和临时设施</w:t>
      </w:r>
      <w:bookmarkEnd w:id="120"/>
      <w:bookmarkEnd w:id="121"/>
    </w:p>
    <w:p w14:paraId="3572489B">
      <w:pPr>
        <w:pageBreakBefore w:val="0"/>
        <w:kinsoku/>
        <w:overflowPunct/>
        <w:topLinePunct w:val="0"/>
        <w:bidi w:val="0"/>
        <w:spacing w:line="360" w:lineRule="auto"/>
        <w:ind w:right="248" w:firstLine="424" w:firstLineChars="202"/>
        <w:rPr>
          <w:rFonts w:ascii="宋体" w:hAnsi="宋体" w:cs="宋体"/>
          <w:color w:val="auto"/>
          <w:szCs w:val="21"/>
          <w:highlight w:val="none"/>
        </w:rPr>
      </w:pPr>
      <w:bookmarkStart w:id="122" w:name="_Toc221951169"/>
      <w:r>
        <w:rPr>
          <w:rFonts w:hint="eastAsia" w:ascii="宋体" w:hAnsi="宋体" w:cs="宋体"/>
          <w:color w:val="auto"/>
          <w:szCs w:val="21"/>
          <w:highlight w:val="none"/>
        </w:rPr>
        <w:t>（1）发包人提供的的施工设备见下表</w:t>
      </w:r>
      <w:bookmarkEnd w:id="122"/>
      <w:r>
        <w:rPr>
          <w:rFonts w:hint="eastAsia" w:ascii="宋体" w:hAnsi="宋体" w:cs="宋体"/>
          <w:color w:val="auto"/>
          <w:szCs w:val="21"/>
          <w:highlight w:val="none"/>
        </w:rPr>
        <w:t>：</w:t>
      </w:r>
    </w:p>
    <w:p w14:paraId="54356AB4">
      <w:pPr>
        <w:pageBreakBefore w:val="0"/>
        <w:kinsoku/>
        <w:overflowPunct/>
        <w:topLinePunct w:val="0"/>
        <w:bidi w:val="0"/>
        <w:spacing w:line="360" w:lineRule="auto"/>
        <w:ind w:right="248"/>
        <w:jc w:val="center"/>
        <w:rPr>
          <w:rFonts w:ascii="宋体" w:hAnsi="宋体" w:cs="宋体"/>
          <w:color w:val="auto"/>
          <w:szCs w:val="21"/>
          <w:highlight w:val="none"/>
        </w:rPr>
      </w:pPr>
      <w:bookmarkStart w:id="123" w:name="_Toc221951170"/>
      <w:r>
        <w:rPr>
          <w:rFonts w:hint="eastAsia" w:ascii="宋体" w:hAnsi="宋体" w:cs="宋体"/>
          <w:b/>
          <w:color w:val="auto"/>
          <w:szCs w:val="21"/>
          <w:highlight w:val="none"/>
        </w:rPr>
        <w:t>发包人提供的施工设备表(</w:t>
      </w:r>
      <w:r>
        <w:rPr>
          <w:rFonts w:hint="eastAsia" w:ascii="宋体" w:hAnsi="宋体" w:cs="宋体"/>
          <w:color w:val="auto"/>
          <w:szCs w:val="21"/>
          <w:highlight w:val="none"/>
        </w:rPr>
        <w:t>参考格式</w:t>
      </w:r>
      <w:r>
        <w:rPr>
          <w:rFonts w:hint="eastAsia" w:ascii="宋体" w:hAnsi="宋体" w:cs="宋体"/>
          <w:b/>
          <w:color w:val="auto"/>
          <w:szCs w:val="21"/>
          <w:highlight w:val="none"/>
        </w:rPr>
        <w:t>)</w:t>
      </w:r>
      <w:bookmarkEnd w:id="123"/>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852"/>
        <w:gridCol w:w="1568"/>
        <w:gridCol w:w="997"/>
        <w:gridCol w:w="1139"/>
        <w:gridCol w:w="1710"/>
        <w:gridCol w:w="853"/>
      </w:tblGrid>
      <w:tr w14:paraId="37058F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06" w:type="dxa"/>
            <w:noWrap w:val="0"/>
            <w:vAlign w:val="center"/>
          </w:tcPr>
          <w:p w14:paraId="3E19E8C7">
            <w:pPr>
              <w:pageBreakBefore w:val="0"/>
              <w:kinsoku/>
              <w:overflowPunct/>
              <w:topLinePunct w:val="0"/>
              <w:bidi w:val="0"/>
              <w:spacing w:line="360" w:lineRule="auto"/>
              <w:ind w:right="-3"/>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852" w:type="dxa"/>
            <w:noWrap w:val="0"/>
            <w:vAlign w:val="center"/>
          </w:tcPr>
          <w:p w14:paraId="66D84D86">
            <w:pPr>
              <w:pageBreakBefore w:val="0"/>
              <w:kinsoku/>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施工设备名称</w:t>
            </w:r>
          </w:p>
        </w:tc>
        <w:tc>
          <w:tcPr>
            <w:tcW w:w="1568" w:type="dxa"/>
            <w:noWrap w:val="0"/>
            <w:vAlign w:val="center"/>
          </w:tcPr>
          <w:p w14:paraId="1077FF74">
            <w:pPr>
              <w:pageBreakBefore w:val="0"/>
              <w:kinsoku/>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型号及规格</w:t>
            </w:r>
          </w:p>
        </w:tc>
        <w:tc>
          <w:tcPr>
            <w:tcW w:w="997" w:type="dxa"/>
            <w:noWrap w:val="0"/>
            <w:vAlign w:val="center"/>
          </w:tcPr>
          <w:p w14:paraId="602A8473">
            <w:pPr>
              <w:pageBreakBefore w:val="0"/>
              <w:kinsoku/>
              <w:overflowPunct/>
              <w:topLinePunct w:val="0"/>
              <w:bidi w:val="0"/>
              <w:spacing w:line="360" w:lineRule="auto"/>
              <w:ind w:right="-33"/>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139" w:type="dxa"/>
            <w:noWrap w:val="0"/>
            <w:vAlign w:val="center"/>
          </w:tcPr>
          <w:p w14:paraId="142ACA67">
            <w:pPr>
              <w:pageBreakBefore w:val="0"/>
              <w:kinsoku/>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交货地点</w:t>
            </w:r>
          </w:p>
        </w:tc>
        <w:tc>
          <w:tcPr>
            <w:tcW w:w="1710" w:type="dxa"/>
            <w:noWrap w:val="0"/>
            <w:vAlign w:val="center"/>
          </w:tcPr>
          <w:p w14:paraId="531EB44B">
            <w:pPr>
              <w:pageBreakBefore w:val="0"/>
              <w:kinsoku/>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计划交货日期</w:t>
            </w:r>
          </w:p>
        </w:tc>
        <w:tc>
          <w:tcPr>
            <w:tcW w:w="853" w:type="dxa"/>
            <w:noWrap w:val="0"/>
            <w:vAlign w:val="center"/>
          </w:tcPr>
          <w:p w14:paraId="21293DFA">
            <w:pPr>
              <w:pageBreakBefore w:val="0"/>
              <w:kinsoku/>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2668BD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06" w:type="dxa"/>
            <w:noWrap w:val="0"/>
            <w:vAlign w:val="center"/>
          </w:tcPr>
          <w:p w14:paraId="783B7B97">
            <w:pPr>
              <w:pageBreakBefore w:val="0"/>
              <w:kinsoku/>
              <w:overflowPunct/>
              <w:topLinePunct w:val="0"/>
              <w:bidi w:val="0"/>
              <w:spacing w:line="360" w:lineRule="auto"/>
              <w:ind w:right="248"/>
              <w:jc w:val="center"/>
              <w:rPr>
                <w:rFonts w:ascii="宋体" w:hAnsi="宋体" w:cs="宋体"/>
                <w:color w:val="auto"/>
                <w:szCs w:val="21"/>
                <w:highlight w:val="none"/>
              </w:rPr>
            </w:pPr>
          </w:p>
        </w:tc>
        <w:tc>
          <w:tcPr>
            <w:tcW w:w="1852" w:type="dxa"/>
            <w:noWrap w:val="0"/>
            <w:vAlign w:val="center"/>
          </w:tcPr>
          <w:p w14:paraId="01DA69A9">
            <w:pPr>
              <w:pageBreakBefore w:val="0"/>
              <w:kinsoku/>
              <w:overflowPunct/>
              <w:topLinePunct w:val="0"/>
              <w:bidi w:val="0"/>
              <w:spacing w:line="360" w:lineRule="auto"/>
              <w:ind w:right="248"/>
              <w:jc w:val="center"/>
              <w:rPr>
                <w:rFonts w:ascii="宋体" w:hAnsi="宋体" w:cs="宋体"/>
                <w:color w:val="auto"/>
                <w:szCs w:val="21"/>
                <w:highlight w:val="none"/>
              </w:rPr>
            </w:pPr>
          </w:p>
        </w:tc>
        <w:tc>
          <w:tcPr>
            <w:tcW w:w="1568" w:type="dxa"/>
            <w:noWrap w:val="0"/>
            <w:vAlign w:val="center"/>
          </w:tcPr>
          <w:p w14:paraId="26325D98">
            <w:pPr>
              <w:pageBreakBefore w:val="0"/>
              <w:kinsoku/>
              <w:overflowPunct/>
              <w:topLinePunct w:val="0"/>
              <w:bidi w:val="0"/>
              <w:spacing w:line="360" w:lineRule="auto"/>
              <w:ind w:right="248"/>
              <w:jc w:val="center"/>
              <w:rPr>
                <w:rFonts w:ascii="宋体" w:hAnsi="宋体" w:cs="宋体"/>
                <w:color w:val="auto"/>
                <w:szCs w:val="21"/>
                <w:highlight w:val="none"/>
              </w:rPr>
            </w:pPr>
          </w:p>
        </w:tc>
        <w:tc>
          <w:tcPr>
            <w:tcW w:w="997" w:type="dxa"/>
            <w:noWrap w:val="0"/>
            <w:vAlign w:val="center"/>
          </w:tcPr>
          <w:p w14:paraId="4AABB493">
            <w:pPr>
              <w:pageBreakBefore w:val="0"/>
              <w:kinsoku/>
              <w:overflowPunct/>
              <w:topLinePunct w:val="0"/>
              <w:bidi w:val="0"/>
              <w:spacing w:line="360" w:lineRule="auto"/>
              <w:ind w:right="248"/>
              <w:jc w:val="center"/>
              <w:rPr>
                <w:rFonts w:ascii="宋体" w:hAnsi="宋体" w:cs="宋体"/>
                <w:color w:val="auto"/>
                <w:szCs w:val="21"/>
                <w:highlight w:val="none"/>
              </w:rPr>
            </w:pPr>
          </w:p>
        </w:tc>
        <w:tc>
          <w:tcPr>
            <w:tcW w:w="1139" w:type="dxa"/>
            <w:noWrap w:val="0"/>
            <w:vAlign w:val="center"/>
          </w:tcPr>
          <w:p w14:paraId="598098E9">
            <w:pPr>
              <w:pageBreakBefore w:val="0"/>
              <w:kinsoku/>
              <w:overflowPunct/>
              <w:topLinePunct w:val="0"/>
              <w:bidi w:val="0"/>
              <w:spacing w:line="360" w:lineRule="auto"/>
              <w:ind w:right="248"/>
              <w:jc w:val="center"/>
              <w:rPr>
                <w:rFonts w:ascii="宋体" w:hAnsi="宋体" w:cs="宋体"/>
                <w:color w:val="auto"/>
                <w:szCs w:val="21"/>
                <w:highlight w:val="none"/>
              </w:rPr>
            </w:pPr>
          </w:p>
        </w:tc>
        <w:tc>
          <w:tcPr>
            <w:tcW w:w="1710" w:type="dxa"/>
            <w:noWrap w:val="0"/>
            <w:vAlign w:val="center"/>
          </w:tcPr>
          <w:p w14:paraId="1D0A3833">
            <w:pPr>
              <w:pageBreakBefore w:val="0"/>
              <w:kinsoku/>
              <w:overflowPunct/>
              <w:topLinePunct w:val="0"/>
              <w:bidi w:val="0"/>
              <w:spacing w:line="360" w:lineRule="auto"/>
              <w:ind w:right="248"/>
              <w:jc w:val="center"/>
              <w:rPr>
                <w:rFonts w:ascii="宋体" w:hAnsi="宋体" w:cs="宋体"/>
                <w:color w:val="auto"/>
                <w:szCs w:val="21"/>
                <w:highlight w:val="none"/>
              </w:rPr>
            </w:pPr>
          </w:p>
        </w:tc>
        <w:tc>
          <w:tcPr>
            <w:tcW w:w="853" w:type="dxa"/>
            <w:noWrap w:val="0"/>
            <w:vAlign w:val="center"/>
          </w:tcPr>
          <w:p w14:paraId="5FCB4EC7">
            <w:pPr>
              <w:pageBreakBefore w:val="0"/>
              <w:kinsoku/>
              <w:overflowPunct/>
              <w:topLinePunct w:val="0"/>
              <w:bidi w:val="0"/>
              <w:spacing w:line="360" w:lineRule="auto"/>
              <w:ind w:right="248"/>
              <w:jc w:val="center"/>
              <w:rPr>
                <w:rFonts w:ascii="宋体" w:hAnsi="宋体" w:cs="宋体"/>
                <w:color w:val="auto"/>
                <w:szCs w:val="21"/>
                <w:highlight w:val="none"/>
              </w:rPr>
            </w:pPr>
          </w:p>
        </w:tc>
      </w:tr>
      <w:tr w14:paraId="2DCFD8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06" w:type="dxa"/>
            <w:noWrap w:val="0"/>
            <w:vAlign w:val="center"/>
          </w:tcPr>
          <w:p w14:paraId="34F294EB">
            <w:pPr>
              <w:pageBreakBefore w:val="0"/>
              <w:kinsoku/>
              <w:overflowPunct/>
              <w:topLinePunct w:val="0"/>
              <w:bidi w:val="0"/>
              <w:spacing w:line="360" w:lineRule="auto"/>
              <w:ind w:right="248"/>
              <w:jc w:val="center"/>
              <w:rPr>
                <w:rFonts w:ascii="宋体" w:hAnsi="宋体" w:cs="宋体"/>
                <w:color w:val="auto"/>
                <w:szCs w:val="21"/>
                <w:highlight w:val="none"/>
              </w:rPr>
            </w:pPr>
          </w:p>
        </w:tc>
        <w:tc>
          <w:tcPr>
            <w:tcW w:w="1852" w:type="dxa"/>
            <w:noWrap w:val="0"/>
            <w:vAlign w:val="center"/>
          </w:tcPr>
          <w:p w14:paraId="2B19154E">
            <w:pPr>
              <w:pageBreakBefore w:val="0"/>
              <w:kinsoku/>
              <w:overflowPunct/>
              <w:topLinePunct w:val="0"/>
              <w:bidi w:val="0"/>
              <w:spacing w:line="360" w:lineRule="auto"/>
              <w:ind w:right="248"/>
              <w:jc w:val="center"/>
              <w:rPr>
                <w:rFonts w:ascii="宋体" w:hAnsi="宋体" w:cs="宋体"/>
                <w:color w:val="auto"/>
                <w:szCs w:val="21"/>
                <w:highlight w:val="none"/>
              </w:rPr>
            </w:pPr>
          </w:p>
        </w:tc>
        <w:tc>
          <w:tcPr>
            <w:tcW w:w="1568" w:type="dxa"/>
            <w:noWrap w:val="0"/>
            <w:vAlign w:val="center"/>
          </w:tcPr>
          <w:p w14:paraId="2854DA3F">
            <w:pPr>
              <w:pageBreakBefore w:val="0"/>
              <w:kinsoku/>
              <w:overflowPunct/>
              <w:topLinePunct w:val="0"/>
              <w:bidi w:val="0"/>
              <w:spacing w:line="360" w:lineRule="auto"/>
              <w:ind w:right="248"/>
              <w:jc w:val="center"/>
              <w:rPr>
                <w:rFonts w:ascii="宋体" w:hAnsi="宋体" w:cs="宋体"/>
                <w:color w:val="auto"/>
                <w:szCs w:val="21"/>
                <w:highlight w:val="none"/>
              </w:rPr>
            </w:pPr>
          </w:p>
        </w:tc>
        <w:tc>
          <w:tcPr>
            <w:tcW w:w="997" w:type="dxa"/>
            <w:noWrap w:val="0"/>
            <w:vAlign w:val="center"/>
          </w:tcPr>
          <w:p w14:paraId="38DB2645">
            <w:pPr>
              <w:pageBreakBefore w:val="0"/>
              <w:kinsoku/>
              <w:overflowPunct/>
              <w:topLinePunct w:val="0"/>
              <w:bidi w:val="0"/>
              <w:spacing w:line="360" w:lineRule="auto"/>
              <w:ind w:right="248"/>
              <w:jc w:val="center"/>
              <w:rPr>
                <w:rFonts w:ascii="宋体" w:hAnsi="宋体" w:cs="宋体"/>
                <w:color w:val="auto"/>
                <w:szCs w:val="21"/>
                <w:highlight w:val="none"/>
              </w:rPr>
            </w:pPr>
          </w:p>
        </w:tc>
        <w:tc>
          <w:tcPr>
            <w:tcW w:w="1139" w:type="dxa"/>
            <w:noWrap w:val="0"/>
            <w:vAlign w:val="center"/>
          </w:tcPr>
          <w:p w14:paraId="2E4D5206">
            <w:pPr>
              <w:pageBreakBefore w:val="0"/>
              <w:kinsoku/>
              <w:overflowPunct/>
              <w:topLinePunct w:val="0"/>
              <w:bidi w:val="0"/>
              <w:spacing w:line="360" w:lineRule="auto"/>
              <w:ind w:right="248"/>
              <w:jc w:val="center"/>
              <w:rPr>
                <w:rFonts w:ascii="宋体" w:hAnsi="宋体" w:cs="宋体"/>
                <w:color w:val="auto"/>
                <w:szCs w:val="21"/>
                <w:highlight w:val="none"/>
              </w:rPr>
            </w:pPr>
          </w:p>
        </w:tc>
        <w:tc>
          <w:tcPr>
            <w:tcW w:w="1710" w:type="dxa"/>
            <w:noWrap w:val="0"/>
            <w:vAlign w:val="center"/>
          </w:tcPr>
          <w:p w14:paraId="4BDADCA6">
            <w:pPr>
              <w:pageBreakBefore w:val="0"/>
              <w:kinsoku/>
              <w:overflowPunct/>
              <w:topLinePunct w:val="0"/>
              <w:bidi w:val="0"/>
              <w:spacing w:line="360" w:lineRule="auto"/>
              <w:ind w:right="248"/>
              <w:jc w:val="center"/>
              <w:rPr>
                <w:rFonts w:ascii="宋体" w:hAnsi="宋体" w:cs="宋体"/>
                <w:color w:val="auto"/>
                <w:szCs w:val="21"/>
                <w:highlight w:val="none"/>
              </w:rPr>
            </w:pPr>
          </w:p>
        </w:tc>
        <w:tc>
          <w:tcPr>
            <w:tcW w:w="853" w:type="dxa"/>
            <w:noWrap w:val="0"/>
            <w:vAlign w:val="center"/>
          </w:tcPr>
          <w:p w14:paraId="20674DEF">
            <w:pPr>
              <w:pageBreakBefore w:val="0"/>
              <w:kinsoku/>
              <w:overflowPunct/>
              <w:topLinePunct w:val="0"/>
              <w:bidi w:val="0"/>
              <w:spacing w:line="360" w:lineRule="auto"/>
              <w:ind w:right="248"/>
              <w:jc w:val="center"/>
              <w:rPr>
                <w:rFonts w:ascii="宋体" w:hAnsi="宋体" w:cs="宋体"/>
                <w:color w:val="auto"/>
                <w:szCs w:val="21"/>
                <w:highlight w:val="none"/>
              </w:rPr>
            </w:pPr>
          </w:p>
        </w:tc>
      </w:tr>
      <w:tr w14:paraId="00E486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06" w:type="dxa"/>
            <w:noWrap w:val="0"/>
            <w:vAlign w:val="center"/>
          </w:tcPr>
          <w:p w14:paraId="353E19F6">
            <w:pPr>
              <w:pageBreakBefore w:val="0"/>
              <w:kinsoku/>
              <w:overflowPunct/>
              <w:topLinePunct w:val="0"/>
              <w:bidi w:val="0"/>
              <w:spacing w:line="360" w:lineRule="auto"/>
              <w:ind w:right="248"/>
              <w:jc w:val="center"/>
              <w:rPr>
                <w:rFonts w:ascii="宋体" w:hAnsi="宋体" w:cs="宋体"/>
                <w:color w:val="auto"/>
                <w:szCs w:val="21"/>
                <w:highlight w:val="none"/>
              </w:rPr>
            </w:pPr>
          </w:p>
        </w:tc>
        <w:tc>
          <w:tcPr>
            <w:tcW w:w="1852" w:type="dxa"/>
            <w:noWrap w:val="0"/>
            <w:vAlign w:val="center"/>
          </w:tcPr>
          <w:p w14:paraId="01DF64BC">
            <w:pPr>
              <w:pageBreakBefore w:val="0"/>
              <w:kinsoku/>
              <w:overflowPunct/>
              <w:topLinePunct w:val="0"/>
              <w:bidi w:val="0"/>
              <w:spacing w:line="360" w:lineRule="auto"/>
              <w:ind w:right="248"/>
              <w:jc w:val="center"/>
              <w:rPr>
                <w:rFonts w:ascii="宋体" w:hAnsi="宋体" w:cs="宋体"/>
                <w:color w:val="auto"/>
                <w:szCs w:val="21"/>
                <w:highlight w:val="none"/>
              </w:rPr>
            </w:pPr>
          </w:p>
        </w:tc>
        <w:tc>
          <w:tcPr>
            <w:tcW w:w="1568" w:type="dxa"/>
            <w:noWrap w:val="0"/>
            <w:vAlign w:val="center"/>
          </w:tcPr>
          <w:p w14:paraId="24B3B031">
            <w:pPr>
              <w:pageBreakBefore w:val="0"/>
              <w:kinsoku/>
              <w:overflowPunct/>
              <w:topLinePunct w:val="0"/>
              <w:bidi w:val="0"/>
              <w:spacing w:line="360" w:lineRule="auto"/>
              <w:ind w:right="248"/>
              <w:jc w:val="center"/>
              <w:rPr>
                <w:rFonts w:ascii="宋体" w:hAnsi="宋体" w:cs="宋体"/>
                <w:color w:val="auto"/>
                <w:szCs w:val="21"/>
                <w:highlight w:val="none"/>
              </w:rPr>
            </w:pPr>
          </w:p>
        </w:tc>
        <w:tc>
          <w:tcPr>
            <w:tcW w:w="997" w:type="dxa"/>
            <w:noWrap w:val="0"/>
            <w:vAlign w:val="center"/>
          </w:tcPr>
          <w:p w14:paraId="7B0C7F54">
            <w:pPr>
              <w:pageBreakBefore w:val="0"/>
              <w:kinsoku/>
              <w:overflowPunct/>
              <w:topLinePunct w:val="0"/>
              <w:bidi w:val="0"/>
              <w:spacing w:line="360" w:lineRule="auto"/>
              <w:ind w:right="248"/>
              <w:jc w:val="center"/>
              <w:rPr>
                <w:rFonts w:ascii="宋体" w:hAnsi="宋体" w:cs="宋体"/>
                <w:color w:val="auto"/>
                <w:szCs w:val="21"/>
                <w:highlight w:val="none"/>
              </w:rPr>
            </w:pPr>
          </w:p>
        </w:tc>
        <w:tc>
          <w:tcPr>
            <w:tcW w:w="1139" w:type="dxa"/>
            <w:noWrap w:val="0"/>
            <w:vAlign w:val="center"/>
          </w:tcPr>
          <w:p w14:paraId="61EB6D41">
            <w:pPr>
              <w:pageBreakBefore w:val="0"/>
              <w:kinsoku/>
              <w:overflowPunct/>
              <w:topLinePunct w:val="0"/>
              <w:bidi w:val="0"/>
              <w:spacing w:line="360" w:lineRule="auto"/>
              <w:ind w:right="248"/>
              <w:jc w:val="center"/>
              <w:rPr>
                <w:rFonts w:ascii="宋体" w:hAnsi="宋体" w:cs="宋体"/>
                <w:color w:val="auto"/>
                <w:szCs w:val="21"/>
                <w:highlight w:val="none"/>
              </w:rPr>
            </w:pPr>
          </w:p>
        </w:tc>
        <w:tc>
          <w:tcPr>
            <w:tcW w:w="1710" w:type="dxa"/>
            <w:noWrap w:val="0"/>
            <w:vAlign w:val="center"/>
          </w:tcPr>
          <w:p w14:paraId="1195C49D">
            <w:pPr>
              <w:pageBreakBefore w:val="0"/>
              <w:kinsoku/>
              <w:overflowPunct/>
              <w:topLinePunct w:val="0"/>
              <w:bidi w:val="0"/>
              <w:spacing w:line="360" w:lineRule="auto"/>
              <w:ind w:right="248"/>
              <w:jc w:val="center"/>
              <w:rPr>
                <w:rFonts w:ascii="宋体" w:hAnsi="宋体" w:cs="宋体"/>
                <w:color w:val="auto"/>
                <w:szCs w:val="21"/>
                <w:highlight w:val="none"/>
              </w:rPr>
            </w:pPr>
          </w:p>
        </w:tc>
        <w:tc>
          <w:tcPr>
            <w:tcW w:w="853" w:type="dxa"/>
            <w:noWrap w:val="0"/>
            <w:vAlign w:val="center"/>
          </w:tcPr>
          <w:p w14:paraId="13952EF0">
            <w:pPr>
              <w:pageBreakBefore w:val="0"/>
              <w:kinsoku/>
              <w:overflowPunct/>
              <w:topLinePunct w:val="0"/>
              <w:bidi w:val="0"/>
              <w:spacing w:line="360" w:lineRule="auto"/>
              <w:ind w:right="248"/>
              <w:jc w:val="center"/>
              <w:rPr>
                <w:rFonts w:ascii="宋体" w:hAnsi="宋体" w:cs="宋体"/>
                <w:color w:val="auto"/>
                <w:szCs w:val="21"/>
                <w:highlight w:val="none"/>
              </w:rPr>
            </w:pPr>
          </w:p>
        </w:tc>
      </w:tr>
    </w:tbl>
    <w:p w14:paraId="561510DD">
      <w:pPr>
        <w:pStyle w:val="5"/>
        <w:pageBreakBefore w:val="0"/>
        <w:kinsoku/>
        <w:overflowPunct/>
        <w:topLinePunct w:val="0"/>
        <w:bidi w:val="0"/>
        <w:spacing w:line="360" w:lineRule="auto"/>
        <w:rPr>
          <w:rFonts w:ascii="宋体" w:hAnsi="宋体" w:cs="宋体"/>
          <w:color w:val="auto"/>
          <w:sz w:val="21"/>
          <w:szCs w:val="21"/>
          <w:highlight w:val="none"/>
        </w:rPr>
      </w:pPr>
      <w:bookmarkStart w:id="124" w:name="_Toc221951177"/>
      <w:r>
        <w:rPr>
          <w:rFonts w:hint="eastAsia" w:ascii="宋体" w:hAnsi="宋体" w:cs="宋体"/>
          <w:color w:val="auto"/>
          <w:sz w:val="21"/>
          <w:szCs w:val="21"/>
          <w:highlight w:val="none"/>
        </w:rPr>
        <w:t>注：设备状况栏内填写该设备的新旧程度、购进时间、已使用小时数和最近一次的大修时间。</w:t>
      </w:r>
      <w:bookmarkEnd w:id="124"/>
    </w:p>
    <w:p w14:paraId="77CB7E3E">
      <w:pPr>
        <w:pageBreakBefore w:val="0"/>
        <w:kinsoku/>
        <w:overflowPunct/>
        <w:topLinePunct w:val="0"/>
        <w:bidi w:val="0"/>
        <w:spacing w:line="360" w:lineRule="auto"/>
        <w:ind w:right="248" w:firstLine="424" w:firstLineChars="202"/>
        <w:rPr>
          <w:rFonts w:ascii="宋体" w:hAnsi="宋体" w:cs="宋体"/>
          <w:b/>
          <w:color w:val="auto"/>
          <w:szCs w:val="21"/>
          <w:highlight w:val="none"/>
        </w:rPr>
      </w:pPr>
      <w:r>
        <w:rPr>
          <w:rFonts w:hint="eastAsia" w:ascii="宋体" w:hAnsi="宋体" w:cs="宋体"/>
          <w:color w:val="auto"/>
          <w:szCs w:val="21"/>
          <w:highlight w:val="none"/>
        </w:rPr>
        <w:t>（2）发包人提供的临时设施：</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5655B241">
      <w:pPr>
        <w:pStyle w:val="2"/>
        <w:pageBreakBefore w:val="0"/>
        <w:kinsoku/>
        <w:overflowPunct/>
        <w:topLinePunct w:val="0"/>
        <w:bidi w:val="0"/>
        <w:spacing w:line="360" w:lineRule="auto"/>
        <w:rPr>
          <w:rFonts w:ascii="宋体" w:hAnsi="宋体" w:cs="宋体"/>
          <w:color w:val="auto"/>
          <w:sz w:val="21"/>
          <w:szCs w:val="21"/>
          <w:highlight w:val="none"/>
        </w:rPr>
      </w:pPr>
      <w:bookmarkStart w:id="125" w:name="_Toc136350390"/>
      <w:bookmarkStart w:id="126" w:name="_Toc59810410"/>
      <w:bookmarkStart w:id="127" w:name="_Toc222031035"/>
      <w:bookmarkStart w:id="128" w:name="_Toc21098"/>
      <w:bookmarkStart w:id="129" w:name="_Toc221951178"/>
      <w:bookmarkStart w:id="130" w:name="_Toc33183727"/>
      <w:bookmarkStart w:id="131" w:name="_Toc222033884"/>
      <w:bookmarkStart w:id="132" w:name="_Toc222032702"/>
      <w:bookmarkStart w:id="133" w:name="_Toc222029533"/>
      <w:r>
        <w:rPr>
          <w:rFonts w:hint="eastAsia" w:ascii="宋体" w:hAnsi="宋体" w:cs="宋体"/>
          <w:color w:val="auto"/>
          <w:sz w:val="21"/>
          <w:szCs w:val="21"/>
          <w:highlight w:val="none"/>
        </w:rPr>
        <w:t>7.交通运输</w:t>
      </w:r>
      <w:bookmarkEnd w:id="125"/>
      <w:bookmarkEnd w:id="126"/>
      <w:bookmarkEnd w:id="127"/>
      <w:bookmarkEnd w:id="128"/>
      <w:bookmarkEnd w:id="129"/>
      <w:bookmarkEnd w:id="130"/>
      <w:bookmarkEnd w:id="131"/>
      <w:bookmarkEnd w:id="132"/>
      <w:bookmarkEnd w:id="133"/>
    </w:p>
    <w:p w14:paraId="69D6E739">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bookmarkStart w:id="134" w:name="_Toc33183728"/>
      <w:bookmarkStart w:id="135" w:name="_Toc221951179"/>
      <w:r>
        <w:rPr>
          <w:rFonts w:hint="eastAsia" w:ascii="宋体" w:hAnsi="宋体" w:cs="宋体"/>
          <w:color w:val="auto"/>
          <w:szCs w:val="21"/>
          <w:highlight w:val="none"/>
        </w:rPr>
        <w:t>7.1  道路通行权和场外设施</w:t>
      </w:r>
      <w:bookmarkEnd w:id="134"/>
      <w:bookmarkEnd w:id="135"/>
    </w:p>
    <w:p w14:paraId="47B9B3E9">
      <w:pPr>
        <w:pageBreakBefore w:val="0"/>
        <w:kinsoku/>
        <w:overflowPunct/>
        <w:topLinePunct w:val="0"/>
        <w:bidi w:val="0"/>
        <w:snapToGrid w:val="0"/>
        <w:spacing w:line="360" w:lineRule="auto"/>
        <w:ind w:firstLine="420" w:firstLineChars="200"/>
        <w:rPr>
          <w:rFonts w:ascii="宋体" w:hAnsi="宋体" w:cs="宋体"/>
          <w:color w:val="auto"/>
          <w:szCs w:val="21"/>
          <w:highlight w:val="none"/>
        </w:rPr>
      </w:pPr>
      <w:bookmarkStart w:id="136" w:name="_Toc33183729"/>
      <w:r>
        <w:rPr>
          <w:rFonts w:hint="eastAsia" w:ascii="宋体" w:hAnsi="宋体" w:cs="宋体"/>
          <w:color w:val="auto"/>
          <w:szCs w:val="21"/>
          <w:highlight w:val="none"/>
        </w:rPr>
        <w:t>道路通行权及场外设施的约定：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bookmarkEnd w:id="136"/>
    </w:p>
    <w:p w14:paraId="3C82F47F">
      <w:pPr>
        <w:keepNext/>
        <w:keepLines/>
        <w:pageBreakBefore w:val="0"/>
        <w:kinsoku/>
        <w:overflowPunct/>
        <w:topLinePunct w:val="0"/>
        <w:bidi w:val="0"/>
        <w:snapToGrid w:val="0"/>
        <w:spacing w:line="360" w:lineRule="auto"/>
        <w:ind w:firstLine="420" w:firstLineChars="200"/>
        <w:outlineLvl w:val="3"/>
        <w:rPr>
          <w:rFonts w:ascii="宋体" w:hAnsi="宋体" w:cs="宋体"/>
          <w:color w:val="auto"/>
          <w:kern w:val="0"/>
          <w:szCs w:val="21"/>
          <w:highlight w:val="none"/>
        </w:rPr>
      </w:pPr>
      <w:r>
        <w:rPr>
          <w:rFonts w:hint="eastAsia" w:ascii="宋体" w:hAnsi="宋体" w:cs="宋体"/>
          <w:color w:val="auto"/>
          <w:szCs w:val="21"/>
          <w:highlight w:val="none"/>
        </w:rPr>
        <w:t xml:space="preserve">7.2  </w:t>
      </w:r>
      <w:r>
        <w:rPr>
          <w:rFonts w:hint="eastAsia" w:ascii="宋体" w:hAnsi="宋体" w:cs="宋体"/>
          <w:color w:val="auto"/>
          <w:kern w:val="0"/>
          <w:szCs w:val="21"/>
          <w:highlight w:val="none"/>
        </w:rPr>
        <w:t>场内施工道路</w:t>
      </w:r>
    </w:p>
    <w:p w14:paraId="3E95FFA5">
      <w:pPr>
        <w:pageBreakBefore w:val="0"/>
        <w:kinsoku/>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由发包人提供的部分道路和交通设施维修、养护和管理的约定：</w:t>
      </w:r>
      <w:r>
        <w:rPr>
          <w:rFonts w:hint="eastAsia" w:ascii="宋体" w:hAnsi="宋体" w:cs="宋体"/>
          <w:color w:val="auto"/>
          <w:szCs w:val="21"/>
          <w:highlight w:val="none"/>
          <w:u w:val="single"/>
        </w:rPr>
        <w:t xml:space="preserve">   由承包人负责办理并承担费用   </w:t>
      </w:r>
      <w:r>
        <w:rPr>
          <w:rFonts w:hint="eastAsia" w:ascii="宋体" w:hAnsi="宋体" w:cs="宋体"/>
          <w:color w:val="auto"/>
          <w:szCs w:val="21"/>
          <w:highlight w:val="none"/>
        </w:rPr>
        <w:t>。</w:t>
      </w:r>
    </w:p>
    <w:p w14:paraId="6C1C83D0">
      <w:pPr>
        <w:pageBreakBefore w:val="0"/>
        <w:kinsoku/>
        <w:overflowPunct/>
        <w:topLinePunct w:val="0"/>
        <w:bidi w:val="0"/>
        <w:spacing w:line="360" w:lineRule="auto"/>
        <w:ind w:firstLine="420" w:firstLineChars="200"/>
        <w:jc w:val="left"/>
        <w:rPr>
          <w:rFonts w:ascii="宋体" w:hAnsi="宋体"/>
          <w:color w:val="auto"/>
          <w:szCs w:val="21"/>
          <w:highlight w:val="none"/>
          <w:u w:val="single"/>
        </w:rPr>
      </w:pPr>
      <w:r>
        <w:rPr>
          <w:rFonts w:hint="eastAsia" w:ascii="宋体" w:hAnsi="宋体"/>
          <w:color w:val="auto"/>
          <w:kern w:val="0"/>
          <w:szCs w:val="21"/>
          <w:highlight w:val="none"/>
        </w:rPr>
        <w:t>关于场外交通和场内交通的边界的约定：</w:t>
      </w:r>
      <w:r>
        <w:rPr>
          <w:rFonts w:hint="eastAsia" w:ascii="宋体" w:hAnsi="宋体"/>
          <w:color w:val="auto"/>
          <w:szCs w:val="21"/>
          <w:highlight w:val="none"/>
          <w:u w:val="single"/>
        </w:rPr>
        <w:t>以合同工程用地红线为界，用地红线外为场外交通，用地红线范围内为场内交通（场外道路穿越场内的除外）</w:t>
      </w:r>
      <w:r>
        <w:rPr>
          <w:rFonts w:hint="eastAsia" w:ascii="宋体" w:hAnsi="宋体"/>
          <w:color w:val="auto"/>
          <w:szCs w:val="21"/>
          <w:highlight w:val="none"/>
        </w:rPr>
        <w:t>。</w:t>
      </w:r>
    </w:p>
    <w:p w14:paraId="2A4C3E49">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olor w:val="auto"/>
          <w:kern w:val="0"/>
          <w:szCs w:val="21"/>
          <w:highlight w:val="none"/>
        </w:rPr>
        <w:t>关于发包人向承包人免费提供满足工程施工需要的场内道路和交通设施的约定：</w:t>
      </w:r>
      <w:r>
        <w:rPr>
          <w:rFonts w:hint="eastAsia" w:ascii="宋体" w:hAnsi="宋体"/>
          <w:color w:val="auto"/>
          <w:kern w:val="0"/>
          <w:szCs w:val="21"/>
          <w:highlight w:val="none"/>
          <w:u w:val="single"/>
        </w:rPr>
        <w:t>以施工场地移交时的现状为准</w:t>
      </w:r>
      <w:r>
        <w:rPr>
          <w:rFonts w:hint="eastAsia" w:ascii="宋体" w:hAnsi="宋体"/>
          <w:color w:val="auto"/>
          <w:szCs w:val="21"/>
          <w:highlight w:val="none"/>
        </w:rPr>
        <w:t>。</w:t>
      </w:r>
    </w:p>
    <w:p w14:paraId="52F84D5D">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bookmarkStart w:id="137" w:name="_Toc33183731"/>
      <w:r>
        <w:rPr>
          <w:rFonts w:hint="eastAsia" w:ascii="宋体" w:hAnsi="宋体" w:cs="宋体"/>
          <w:color w:val="auto"/>
          <w:szCs w:val="21"/>
          <w:highlight w:val="none"/>
        </w:rPr>
        <w:t>7.3  场外交通</w:t>
      </w:r>
      <w:bookmarkEnd w:id="137"/>
    </w:p>
    <w:p w14:paraId="3401FE55">
      <w:pPr>
        <w:pageBreakBefore w:val="0"/>
        <w:kinsoku/>
        <w:overflowPunct/>
        <w:topLinePunct w:val="0"/>
        <w:bidi w:val="0"/>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u w:val="single"/>
        </w:rPr>
        <w:t>承包人应遵守有关交通法规，执行有关道路限速、限行、禁止超载的规定，并配合交通管理部门的监督和检查。场外交通以施工场地移交时的现状为准。</w:t>
      </w:r>
    </w:p>
    <w:p w14:paraId="6B13125F">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bookmarkStart w:id="138" w:name="_Toc33183732"/>
      <w:r>
        <w:rPr>
          <w:rFonts w:hint="eastAsia" w:ascii="宋体" w:hAnsi="宋体" w:cs="宋体"/>
          <w:color w:val="auto"/>
          <w:szCs w:val="21"/>
          <w:highlight w:val="none"/>
        </w:rPr>
        <w:t>7.4  超大件和超重件的运输</w:t>
      </w:r>
      <w:bookmarkEnd w:id="138"/>
    </w:p>
    <w:p w14:paraId="06089C06">
      <w:pPr>
        <w:pageBreakBefore w:val="0"/>
        <w:kinsoku/>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运输超大件或超重件所需的道路和桥梁临时加固改造费用和其他有关费用由</w:t>
      </w:r>
      <w:r>
        <w:rPr>
          <w:rFonts w:hint="eastAsia" w:ascii="宋体" w:hAnsi="宋体" w:cs="宋体"/>
          <w:color w:val="auto"/>
          <w:kern w:val="0"/>
          <w:szCs w:val="21"/>
          <w:highlight w:val="none"/>
          <w:u w:val="single"/>
        </w:rPr>
        <w:t xml:space="preserve"> 承包人  </w:t>
      </w:r>
      <w:r>
        <w:rPr>
          <w:rFonts w:hint="eastAsia" w:ascii="宋体" w:hAnsi="宋体" w:cs="宋体"/>
          <w:color w:val="auto"/>
          <w:kern w:val="0"/>
          <w:szCs w:val="21"/>
          <w:highlight w:val="none"/>
        </w:rPr>
        <w:t>承担。</w:t>
      </w:r>
    </w:p>
    <w:p w14:paraId="0F5518D1">
      <w:pPr>
        <w:pStyle w:val="2"/>
        <w:pageBreakBefore w:val="0"/>
        <w:kinsoku/>
        <w:overflowPunct/>
        <w:topLinePunct w:val="0"/>
        <w:bidi w:val="0"/>
        <w:spacing w:line="360" w:lineRule="auto"/>
        <w:rPr>
          <w:rFonts w:ascii="宋体" w:hAnsi="宋体" w:cs="宋体"/>
          <w:color w:val="auto"/>
          <w:sz w:val="21"/>
          <w:szCs w:val="21"/>
          <w:highlight w:val="none"/>
        </w:rPr>
      </w:pPr>
      <w:bookmarkStart w:id="139" w:name="_Toc136350391"/>
      <w:bookmarkStart w:id="140" w:name="_Toc33183733"/>
      <w:bookmarkStart w:id="141" w:name="_Toc59810411"/>
      <w:bookmarkStart w:id="142" w:name="_Toc18512"/>
      <w:r>
        <w:rPr>
          <w:rFonts w:hint="eastAsia" w:ascii="宋体" w:hAnsi="宋体" w:cs="宋体"/>
          <w:color w:val="auto"/>
          <w:sz w:val="21"/>
          <w:szCs w:val="21"/>
          <w:highlight w:val="none"/>
        </w:rPr>
        <w:t>8.测量放线</w:t>
      </w:r>
      <w:bookmarkEnd w:id="139"/>
      <w:bookmarkEnd w:id="140"/>
      <w:bookmarkEnd w:id="141"/>
      <w:bookmarkEnd w:id="142"/>
      <w:r>
        <w:rPr>
          <w:rFonts w:hint="eastAsia" w:ascii="宋体" w:hAnsi="宋体" w:cs="宋体"/>
          <w:color w:val="auto"/>
          <w:sz w:val="21"/>
          <w:szCs w:val="21"/>
          <w:highlight w:val="none"/>
        </w:rPr>
        <w:t xml:space="preserve"> </w:t>
      </w:r>
    </w:p>
    <w:p w14:paraId="2332E831">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bookmarkStart w:id="143" w:name="_Toc33183734"/>
      <w:r>
        <w:rPr>
          <w:rFonts w:hint="eastAsia" w:ascii="宋体" w:hAnsi="宋体" w:cs="宋体"/>
          <w:color w:val="auto"/>
          <w:szCs w:val="21"/>
          <w:highlight w:val="none"/>
        </w:rPr>
        <w:t>8.1施工控制网</w:t>
      </w:r>
      <w:bookmarkEnd w:id="143"/>
    </w:p>
    <w:p w14:paraId="5DCEBD65">
      <w:pPr>
        <w:pageBreakBefore w:val="0"/>
        <w:kinsoku/>
        <w:overflowPunct/>
        <w:topLinePunct w:val="0"/>
        <w:bidi w:val="0"/>
        <w:spacing w:line="360" w:lineRule="auto"/>
        <w:ind w:right="248" w:firstLine="420" w:firstLineChars="200"/>
        <w:rPr>
          <w:rFonts w:ascii="宋体" w:hAnsi="宋体" w:cs="宋体"/>
          <w:color w:val="auto"/>
          <w:kern w:val="0"/>
          <w:szCs w:val="21"/>
          <w:highlight w:val="none"/>
        </w:rPr>
      </w:pPr>
      <w:r>
        <w:rPr>
          <w:rFonts w:hint="eastAsia" w:ascii="宋体" w:hAnsi="宋体" w:cs="宋体"/>
          <w:color w:val="auto"/>
          <w:szCs w:val="21"/>
          <w:highlight w:val="none"/>
        </w:rPr>
        <w:t>8.1.1施工控制网的约定：</w:t>
      </w:r>
      <w:r>
        <w:rPr>
          <w:rFonts w:hint="eastAsia" w:ascii="宋体" w:hAnsi="宋体" w:cs="宋体"/>
          <w:color w:val="auto"/>
          <w:kern w:val="0"/>
          <w:szCs w:val="21"/>
          <w:highlight w:val="none"/>
          <w:u w:val="single"/>
        </w:rPr>
        <w:t>发包人通过监理人向承包人提供测量基准点、基准线和水准点及其书面资料的期限：不晚于开工前 3天</w:t>
      </w:r>
      <w:r>
        <w:rPr>
          <w:rFonts w:hint="eastAsia" w:ascii="宋体" w:hAnsi="宋体" w:cs="宋体"/>
          <w:color w:val="auto"/>
          <w:kern w:val="0"/>
          <w:szCs w:val="21"/>
          <w:highlight w:val="none"/>
        </w:rPr>
        <w:t>。</w:t>
      </w:r>
    </w:p>
    <w:p w14:paraId="4881540F">
      <w:pPr>
        <w:pageBreakBefore w:val="0"/>
        <w:kinsoku/>
        <w:overflowPunct/>
        <w:topLinePunct w:val="0"/>
        <w:bidi w:val="0"/>
        <w:spacing w:line="360" w:lineRule="auto"/>
        <w:ind w:right="248" w:firstLine="480"/>
        <w:rPr>
          <w:rFonts w:ascii="宋体" w:hAnsi="宋体" w:cs="宋体"/>
          <w:color w:val="auto"/>
          <w:kern w:val="0"/>
          <w:szCs w:val="21"/>
          <w:highlight w:val="none"/>
        </w:rPr>
      </w:pPr>
      <w:r>
        <w:rPr>
          <w:rFonts w:hint="eastAsia" w:ascii="宋体" w:hAnsi="宋体" w:cs="宋体"/>
          <w:color w:val="auto"/>
          <w:kern w:val="0"/>
          <w:szCs w:val="21"/>
          <w:highlight w:val="none"/>
        </w:rPr>
        <w:t>承包人报监理人审批施工控制网资料的期限：</w:t>
      </w:r>
      <w:r>
        <w:rPr>
          <w:rFonts w:hint="eastAsia" w:ascii="宋体" w:hAnsi="宋体" w:cs="宋体"/>
          <w:color w:val="auto"/>
          <w:kern w:val="0"/>
          <w:szCs w:val="21"/>
          <w:highlight w:val="none"/>
          <w:u w:val="single"/>
        </w:rPr>
        <w:t>发出开工通知后3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cs="宋体"/>
          <w:color w:val="auto"/>
          <w:kern w:val="0"/>
          <w:szCs w:val="21"/>
          <w:highlight w:val="none"/>
        </w:rPr>
        <w:t>。</w:t>
      </w:r>
    </w:p>
    <w:p w14:paraId="61A70E4A">
      <w:pPr>
        <w:pStyle w:val="2"/>
        <w:pageBreakBefore w:val="0"/>
        <w:kinsoku/>
        <w:overflowPunct/>
        <w:topLinePunct w:val="0"/>
        <w:bidi w:val="0"/>
        <w:spacing w:line="360" w:lineRule="auto"/>
        <w:rPr>
          <w:rFonts w:ascii="宋体" w:hAnsi="宋体" w:cs="宋体"/>
          <w:color w:val="auto"/>
          <w:sz w:val="21"/>
          <w:szCs w:val="21"/>
          <w:highlight w:val="none"/>
        </w:rPr>
      </w:pPr>
      <w:bookmarkStart w:id="144" w:name="_Toc33183735"/>
      <w:bookmarkStart w:id="145" w:name="_Toc59810412"/>
      <w:bookmarkStart w:id="146" w:name="_Toc136350392"/>
      <w:bookmarkStart w:id="147" w:name="_Toc10124"/>
      <w:r>
        <w:rPr>
          <w:rFonts w:hint="eastAsia" w:ascii="宋体" w:hAnsi="宋体" w:cs="宋体"/>
          <w:color w:val="auto"/>
          <w:sz w:val="21"/>
          <w:szCs w:val="21"/>
          <w:highlight w:val="none"/>
        </w:rPr>
        <w:t>9.施工安全、治安保卫和环境保护</w:t>
      </w:r>
      <w:bookmarkEnd w:id="144"/>
      <w:bookmarkEnd w:id="145"/>
      <w:bookmarkEnd w:id="146"/>
      <w:bookmarkEnd w:id="147"/>
    </w:p>
    <w:p w14:paraId="529644B0">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bookmarkStart w:id="148" w:name="_Toc33183736"/>
      <w:r>
        <w:rPr>
          <w:rFonts w:hint="eastAsia" w:ascii="宋体" w:hAnsi="宋体" w:cs="宋体"/>
          <w:color w:val="auto"/>
          <w:szCs w:val="21"/>
          <w:highlight w:val="none"/>
        </w:rPr>
        <w:t>9.1  发包人的施工安全责任</w:t>
      </w:r>
      <w:bookmarkEnd w:id="148"/>
    </w:p>
    <w:p w14:paraId="2988FBBC">
      <w:pPr>
        <w:pageBreakBefore w:val="0"/>
        <w:kinsoku/>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9.1.4发包人负责提供的地下管线资料有：</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，其余可能影响相邻建筑物地下工程的有关资料由承包人负责收集，并保证有关资料的真实、准确、完整，满足有关技术规程的要求。</w:t>
      </w:r>
    </w:p>
    <w:p w14:paraId="01D21FA6">
      <w:pPr>
        <w:pStyle w:val="4"/>
        <w:pageBreakBefore w:val="0"/>
        <w:kinsoku/>
        <w:overflowPunct/>
        <w:topLinePunct w:val="0"/>
        <w:bidi w:val="0"/>
        <w:spacing w:line="360" w:lineRule="auto"/>
        <w:ind w:firstLine="420" w:firstLineChars="200"/>
        <w:rPr>
          <w:color w:val="auto"/>
          <w:highlight w:val="none"/>
        </w:rPr>
      </w:pPr>
      <w:r>
        <w:rPr>
          <w:rFonts w:hint="eastAsia" w:ascii="宋体" w:hAnsi="宋体" w:cs="宋体"/>
          <w:color w:val="auto"/>
          <w:szCs w:val="21"/>
          <w:highlight w:val="none"/>
        </w:rPr>
        <w:t>本款补充9.1.8项如下：</w:t>
      </w:r>
    </w:p>
    <w:p w14:paraId="2BECFF39">
      <w:pPr>
        <w:pageBreakBefore w:val="0"/>
        <w:kinsoku/>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u w:val="single"/>
        </w:rPr>
        <w:t>9.1.8发包人安全监督部门应当按照现行标准规范对施工现场安全生产措施落实情况进行监督检查，对安全生产状况进行综合评定，并将评定结果纳入安全档案</w:t>
      </w:r>
      <w:r>
        <w:rPr>
          <w:rFonts w:hint="eastAsia" w:ascii="宋体" w:hAnsi="宋体" w:cs="宋体"/>
          <w:color w:val="auto"/>
          <w:kern w:val="0"/>
          <w:szCs w:val="21"/>
          <w:highlight w:val="none"/>
          <w:u w:val="none"/>
        </w:rPr>
        <w:t>。</w:t>
      </w:r>
    </w:p>
    <w:p w14:paraId="2F3A5786">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bookmarkStart w:id="149" w:name="_Toc33183737"/>
      <w:r>
        <w:rPr>
          <w:rFonts w:hint="eastAsia" w:ascii="宋体" w:hAnsi="宋体" w:cs="宋体"/>
          <w:color w:val="auto"/>
          <w:szCs w:val="21"/>
          <w:highlight w:val="none"/>
        </w:rPr>
        <w:t>9.2  承包人的施工安全责任</w:t>
      </w:r>
      <w:bookmarkEnd w:id="149"/>
    </w:p>
    <w:p w14:paraId="31F08EEE">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szCs w:val="21"/>
          <w:highlight w:val="none"/>
        </w:rPr>
        <w:t>9.2.5</w:t>
      </w:r>
      <w:r>
        <w:rPr>
          <w:rFonts w:hint="eastAsia" w:ascii="宋体" w:hAnsi="宋体" w:cs="宋体"/>
          <w:color w:val="auto"/>
          <w:kern w:val="0"/>
          <w:szCs w:val="21"/>
          <w:highlight w:val="none"/>
        </w:rPr>
        <w:t>关于安全生产费支付比例和支付期限的约定：</w:t>
      </w:r>
      <w:r>
        <w:rPr>
          <w:rFonts w:hint="eastAsia" w:ascii="宋体" w:hAnsi="宋体" w:cs="宋体"/>
          <w:color w:val="auto"/>
          <w:kern w:val="0"/>
          <w:szCs w:val="21"/>
          <w:highlight w:val="none"/>
          <w:u w:val="single"/>
        </w:rPr>
        <w:t>施工合同签订后30天内按照《关于落实水利工程建设安全生产费用及使用管理问题的通知》（渝水基〔2009〕28号）文件规定支付安全生产费的30%（合同期在一年以上的）或50%（合同期在一年以下（含一年）的），其余部分与进度款同期支付。</w:t>
      </w:r>
    </w:p>
    <w:p w14:paraId="004F2808">
      <w:pPr>
        <w:pageBreakBefore w:val="0"/>
        <w:kinsoku/>
        <w:overflowPunct/>
        <w:topLinePunct w:val="0"/>
        <w:bidi w:val="0"/>
        <w:spacing w:line="360" w:lineRule="auto"/>
        <w:ind w:right="248" w:firstLine="480"/>
        <w:rPr>
          <w:rFonts w:ascii="宋体" w:hAnsi="宋体" w:cs="宋体"/>
          <w:color w:val="auto"/>
          <w:szCs w:val="21"/>
          <w:highlight w:val="none"/>
        </w:rPr>
      </w:pPr>
      <w:r>
        <w:rPr>
          <w:rFonts w:hint="eastAsia" w:ascii="宋体" w:hAnsi="宋体" w:cs="宋体"/>
          <w:color w:val="auto"/>
          <w:kern w:val="0"/>
          <w:szCs w:val="21"/>
          <w:highlight w:val="none"/>
        </w:rPr>
        <w:t>安全生产费的要求与内容、提取支付方法以及违反约定造成损失的赔偿等条款，按照现行规范要求执行，做到专款专用。</w:t>
      </w:r>
    </w:p>
    <w:p w14:paraId="50B3EC0A">
      <w:pPr>
        <w:pageBreakBefore w:val="0"/>
        <w:kinsoku/>
        <w:overflowPunct/>
        <w:topLinePunct w:val="0"/>
        <w:bidi w:val="0"/>
        <w:spacing w:line="360" w:lineRule="auto"/>
        <w:ind w:right="248" w:firstLine="480"/>
        <w:rPr>
          <w:rFonts w:ascii="宋体" w:hAnsi="宋体" w:cs="宋体"/>
          <w:color w:val="auto"/>
          <w:szCs w:val="21"/>
          <w:highlight w:val="none"/>
        </w:rPr>
      </w:pPr>
      <w:r>
        <w:rPr>
          <w:rFonts w:hint="eastAsia" w:ascii="宋体" w:hAnsi="宋体" w:cs="宋体"/>
          <w:color w:val="auto"/>
          <w:szCs w:val="21"/>
          <w:highlight w:val="none"/>
        </w:rPr>
        <w:t>9.2.12下列工程应编制专项施工方案：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。其中</w:t>
      </w:r>
      <w:r>
        <w:rPr>
          <w:rFonts w:hint="eastAsia" w:ascii="宋体" w:hAnsi="宋体" w:cs="宋体"/>
          <w:color w:val="auto"/>
          <w:szCs w:val="21"/>
          <w:highlight w:val="none"/>
          <w:u w:val="single"/>
        </w:rPr>
        <w:t xml:space="preserve">  按渝水基〔2010〕15号文定义属于危险性较大的单项工程，应编制专项施工方案，并按文件要求组织专家论证和审查，其中专家1/2人员应经发包人同意</w:t>
      </w:r>
      <w:r>
        <w:rPr>
          <w:rFonts w:hint="eastAsia" w:ascii="宋体" w:hAnsi="宋体" w:cs="宋体"/>
          <w:color w:val="auto"/>
          <w:szCs w:val="21"/>
          <w:highlight w:val="none"/>
        </w:rPr>
        <w:t>。</w:t>
      </w:r>
    </w:p>
    <w:p w14:paraId="4D41D3AA">
      <w:pPr>
        <w:pStyle w:val="4"/>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本款补充9.2.14项如下：</w:t>
      </w:r>
    </w:p>
    <w:p w14:paraId="173CE073">
      <w:pPr>
        <w:pStyle w:val="4"/>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9.2.14承包人施工安全责任承担</w:t>
      </w:r>
    </w:p>
    <w:p w14:paraId="7B815F2A">
      <w:pPr>
        <w:pageBreakBefore w:val="0"/>
        <w:kinsoku/>
        <w:overflowPunct/>
        <w:topLinePunct w:val="0"/>
        <w:bidi w:val="0"/>
        <w:spacing w:line="360" w:lineRule="auto"/>
        <w:ind w:right="248" w:firstLine="480"/>
        <w:jc w:val="left"/>
        <w:rPr>
          <w:rFonts w:ascii="宋体" w:hAnsi="宋体" w:cs="宋体"/>
          <w:color w:val="auto"/>
          <w:szCs w:val="21"/>
          <w:highlight w:val="none"/>
          <w:u w:val="single"/>
        </w:rPr>
      </w:pPr>
      <w:r>
        <w:rPr>
          <w:rFonts w:hint="eastAsia" w:ascii="宋体" w:hAnsi="宋体" w:cs="宋体"/>
          <w:color w:val="auto"/>
          <w:szCs w:val="21"/>
          <w:highlight w:val="none"/>
          <w:u w:val="single"/>
        </w:rPr>
        <w:t>（1）承包人的原因造成事故，由此产生的法律责任和事故责任及费用由承包人全部承担。</w:t>
      </w:r>
    </w:p>
    <w:p w14:paraId="5F0396C0">
      <w:pPr>
        <w:pageBreakBefore w:val="0"/>
        <w:kinsoku/>
        <w:overflowPunct/>
        <w:topLinePunct w:val="0"/>
        <w:bidi w:val="0"/>
        <w:spacing w:line="360" w:lineRule="auto"/>
        <w:ind w:right="248" w:firstLine="480"/>
        <w:jc w:val="left"/>
        <w:rPr>
          <w:rFonts w:ascii="宋体" w:hAnsi="宋体" w:cs="宋体"/>
          <w:color w:val="auto"/>
          <w:szCs w:val="21"/>
          <w:highlight w:val="none"/>
          <w:u w:val="single"/>
        </w:rPr>
      </w:pPr>
      <w:r>
        <w:rPr>
          <w:rFonts w:hint="eastAsia" w:ascii="宋体" w:hAnsi="宋体" w:cs="宋体"/>
          <w:color w:val="auto"/>
          <w:szCs w:val="21"/>
          <w:highlight w:val="none"/>
          <w:u w:val="single"/>
        </w:rPr>
        <w:t>（2）承包人在施工过程中，必须严格执行安全生产法的相关规定，制定切实可靠的安全技术措施</w:t>
      </w:r>
      <w:r>
        <w:rPr>
          <w:rFonts w:hint="eastAsia" w:ascii="宋体" w:hAnsi="宋体" w:cs="宋体"/>
          <w:color w:val="auto"/>
          <w:szCs w:val="21"/>
          <w:highlight w:val="none"/>
          <w:u w:val="none"/>
        </w:rPr>
        <w:t>。</w:t>
      </w:r>
    </w:p>
    <w:p w14:paraId="0722E503">
      <w:pPr>
        <w:pageBreakBefore w:val="0"/>
        <w:kinsoku/>
        <w:overflowPunct/>
        <w:topLinePunct w:val="0"/>
        <w:bidi w:val="0"/>
        <w:spacing w:line="360" w:lineRule="auto"/>
        <w:ind w:right="248" w:firstLine="480"/>
        <w:jc w:val="left"/>
        <w:rPr>
          <w:rFonts w:ascii="宋体" w:hAnsi="宋体" w:cs="宋体"/>
          <w:color w:val="auto"/>
          <w:szCs w:val="21"/>
          <w:highlight w:val="none"/>
          <w:u w:val="single"/>
        </w:rPr>
      </w:pPr>
      <w:r>
        <w:rPr>
          <w:rFonts w:hint="eastAsia" w:ascii="宋体" w:hAnsi="宋体" w:cs="宋体"/>
          <w:color w:val="auto"/>
          <w:szCs w:val="21"/>
          <w:highlight w:val="none"/>
          <w:u w:val="single"/>
        </w:rPr>
        <w:t>（3）接受发包人安全监督和管理，在施工中违反安全管理规定和操作规程、违章作业的，承担违约责任</w:t>
      </w:r>
      <w:r>
        <w:rPr>
          <w:rFonts w:hint="eastAsia" w:ascii="宋体" w:hAnsi="宋体" w:cs="宋体"/>
          <w:color w:val="auto"/>
          <w:szCs w:val="21"/>
          <w:highlight w:val="none"/>
          <w:u w:val="none"/>
        </w:rPr>
        <w:t>。</w:t>
      </w:r>
    </w:p>
    <w:p w14:paraId="6F8C9C41">
      <w:pPr>
        <w:pageBreakBefore w:val="0"/>
        <w:kinsoku/>
        <w:overflowPunct/>
        <w:topLinePunct w:val="0"/>
        <w:bidi w:val="0"/>
        <w:spacing w:line="360" w:lineRule="auto"/>
        <w:ind w:right="248" w:firstLine="480"/>
        <w:jc w:val="left"/>
        <w:rPr>
          <w:rFonts w:ascii="宋体" w:hAnsi="宋体" w:cs="宋体"/>
          <w:color w:val="auto"/>
          <w:szCs w:val="21"/>
          <w:highlight w:val="none"/>
          <w:u w:val="none"/>
        </w:rPr>
      </w:pPr>
      <w:r>
        <w:rPr>
          <w:rFonts w:hint="eastAsia" w:ascii="宋体" w:hAnsi="宋体" w:cs="宋体"/>
          <w:color w:val="auto"/>
          <w:szCs w:val="21"/>
          <w:highlight w:val="none"/>
          <w:u w:val="single"/>
        </w:rPr>
        <w:t>（4）承包人应当按照重庆市水利局、市财政局、市发改委和市安监局《关于落实水利工程建设安全生产费用及使用管理问题的通知》（渝水基〔2009〕28号）的规定，在财务管理中单独列出安全生产费，按规定范围安排使用，不得挤占、挪用，并建立健全安全生产费用使用台帐。承包人专职管理人员负责对本工程安全生产措施的组织实施进行现场监督检查，并有权向水行政主管部门反映情况</w:t>
      </w:r>
      <w:r>
        <w:rPr>
          <w:rFonts w:hint="eastAsia" w:ascii="宋体" w:hAnsi="宋体" w:cs="宋体"/>
          <w:color w:val="auto"/>
          <w:szCs w:val="21"/>
          <w:highlight w:val="none"/>
          <w:u w:val="none"/>
        </w:rPr>
        <w:t>。</w:t>
      </w:r>
    </w:p>
    <w:p w14:paraId="058B1F51">
      <w:pPr>
        <w:pageBreakBefore w:val="0"/>
        <w:kinsoku/>
        <w:overflowPunct/>
        <w:topLinePunct w:val="0"/>
        <w:bidi w:val="0"/>
        <w:spacing w:line="360" w:lineRule="auto"/>
        <w:ind w:right="248" w:firstLine="480"/>
        <w:jc w:val="left"/>
        <w:rPr>
          <w:rFonts w:ascii="宋体" w:hAnsi="宋体" w:cs="宋体"/>
          <w:color w:val="auto"/>
          <w:szCs w:val="21"/>
          <w:highlight w:val="none"/>
          <w:u w:val="single"/>
        </w:rPr>
      </w:pPr>
      <w:r>
        <w:rPr>
          <w:rFonts w:hint="eastAsia" w:ascii="宋体" w:hAnsi="宋体" w:cs="宋体"/>
          <w:color w:val="auto"/>
          <w:szCs w:val="21"/>
          <w:highlight w:val="none"/>
          <w:u w:val="single"/>
        </w:rPr>
        <w:t>（5）承包人对工程安全生产费用的使用负总责。承包人挪用安全生产费用的，发包人有权责令限期整改，逾期未改正的，可以责令其暂停施工；造成损失的，依法承担赔偿责任</w:t>
      </w:r>
      <w:r>
        <w:rPr>
          <w:rFonts w:hint="eastAsia" w:ascii="宋体" w:hAnsi="宋体" w:cs="宋体"/>
          <w:color w:val="auto"/>
          <w:szCs w:val="21"/>
          <w:highlight w:val="none"/>
          <w:u w:val="none"/>
        </w:rPr>
        <w:t>。</w:t>
      </w:r>
    </w:p>
    <w:p w14:paraId="20AF2321">
      <w:pPr>
        <w:pageBreakBefore w:val="0"/>
        <w:kinsoku/>
        <w:overflowPunct/>
        <w:topLinePunct w:val="0"/>
        <w:bidi w:val="0"/>
        <w:spacing w:line="360" w:lineRule="auto"/>
        <w:ind w:right="248" w:firstLine="480"/>
        <w:jc w:val="left"/>
        <w:rPr>
          <w:rFonts w:ascii="宋体" w:hAnsi="宋体" w:cs="宋体"/>
          <w:color w:val="auto"/>
          <w:szCs w:val="21"/>
          <w:highlight w:val="none"/>
          <w:u w:val="single"/>
        </w:rPr>
      </w:pPr>
      <w:r>
        <w:rPr>
          <w:rFonts w:hint="eastAsia" w:ascii="宋体" w:hAnsi="宋体" w:cs="宋体"/>
          <w:color w:val="auto"/>
          <w:szCs w:val="21"/>
          <w:highlight w:val="none"/>
          <w:u w:val="single"/>
        </w:rPr>
        <w:t>（6）为保护本合同工程免遭损坏，或为了现场附近和过往群众的安全与方便，在确有必要的时候和地方，或当监理人或有关主管部门要求时，承包人应自费提供照明、警卫、护栅、警告标志等安全防护设施</w:t>
      </w:r>
      <w:r>
        <w:rPr>
          <w:rFonts w:hint="eastAsia" w:ascii="宋体" w:hAnsi="宋体" w:cs="宋体"/>
          <w:color w:val="auto"/>
          <w:szCs w:val="21"/>
          <w:highlight w:val="none"/>
          <w:u w:val="none"/>
        </w:rPr>
        <w:t>。</w:t>
      </w:r>
    </w:p>
    <w:p w14:paraId="64EEF707">
      <w:pPr>
        <w:pageBreakBefore w:val="0"/>
        <w:kinsoku/>
        <w:overflowPunct/>
        <w:topLinePunct w:val="0"/>
        <w:bidi w:val="0"/>
        <w:spacing w:line="360" w:lineRule="auto"/>
        <w:ind w:right="248" w:firstLine="480"/>
        <w:jc w:val="left"/>
        <w:rPr>
          <w:rFonts w:ascii="宋体" w:hAnsi="宋体" w:cs="宋体"/>
          <w:color w:val="auto"/>
          <w:szCs w:val="21"/>
          <w:highlight w:val="none"/>
          <w:u w:val="none"/>
        </w:rPr>
      </w:pPr>
      <w:r>
        <w:rPr>
          <w:rFonts w:hint="eastAsia" w:ascii="宋体" w:hAnsi="宋体" w:cs="宋体"/>
          <w:color w:val="auto"/>
          <w:szCs w:val="21"/>
          <w:highlight w:val="none"/>
          <w:u w:val="single"/>
        </w:rPr>
        <w:t>（7）在通航水域施工时，承包人应与当地主管部门取得联系，设置必要的导航标志，及时发布航行通告，确保施工水域安全</w:t>
      </w:r>
      <w:r>
        <w:rPr>
          <w:rFonts w:hint="eastAsia" w:ascii="宋体" w:hAnsi="宋体" w:cs="宋体"/>
          <w:color w:val="auto"/>
          <w:szCs w:val="21"/>
          <w:highlight w:val="none"/>
          <w:u w:val="none"/>
        </w:rPr>
        <w:t>。</w:t>
      </w:r>
    </w:p>
    <w:p w14:paraId="5A818CBD">
      <w:pPr>
        <w:pageBreakBefore w:val="0"/>
        <w:kinsoku/>
        <w:overflowPunct/>
        <w:topLinePunct w:val="0"/>
        <w:bidi w:val="0"/>
        <w:spacing w:line="360" w:lineRule="auto"/>
        <w:ind w:right="248" w:firstLine="480"/>
        <w:jc w:val="left"/>
        <w:rPr>
          <w:rFonts w:ascii="宋体" w:hAnsi="宋体" w:cs="宋体"/>
          <w:color w:val="auto"/>
          <w:szCs w:val="21"/>
          <w:highlight w:val="none"/>
          <w:u w:val="single"/>
        </w:rPr>
      </w:pPr>
      <w:r>
        <w:rPr>
          <w:rFonts w:hint="eastAsia" w:ascii="宋体" w:hAnsi="宋体" w:cs="宋体"/>
          <w:color w:val="auto"/>
          <w:szCs w:val="21"/>
          <w:highlight w:val="none"/>
          <w:u w:val="single"/>
        </w:rPr>
        <w:t>（8）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r>
        <w:rPr>
          <w:rFonts w:hint="eastAsia" w:ascii="宋体" w:hAnsi="宋体" w:cs="宋体"/>
          <w:color w:val="auto"/>
          <w:szCs w:val="21"/>
          <w:highlight w:val="none"/>
          <w:u w:val="none"/>
        </w:rPr>
        <w:t>。</w:t>
      </w:r>
    </w:p>
    <w:p w14:paraId="1D74D260">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bookmarkStart w:id="150" w:name="_Toc33183738"/>
      <w:r>
        <w:rPr>
          <w:rFonts w:hint="eastAsia" w:ascii="宋体" w:hAnsi="宋体" w:cs="宋体"/>
          <w:color w:val="auto"/>
          <w:szCs w:val="21"/>
          <w:highlight w:val="none"/>
        </w:rPr>
        <w:t>9.7文明工地</w:t>
      </w:r>
      <w:bookmarkEnd w:id="150"/>
    </w:p>
    <w:p w14:paraId="4CBE42B5">
      <w:pPr>
        <w:pageBreakBefore w:val="0"/>
        <w:kinsoku/>
        <w:overflowPunct/>
        <w:topLinePunct w:val="0"/>
        <w:bidi w:val="0"/>
        <w:spacing w:line="360" w:lineRule="auto"/>
        <w:ind w:right="248" w:firstLine="480"/>
        <w:rPr>
          <w:rFonts w:ascii="宋体" w:hAnsi="宋体" w:cs="宋体"/>
          <w:color w:val="auto"/>
          <w:szCs w:val="21"/>
          <w:highlight w:val="none"/>
        </w:rPr>
      </w:pPr>
      <w:r>
        <w:rPr>
          <w:rFonts w:hint="eastAsia" w:ascii="宋体" w:hAnsi="宋体" w:cs="宋体"/>
          <w:color w:val="auto"/>
          <w:szCs w:val="21"/>
          <w:highlight w:val="none"/>
        </w:rPr>
        <w:t>9.7.1 本合同文明工地的约定：</w:t>
      </w:r>
      <w:r>
        <w:rPr>
          <w:rFonts w:hint="eastAsia" w:ascii="宋体" w:hAnsi="宋体" w:cs="宋体"/>
          <w:color w:val="auto"/>
          <w:szCs w:val="21"/>
          <w:highlight w:val="none"/>
          <w:u w:val="single"/>
          <w:lang w:eastAsia="zh-CN"/>
        </w:rPr>
        <w:t>通用合同条款</w:t>
      </w:r>
      <w:r>
        <w:rPr>
          <w:rFonts w:hint="eastAsia" w:ascii="宋体" w:hAnsi="宋体" w:cs="宋体"/>
          <w:color w:val="auto"/>
          <w:szCs w:val="21"/>
          <w:highlight w:val="none"/>
        </w:rPr>
        <w:t xml:space="preserve">。     </w:t>
      </w:r>
    </w:p>
    <w:p w14:paraId="3B1882FD">
      <w:pPr>
        <w:pStyle w:val="2"/>
        <w:pageBreakBefore w:val="0"/>
        <w:kinsoku/>
        <w:overflowPunct/>
        <w:topLinePunct w:val="0"/>
        <w:bidi w:val="0"/>
        <w:spacing w:line="360" w:lineRule="auto"/>
        <w:rPr>
          <w:rFonts w:ascii="宋体" w:hAnsi="宋体" w:cs="宋体"/>
          <w:color w:val="auto"/>
          <w:sz w:val="21"/>
          <w:szCs w:val="21"/>
          <w:highlight w:val="none"/>
        </w:rPr>
      </w:pPr>
      <w:bookmarkStart w:id="151" w:name="_Toc59810413"/>
      <w:bookmarkStart w:id="152" w:name="_Toc136350393"/>
      <w:bookmarkStart w:id="153" w:name="_Toc12476"/>
      <w:bookmarkStart w:id="154" w:name="_Toc221951188"/>
      <w:bookmarkStart w:id="155" w:name="_Toc222032705"/>
      <w:bookmarkStart w:id="156" w:name="_Toc222029536"/>
      <w:bookmarkStart w:id="157" w:name="_Toc222033887"/>
      <w:bookmarkStart w:id="158" w:name="_Toc229305394"/>
      <w:bookmarkStart w:id="159" w:name="_Toc222031038"/>
      <w:r>
        <w:rPr>
          <w:rFonts w:hint="eastAsia" w:ascii="宋体" w:hAnsi="宋体" w:cs="宋体"/>
          <w:color w:val="auto"/>
          <w:sz w:val="21"/>
          <w:szCs w:val="21"/>
          <w:highlight w:val="none"/>
        </w:rPr>
        <w:t>10.进度计划</w:t>
      </w:r>
      <w:bookmarkEnd w:id="151"/>
      <w:bookmarkEnd w:id="152"/>
      <w:bookmarkEnd w:id="153"/>
    </w:p>
    <w:p w14:paraId="755186FA">
      <w:pPr>
        <w:pageBreakBefore w:val="0"/>
        <w:kinsoku/>
        <w:overflowPunct/>
        <w:topLinePunct w:val="0"/>
        <w:bidi w:val="0"/>
        <w:snapToGrid w:val="0"/>
        <w:spacing w:before="72" w:beforeLines="30"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10.2合同进度计划的修订</w:t>
      </w:r>
    </w:p>
    <w:p w14:paraId="52135A06">
      <w:pPr>
        <w:pageBreakBefore w:val="0"/>
        <w:kinsoku/>
        <w:overflowPunct/>
        <w:topLinePunct w:val="0"/>
        <w:bidi w:val="0"/>
        <w:snapToGrid w:val="0"/>
        <w:spacing w:before="72" w:beforeLines="30"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发包人和监理人在收到修订的施工进度计划后确认或提出修改意见的期限：</w:t>
      </w:r>
      <w:r>
        <w:rPr>
          <w:rFonts w:hint="eastAsia" w:ascii="宋体" w:hAnsi="宋体" w:cs="宋体"/>
          <w:color w:val="auto"/>
          <w:kern w:val="0"/>
          <w:szCs w:val="21"/>
          <w:highlight w:val="none"/>
          <w:u w:val="single"/>
        </w:rPr>
        <w:t>收到修订的施工进度计划后 7天内</w:t>
      </w:r>
      <w:r>
        <w:rPr>
          <w:rFonts w:hint="eastAsia" w:ascii="宋体" w:hAnsi="宋体" w:cs="宋体"/>
          <w:color w:val="auto"/>
          <w:kern w:val="0"/>
          <w:szCs w:val="21"/>
          <w:highlight w:val="none"/>
        </w:rPr>
        <w:t>。</w:t>
      </w:r>
    </w:p>
    <w:p w14:paraId="5A9B97B5">
      <w:pPr>
        <w:pStyle w:val="2"/>
        <w:pageBreakBefore w:val="0"/>
        <w:kinsoku/>
        <w:overflowPunct/>
        <w:topLinePunct w:val="0"/>
        <w:bidi w:val="0"/>
        <w:spacing w:line="360" w:lineRule="auto"/>
        <w:rPr>
          <w:rFonts w:ascii="宋体" w:hAnsi="宋体" w:cs="宋体"/>
          <w:color w:val="auto"/>
          <w:sz w:val="21"/>
          <w:szCs w:val="21"/>
          <w:highlight w:val="none"/>
        </w:rPr>
      </w:pPr>
      <w:bookmarkStart w:id="160" w:name="_Toc136350394"/>
      <w:bookmarkStart w:id="161" w:name="_Toc59810414"/>
      <w:bookmarkStart w:id="162" w:name="_Toc33183739"/>
      <w:bookmarkStart w:id="163" w:name="_Toc9073"/>
      <w:r>
        <w:rPr>
          <w:rFonts w:hint="eastAsia" w:ascii="宋体" w:hAnsi="宋体" w:cs="宋体"/>
          <w:color w:val="auto"/>
          <w:sz w:val="21"/>
          <w:szCs w:val="21"/>
          <w:highlight w:val="none"/>
        </w:rPr>
        <w:t>11.开工和竣工</w:t>
      </w:r>
      <w:bookmarkEnd w:id="154"/>
      <w:bookmarkEnd w:id="155"/>
      <w:bookmarkEnd w:id="156"/>
      <w:bookmarkEnd w:id="157"/>
      <w:bookmarkEnd w:id="158"/>
      <w:bookmarkEnd w:id="159"/>
      <w:r>
        <w:rPr>
          <w:rFonts w:hint="eastAsia" w:ascii="宋体" w:hAnsi="宋体" w:cs="宋体"/>
          <w:color w:val="auto"/>
          <w:sz w:val="21"/>
          <w:szCs w:val="21"/>
          <w:highlight w:val="none"/>
        </w:rPr>
        <w:t>（完工）</w:t>
      </w:r>
      <w:bookmarkEnd w:id="160"/>
      <w:bookmarkEnd w:id="161"/>
      <w:bookmarkEnd w:id="162"/>
      <w:bookmarkEnd w:id="163"/>
    </w:p>
    <w:p w14:paraId="259A507B">
      <w:pPr>
        <w:pageBreakBefore w:val="0"/>
        <w:kinsoku/>
        <w:overflowPunct/>
        <w:topLinePunct w:val="0"/>
        <w:bidi w:val="0"/>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11.1开工</w:t>
      </w:r>
    </w:p>
    <w:p w14:paraId="16DBA55B">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关于承包人提交工程开工报审表的期限：</w:t>
      </w:r>
      <w:r>
        <w:rPr>
          <w:rFonts w:hint="eastAsia" w:ascii="宋体" w:hAnsi="宋体" w:cs="宋体"/>
          <w:color w:val="auto"/>
          <w:kern w:val="0"/>
          <w:szCs w:val="21"/>
          <w:highlight w:val="none"/>
          <w:u w:val="single"/>
        </w:rPr>
        <w:t xml:space="preserve">不晚于开工前 </w:t>
      </w:r>
      <w:r>
        <w:rPr>
          <w:rFonts w:hint="eastAsia" w:ascii="宋体" w:hAnsi="宋体" w:cs="宋体"/>
          <w:color w:val="auto"/>
          <w:kern w:val="0"/>
          <w:szCs w:val="21"/>
          <w:highlight w:val="none"/>
          <w:u w:val="single"/>
          <w:lang w:val="en-US" w:eastAsia="zh-CN"/>
        </w:rPr>
        <w:t>3</w:t>
      </w:r>
      <w:r>
        <w:rPr>
          <w:rFonts w:hint="eastAsia" w:ascii="宋体" w:hAnsi="宋体" w:cs="宋体"/>
          <w:color w:val="auto"/>
          <w:kern w:val="0"/>
          <w:szCs w:val="21"/>
          <w:highlight w:val="none"/>
          <w:u w:val="single"/>
        </w:rPr>
        <w:t>天</w:t>
      </w:r>
      <w:r>
        <w:rPr>
          <w:rFonts w:hint="eastAsia" w:ascii="宋体" w:hAnsi="宋体" w:cs="宋体"/>
          <w:color w:val="auto"/>
          <w:kern w:val="0"/>
          <w:szCs w:val="21"/>
          <w:highlight w:val="none"/>
        </w:rPr>
        <w:t>。</w:t>
      </w:r>
    </w:p>
    <w:p w14:paraId="6433DD5A">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关于发包人应完成的其他开工准备工作及期限：</w:t>
      </w:r>
      <w:r>
        <w:rPr>
          <w:rFonts w:hint="eastAsia" w:ascii="宋体" w:hAnsi="宋体" w:cs="宋体"/>
          <w:color w:val="auto"/>
          <w:kern w:val="0"/>
          <w:szCs w:val="21"/>
          <w:highlight w:val="none"/>
          <w:u w:val="single"/>
        </w:rPr>
        <w:t>不晚于开工前 7 天</w:t>
      </w:r>
      <w:r>
        <w:rPr>
          <w:rFonts w:hint="eastAsia" w:ascii="宋体" w:hAnsi="宋体" w:cs="宋体"/>
          <w:color w:val="auto"/>
          <w:kern w:val="0"/>
          <w:szCs w:val="21"/>
          <w:highlight w:val="none"/>
        </w:rPr>
        <w:t>。</w:t>
      </w:r>
    </w:p>
    <w:p w14:paraId="7FFBBFB7">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关于承包人应完成的其他开工准备工作及期限：</w:t>
      </w:r>
      <w:r>
        <w:rPr>
          <w:rFonts w:hint="eastAsia" w:ascii="宋体" w:hAnsi="宋体" w:cs="宋体"/>
          <w:color w:val="auto"/>
          <w:kern w:val="0"/>
          <w:szCs w:val="21"/>
          <w:highlight w:val="none"/>
          <w:u w:val="single"/>
        </w:rPr>
        <w:t>不晚于开工前 7 天</w:t>
      </w:r>
      <w:r>
        <w:rPr>
          <w:rFonts w:hint="eastAsia" w:ascii="宋体" w:hAnsi="宋体" w:cs="宋体"/>
          <w:color w:val="auto"/>
          <w:kern w:val="0"/>
          <w:szCs w:val="21"/>
          <w:highlight w:val="none"/>
        </w:rPr>
        <w:t>。</w:t>
      </w:r>
    </w:p>
    <w:p w14:paraId="792A0622">
      <w:pPr>
        <w:pageBreakBefore w:val="0"/>
        <w:kinsoku/>
        <w:overflowPunct/>
        <w:topLinePunct w:val="0"/>
        <w:bidi w:val="0"/>
        <w:spacing w:line="360" w:lineRule="auto"/>
        <w:rPr>
          <w:rFonts w:ascii="宋体" w:hAnsi="宋体" w:cs="宋体"/>
          <w:color w:val="auto"/>
          <w:szCs w:val="21"/>
          <w:highlight w:val="none"/>
        </w:rPr>
      </w:pPr>
      <w:r>
        <w:rPr>
          <w:rFonts w:hint="eastAsia" w:ascii="宋体" w:hAnsi="宋体" w:cs="宋体"/>
          <w:b/>
          <w:color w:val="auto"/>
          <w:kern w:val="0"/>
          <w:szCs w:val="21"/>
          <w:highlight w:val="none"/>
        </w:rPr>
        <w:t>11.3  发包人的工期延误</w:t>
      </w:r>
    </w:p>
    <w:p w14:paraId="5299B319">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在合同履行过程中，因下列情况导致工期延误和（或）费用增加的，由发包人承担由此延误的工期和（或）增加的费用：</w:t>
      </w:r>
    </w:p>
    <w:p w14:paraId="5346E5F7">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（1）发包人未能按合同约定提供施工场地，且该未能提供上述开工条件直接影响项目关键线路的；</w:t>
      </w:r>
    </w:p>
    <w:p w14:paraId="5470A482">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（2）发包人提供的测量基准点、基准线和水准点及其书面资料存在错误或疏漏，且该错误或疏漏直接影响项目关键线路的；</w:t>
      </w:r>
    </w:p>
    <w:p w14:paraId="4F7BC5BE">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（3）监理人未按合同约定发出指示、批准等文件，且该未按合同约定发出指示、批准直接影响项目关键线路的；</w:t>
      </w:r>
    </w:p>
    <w:p w14:paraId="7707F970">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（4）变更未及时审批，直接影响项目关键线路的；</w:t>
      </w:r>
    </w:p>
    <w:p w14:paraId="32B4E27B">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（5）实施变更直接影响项目关键线路的；</w:t>
      </w:r>
    </w:p>
    <w:p w14:paraId="452F8D05">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（6）因发包人原因导致工程暂停施工、停建、缓建的；</w:t>
      </w:r>
    </w:p>
    <w:p w14:paraId="4BE81E30">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（7）因征地拆迁、群众阻工等情形导致工期延误累计超过1</w:t>
      </w:r>
      <w:r>
        <w:rPr>
          <w:rFonts w:ascii="宋体" w:hAnsi="宋体" w:cs="宋体"/>
          <w:color w:val="auto"/>
          <w:kern w:val="0"/>
          <w:szCs w:val="21"/>
          <w:highlight w:val="none"/>
        </w:rPr>
        <w:t>4</w:t>
      </w:r>
      <w:r>
        <w:rPr>
          <w:rFonts w:hint="eastAsia" w:ascii="宋体" w:hAnsi="宋体" w:cs="宋体"/>
          <w:color w:val="auto"/>
          <w:kern w:val="0"/>
          <w:szCs w:val="21"/>
          <w:highlight w:val="none"/>
        </w:rPr>
        <w:t>天的；</w:t>
      </w:r>
    </w:p>
    <w:p w14:paraId="411082F2">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w:t>
      </w:r>
      <w:r>
        <w:rPr>
          <w:rFonts w:hint="eastAsia" w:ascii="宋体" w:hAnsi="宋体" w:cs="宋体"/>
          <w:color w:val="auto"/>
          <w:kern w:val="0"/>
          <w:szCs w:val="21"/>
          <w:highlight w:val="none"/>
          <w:u w:val="single"/>
        </w:rPr>
        <w:t>合同约定的其他情形</w:t>
      </w:r>
      <w:r>
        <w:rPr>
          <w:rFonts w:hint="eastAsia" w:ascii="宋体" w:hAnsi="宋体" w:cs="宋体"/>
          <w:color w:val="auto"/>
          <w:kern w:val="0"/>
          <w:szCs w:val="21"/>
          <w:highlight w:val="none"/>
        </w:rPr>
        <w:t>。</w:t>
      </w:r>
    </w:p>
    <w:p w14:paraId="41044944">
      <w:pPr>
        <w:pageBreakBefore w:val="0"/>
        <w:kinsoku/>
        <w:overflowPunct/>
        <w:topLinePunct w:val="0"/>
        <w:bidi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因发包人原因未按计划开工日期开工的，发包人应按实际开工日期顺延完工日期。因发包人原因导致工期延误需要修订施工进度计划的，按照第10.2合同进度计划的修订执行。</w:t>
      </w:r>
    </w:p>
    <w:p w14:paraId="50DFA7F2">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bookmarkStart w:id="164" w:name="_Toc221951189"/>
      <w:bookmarkStart w:id="165" w:name="_Toc33183740"/>
      <w:r>
        <w:rPr>
          <w:rFonts w:hint="eastAsia" w:ascii="宋体" w:hAnsi="宋体" w:cs="宋体"/>
          <w:color w:val="auto"/>
          <w:szCs w:val="21"/>
          <w:highlight w:val="none"/>
        </w:rPr>
        <w:t>11.4  异常恶劣的气候条件</w:t>
      </w:r>
      <w:bookmarkEnd w:id="164"/>
      <w:bookmarkEnd w:id="165"/>
      <w:r>
        <w:rPr>
          <w:rFonts w:hint="eastAsia" w:ascii="宋体" w:hAnsi="宋体" w:cs="宋体"/>
          <w:color w:val="auto"/>
          <w:szCs w:val="21"/>
          <w:highlight w:val="none"/>
        </w:rPr>
        <w:t xml:space="preserve"> </w:t>
      </w:r>
    </w:p>
    <w:p w14:paraId="7382CD19">
      <w:pPr>
        <w:pageBreakBefore w:val="0"/>
        <w:kinsoku/>
        <w:overflowPunct/>
        <w:topLinePunct w:val="0"/>
        <w:bidi w:val="0"/>
        <w:spacing w:line="360" w:lineRule="auto"/>
        <w:ind w:right="248" w:firstLine="480"/>
        <w:rPr>
          <w:rFonts w:ascii="宋体" w:hAnsi="宋体" w:cs="宋体"/>
          <w:color w:val="auto"/>
          <w:szCs w:val="21"/>
          <w:highlight w:val="none"/>
        </w:rPr>
      </w:pPr>
      <w:bookmarkStart w:id="166" w:name="_Toc221951191"/>
      <w:r>
        <w:rPr>
          <w:rFonts w:hint="eastAsia" w:ascii="宋体" w:hAnsi="宋体" w:cs="宋体"/>
          <w:color w:val="auto"/>
          <w:szCs w:val="21"/>
          <w:highlight w:val="none"/>
        </w:rPr>
        <w:t>11.4.3 本合同工程界定异常恶劣气候条件（</w:t>
      </w:r>
      <w:r>
        <w:rPr>
          <w:rFonts w:hint="eastAsia" w:ascii="宋体" w:hAnsi="宋体" w:cs="宋体"/>
          <w:color w:val="auto"/>
          <w:kern w:val="0"/>
          <w:szCs w:val="21"/>
          <w:highlight w:val="none"/>
        </w:rPr>
        <w:t>异常恶劣气候是指项目所在地50年以上一遇的罕见气候现象</w:t>
      </w:r>
      <w:r>
        <w:rPr>
          <w:rFonts w:hint="eastAsia" w:ascii="宋体" w:hAnsi="宋体" w:cs="宋体"/>
          <w:color w:val="auto"/>
          <w:szCs w:val="21"/>
          <w:highlight w:val="none"/>
        </w:rPr>
        <w:t>）的范围为：</w:t>
      </w:r>
      <w:bookmarkEnd w:id="166"/>
    </w:p>
    <w:p w14:paraId="4378358D">
      <w:pPr>
        <w:pageBreakBefore w:val="0"/>
        <w:kinsoku/>
        <w:overflowPunct/>
        <w:topLinePunct w:val="0"/>
        <w:bidi w:val="0"/>
        <w:spacing w:line="360" w:lineRule="auto"/>
        <w:ind w:right="248" w:firstLine="480"/>
        <w:rPr>
          <w:rFonts w:ascii="宋体" w:hAnsi="宋体" w:cs="宋体"/>
          <w:color w:val="auto"/>
          <w:szCs w:val="21"/>
          <w:highlight w:val="none"/>
        </w:rPr>
      </w:pPr>
      <w:bookmarkStart w:id="167" w:name="_Toc221951192"/>
      <w:r>
        <w:rPr>
          <w:rFonts w:hint="eastAsia" w:ascii="宋体" w:hAnsi="宋体" w:cs="宋体"/>
          <w:color w:val="auto"/>
          <w:szCs w:val="21"/>
          <w:highlight w:val="none"/>
        </w:rPr>
        <w:t>（1）日降雨量大于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90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㎜的雨日超过</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天； `</w:t>
      </w:r>
      <w:bookmarkEnd w:id="167"/>
    </w:p>
    <w:p w14:paraId="544A5A19">
      <w:pPr>
        <w:pageBreakBefore w:val="0"/>
        <w:kinsoku/>
        <w:overflowPunct/>
        <w:topLinePunct w:val="0"/>
        <w:bidi w:val="0"/>
        <w:spacing w:line="360" w:lineRule="auto"/>
        <w:ind w:right="248" w:firstLine="480"/>
        <w:rPr>
          <w:rFonts w:ascii="宋体" w:hAnsi="宋体" w:cs="宋体"/>
          <w:color w:val="auto"/>
          <w:szCs w:val="21"/>
          <w:highlight w:val="none"/>
        </w:rPr>
      </w:pPr>
      <w:bookmarkStart w:id="168" w:name="_Toc221951193"/>
      <w:r>
        <w:rPr>
          <w:rFonts w:hint="eastAsia" w:ascii="宋体" w:hAnsi="宋体" w:cs="宋体"/>
          <w:color w:val="auto"/>
          <w:szCs w:val="21"/>
          <w:highlight w:val="none"/>
        </w:rPr>
        <w:t>（2）风速大于</w:t>
      </w:r>
      <w:r>
        <w:rPr>
          <w:rFonts w:hint="eastAsia" w:ascii="宋体" w:hAnsi="宋体" w:cs="宋体"/>
          <w:color w:val="auto"/>
          <w:szCs w:val="21"/>
          <w:highlight w:val="none"/>
          <w:u w:val="single"/>
        </w:rPr>
        <w:t xml:space="preserve"> 9.0 </w:t>
      </w:r>
      <w:r>
        <w:rPr>
          <w:rFonts w:hint="eastAsia" w:ascii="宋体" w:hAnsi="宋体" w:cs="宋体"/>
          <w:color w:val="auto"/>
          <w:szCs w:val="21"/>
          <w:highlight w:val="none"/>
        </w:rPr>
        <w:t>m/s的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级以上台风灾害；</w:t>
      </w:r>
      <w:bookmarkEnd w:id="168"/>
    </w:p>
    <w:p w14:paraId="101E7536">
      <w:pPr>
        <w:pageBreakBefore w:val="0"/>
        <w:kinsoku/>
        <w:overflowPunct/>
        <w:topLinePunct w:val="0"/>
        <w:bidi w:val="0"/>
        <w:spacing w:line="360" w:lineRule="auto"/>
        <w:ind w:right="248" w:firstLine="480"/>
        <w:rPr>
          <w:rFonts w:ascii="宋体" w:hAnsi="宋体" w:cs="宋体"/>
          <w:color w:val="auto"/>
          <w:szCs w:val="21"/>
          <w:highlight w:val="none"/>
        </w:rPr>
      </w:pPr>
      <w:bookmarkStart w:id="169" w:name="_Toc221951194"/>
      <w:r>
        <w:rPr>
          <w:rFonts w:hint="eastAsia" w:ascii="宋体" w:hAnsi="宋体" w:cs="宋体"/>
          <w:color w:val="auto"/>
          <w:szCs w:val="21"/>
          <w:highlight w:val="none"/>
        </w:rPr>
        <w:t>（3）</w:t>
      </w:r>
      <w:bookmarkEnd w:id="169"/>
      <w:r>
        <w:rPr>
          <w:rFonts w:hint="eastAsia" w:ascii="宋体" w:hAnsi="宋体" w:cs="宋体"/>
          <w:color w:val="auto"/>
          <w:szCs w:val="21"/>
          <w:highlight w:val="none"/>
        </w:rPr>
        <w:t>日气温超过</w:t>
      </w:r>
      <w:r>
        <w:rPr>
          <w:rFonts w:hint="eastAsia" w:ascii="宋体" w:hAnsi="宋体" w:cs="宋体"/>
          <w:color w:val="auto"/>
          <w:szCs w:val="21"/>
          <w:highlight w:val="none"/>
          <w:u w:val="single"/>
        </w:rPr>
        <w:t xml:space="preserve"> 40</w:t>
      </w:r>
      <w:r>
        <w:rPr>
          <w:rFonts w:hint="eastAsia" w:ascii="宋体" w:hAnsi="宋体" w:cs="宋体"/>
          <w:color w:val="auto"/>
          <w:szCs w:val="21"/>
          <w:highlight w:val="none"/>
        </w:rPr>
        <w:t>℃的高温大于</w:t>
      </w:r>
      <w:r>
        <w:rPr>
          <w:rFonts w:hint="eastAsia" w:ascii="宋体" w:hAnsi="宋体" w:cs="宋体"/>
          <w:color w:val="auto"/>
          <w:szCs w:val="21"/>
          <w:highlight w:val="none"/>
          <w:u w:val="single"/>
        </w:rPr>
        <w:t xml:space="preserve"> 7 </w:t>
      </w:r>
      <w:r>
        <w:rPr>
          <w:rFonts w:hint="eastAsia" w:ascii="宋体" w:hAnsi="宋体" w:cs="宋体"/>
          <w:color w:val="auto"/>
          <w:szCs w:val="21"/>
          <w:highlight w:val="none"/>
        </w:rPr>
        <w:t>天；</w:t>
      </w:r>
    </w:p>
    <w:p w14:paraId="7B062E67">
      <w:pPr>
        <w:pageBreakBefore w:val="0"/>
        <w:kinsoku/>
        <w:overflowPunct/>
        <w:topLinePunct w:val="0"/>
        <w:bidi w:val="0"/>
        <w:spacing w:line="360" w:lineRule="auto"/>
        <w:ind w:right="248" w:firstLine="480"/>
        <w:rPr>
          <w:rFonts w:ascii="宋体" w:hAnsi="宋体" w:cs="宋体"/>
          <w:color w:val="auto"/>
          <w:szCs w:val="21"/>
          <w:highlight w:val="none"/>
        </w:rPr>
      </w:pPr>
      <w:bookmarkStart w:id="170" w:name="_Toc221951195"/>
      <w:r>
        <w:rPr>
          <w:rFonts w:hint="eastAsia" w:ascii="宋体" w:hAnsi="宋体" w:cs="宋体"/>
          <w:color w:val="auto"/>
          <w:szCs w:val="21"/>
          <w:highlight w:val="none"/>
        </w:rPr>
        <w:t>（4）</w:t>
      </w:r>
      <w:bookmarkEnd w:id="170"/>
      <w:r>
        <w:rPr>
          <w:rFonts w:hint="eastAsia" w:ascii="宋体" w:hAnsi="宋体" w:cs="宋体"/>
          <w:color w:val="auto"/>
          <w:szCs w:val="21"/>
          <w:highlight w:val="none"/>
        </w:rPr>
        <w:t>日气温低于</w:t>
      </w:r>
      <w:r>
        <w:rPr>
          <w:rFonts w:hint="eastAsia" w:ascii="宋体" w:hAnsi="宋体" w:cs="宋体"/>
          <w:color w:val="auto"/>
          <w:szCs w:val="21"/>
          <w:highlight w:val="none"/>
          <w:u w:val="single"/>
        </w:rPr>
        <w:t xml:space="preserve">-5 </w:t>
      </w:r>
      <w:r>
        <w:rPr>
          <w:rFonts w:hint="eastAsia" w:ascii="宋体" w:hAnsi="宋体" w:cs="宋体"/>
          <w:color w:val="auto"/>
          <w:szCs w:val="21"/>
          <w:highlight w:val="none"/>
        </w:rPr>
        <w:t>℃的严寒大于</w:t>
      </w:r>
      <w:r>
        <w:rPr>
          <w:rFonts w:hint="eastAsia" w:ascii="宋体" w:hAnsi="宋体" w:cs="宋体"/>
          <w:color w:val="auto"/>
          <w:szCs w:val="21"/>
          <w:highlight w:val="none"/>
          <w:u w:val="single"/>
        </w:rPr>
        <w:t xml:space="preserve"> 7</w:t>
      </w:r>
      <w:r>
        <w:rPr>
          <w:rFonts w:hint="eastAsia" w:ascii="宋体" w:hAnsi="宋体" w:cs="宋体"/>
          <w:color w:val="auto"/>
          <w:szCs w:val="21"/>
          <w:highlight w:val="none"/>
        </w:rPr>
        <w:t>天。</w:t>
      </w:r>
    </w:p>
    <w:p w14:paraId="744F7D23">
      <w:pPr>
        <w:pageBreakBefore w:val="0"/>
        <w:kinsoku/>
        <w:overflowPunct/>
        <w:topLinePunct w:val="0"/>
        <w:bidi w:val="0"/>
        <w:spacing w:line="360" w:lineRule="auto"/>
        <w:ind w:right="248" w:firstLine="480"/>
        <w:rPr>
          <w:rFonts w:ascii="宋体" w:hAnsi="宋体" w:cs="宋体"/>
          <w:color w:val="auto"/>
          <w:szCs w:val="21"/>
          <w:highlight w:val="none"/>
          <w:u w:val="single"/>
        </w:rPr>
      </w:pPr>
      <w:bookmarkStart w:id="171" w:name="_Toc221951196"/>
      <w:r>
        <w:rPr>
          <w:rFonts w:hint="eastAsia" w:ascii="宋体" w:hAnsi="宋体" w:cs="宋体"/>
          <w:color w:val="auto"/>
          <w:szCs w:val="21"/>
          <w:highlight w:val="none"/>
        </w:rPr>
        <w:t>（5）</w:t>
      </w:r>
      <w:bookmarkEnd w:id="171"/>
      <w:r>
        <w:rPr>
          <w:rFonts w:hint="eastAsia" w:ascii="宋体" w:hAnsi="宋体" w:cs="宋体"/>
          <w:color w:val="auto"/>
          <w:szCs w:val="21"/>
          <w:highlight w:val="none"/>
        </w:rPr>
        <w:t>造成工程损坏的冰雹和大雪灾害：</w:t>
      </w:r>
      <w:r>
        <w:rPr>
          <w:rFonts w:hint="eastAsia" w:ascii="宋体" w:hAnsi="宋体" w:cs="宋体"/>
          <w:color w:val="auto"/>
          <w:szCs w:val="21"/>
          <w:highlight w:val="none"/>
          <w:u w:val="single"/>
        </w:rPr>
        <w:t xml:space="preserve">  日降雪量10 mm及以上  。</w:t>
      </w:r>
    </w:p>
    <w:p w14:paraId="381A1B33">
      <w:pPr>
        <w:pageBreakBefore w:val="0"/>
        <w:kinsoku/>
        <w:overflowPunct/>
        <w:topLinePunct w:val="0"/>
        <w:bidi w:val="0"/>
        <w:spacing w:line="360" w:lineRule="auto"/>
        <w:ind w:right="248" w:firstLine="480"/>
        <w:rPr>
          <w:rFonts w:ascii="宋体" w:hAnsi="宋体" w:cs="宋体"/>
          <w:color w:val="auto"/>
          <w:szCs w:val="21"/>
          <w:highlight w:val="none"/>
        </w:rPr>
      </w:pPr>
      <w:bookmarkStart w:id="172" w:name="_Toc221951197"/>
      <w:r>
        <w:rPr>
          <w:rFonts w:hint="eastAsia" w:ascii="宋体" w:hAnsi="宋体" w:cs="宋体"/>
          <w:color w:val="auto"/>
          <w:szCs w:val="21"/>
          <w:highlight w:val="none"/>
        </w:rPr>
        <w:t>（6）</w:t>
      </w:r>
      <w:r>
        <w:rPr>
          <w:rFonts w:hint="eastAsia" w:ascii="宋体" w:hAnsi="宋体" w:cs="宋体"/>
          <w:color w:val="auto"/>
          <w:szCs w:val="21"/>
          <w:highlight w:val="none"/>
          <w:u w:val="none"/>
        </w:rPr>
        <w:t>其他：</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bookmarkEnd w:id="172"/>
    </w:p>
    <w:p w14:paraId="37DC8335">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bookmarkStart w:id="173" w:name="_Toc33183741"/>
      <w:bookmarkStart w:id="174" w:name="_Toc221951198"/>
      <w:r>
        <w:rPr>
          <w:rFonts w:hint="eastAsia" w:ascii="宋体" w:hAnsi="宋体" w:cs="宋体"/>
          <w:color w:val="auto"/>
          <w:szCs w:val="21"/>
          <w:highlight w:val="none"/>
        </w:rPr>
        <w:t>11.5  承包人工期延误</w:t>
      </w:r>
      <w:bookmarkEnd w:id="173"/>
      <w:bookmarkEnd w:id="174"/>
      <w:r>
        <w:rPr>
          <w:rFonts w:hint="eastAsia" w:ascii="宋体" w:hAnsi="宋体" w:cs="宋体"/>
          <w:color w:val="auto"/>
          <w:szCs w:val="21"/>
          <w:highlight w:val="none"/>
        </w:rPr>
        <w:t xml:space="preserve"> </w:t>
      </w:r>
    </w:p>
    <w:p w14:paraId="7014CD51">
      <w:pPr>
        <w:pageBreakBefore w:val="0"/>
        <w:kinsoku/>
        <w:overflowPunct/>
        <w:topLinePunct w:val="0"/>
        <w:bidi w:val="0"/>
        <w:spacing w:line="360" w:lineRule="auto"/>
        <w:ind w:right="248" w:firstLine="420" w:firstLineChars="200"/>
        <w:rPr>
          <w:rFonts w:ascii="宋体" w:hAnsi="宋体" w:cs="宋体"/>
          <w:bCs/>
          <w:color w:val="auto"/>
          <w:szCs w:val="21"/>
          <w:highlight w:val="none"/>
        </w:rPr>
      </w:pPr>
      <w:bookmarkStart w:id="175" w:name="_Toc221951200"/>
      <w:r>
        <w:rPr>
          <w:rFonts w:hint="eastAsia" w:ascii="宋体" w:hAnsi="宋体" w:cs="宋体"/>
          <w:bCs/>
          <w:color w:val="auto"/>
          <w:szCs w:val="21"/>
          <w:highlight w:val="none"/>
        </w:rPr>
        <w:t>（1）逾期完工违约金表(参考格式)</w:t>
      </w:r>
      <w:bookmarkEnd w:id="175"/>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3"/>
        <w:gridCol w:w="3986"/>
        <w:gridCol w:w="2164"/>
        <w:gridCol w:w="2164"/>
      </w:tblGrid>
      <w:tr w14:paraId="78398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noWrap w:val="0"/>
            <w:vAlign w:val="center"/>
          </w:tcPr>
          <w:p w14:paraId="31952856">
            <w:pPr>
              <w:pageBreakBefore w:val="0"/>
              <w:kinsoku/>
              <w:overflowPunct/>
              <w:topLinePunct w:val="0"/>
              <w:bidi w:val="0"/>
              <w:spacing w:line="360" w:lineRule="auto"/>
              <w:ind w:right="-3"/>
              <w:jc w:val="center"/>
              <w:rPr>
                <w:rFonts w:ascii="宋体" w:hAnsi="宋体" w:cs="宋体"/>
                <w:color w:val="auto"/>
                <w:szCs w:val="21"/>
                <w:highlight w:val="none"/>
              </w:rPr>
            </w:pPr>
            <w:bookmarkStart w:id="176" w:name="_Toc221951201"/>
            <w:r>
              <w:rPr>
                <w:rFonts w:hint="eastAsia" w:ascii="宋体" w:hAnsi="宋体" w:cs="宋体"/>
                <w:color w:val="auto"/>
                <w:szCs w:val="21"/>
                <w:highlight w:val="none"/>
              </w:rPr>
              <w:t>序号</w:t>
            </w:r>
            <w:bookmarkEnd w:id="176"/>
          </w:p>
        </w:tc>
        <w:tc>
          <w:tcPr>
            <w:tcW w:w="3986" w:type="dxa"/>
            <w:noWrap w:val="0"/>
            <w:vAlign w:val="center"/>
          </w:tcPr>
          <w:p w14:paraId="786BB13E">
            <w:pPr>
              <w:pageBreakBefore w:val="0"/>
              <w:kinsoku/>
              <w:overflowPunct/>
              <w:topLinePunct w:val="0"/>
              <w:bidi w:val="0"/>
              <w:spacing w:line="360" w:lineRule="auto"/>
              <w:ind w:right="3"/>
              <w:jc w:val="center"/>
              <w:rPr>
                <w:rFonts w:ascii="宋体" w:hAnsi="宋体" w:cs="宋体"/>
                <w:color w:val="auto"/>
                <w:szCs w:val="21"/>
                <w:highlight w:val="none"/>
              </w:rPr>
            </w:pPr>
            <w:bookmarkStart w:id="177" w:name="_Toc221951202"/>
            <w:r>
              <w:rPr>
                <w:rFonts w:hint="eastAsia" w:ascii="宋体" w:hAnsi="宋体" w:cs="宋体"/>
                <w:color w:val="auto"/>
                <w:szCs w:val="21"/>
                <w:highlight w:val="none"/>
              </w:rPr>
              <w:t>项目及其说明</w:t>
            </w:r>
            <w:bookmarkEnd w:id="177"/>
          </w:p>
        </w:tc>
        <w:tc>
          <w:tcPr>
            <w:tcW w:w="2164" w:type="dxa"/>
            <w:noWrap w:val="0"/>
            <w:vAlign w:val="center"/>
          </w:tcPr>
          <w:p w14:paraId="0DB18830">
            <w:pPr>
              <w:pageBreakBefore w:val="0"/>
              <w:kinsoku/>
              <w:overflowPunct/>
              <w:topLinePunct w:val="0"/>
              <w:bidi w:val="0"/>
              <w:spacing w:line="360" w:lineRule="auto"/>
              <w:ind w:right="9"/>
              <w:jc w:val="center"/>
              <w:rPr>
                <w:rFonts w:ascii="宋体" w:hAnsi="宋体" w:cs="宋体"/>
                <w:color w:val="auto"/>
                <w:szCs w:val="21"/>
                <w:highlight w:val="none"/>
              </w:rPr>
            </w:pPr>
            <w:bookmarkStart w:id="178" w:name="_Toc221951203"/>
            <w:r>
              <w:rPr>
                <w:rFonts w:hint="eastAsia" w:ascii="宋体" w:hAnsi="宋体" w:cs="宋体"/>
                <w:color w:val="auto"/>
                <w:szCs w:val="21"/>
                <w:highlight w:val="none"/>
              </w:rPr>
              <w:t>要求竣工日期</w:t>
            </w:r>
            <w:bookmarkEnd w:id="178"/>
          </w:p>
        </w:tc>
        <w:tc>
          <w:tcPr>
            <w:tcW w:w="2164" w:type="dxa"/>
            <w:noWrap w:val="0"/>
            <w:vAlign w:val="top"/>
          </w:tcPr>
          <w:p w14:paraId="72B8F40C">
            <w:pPr>
              <w:pageBreakBefore w:val="0"/>
              <w:kinsoku/>
              <w:overflowPunct/>
              <w:topLinePunct w:val="0"/>
              <w:bidi w:val="0"/>
              <w:spacing w:line="360" w:lineRule="auto"/>
              <w:ind w:right="9"/>
              <w:jc w:val="center"/>
              <w:rPr>
                <w:rFonts w:ascii="宋体" w:hAnsi="宋体" w:cs="宋体"/>
                <w:color w:val="auto"/>
                <w:szCs w:val="21"/>
                <w:highlight w:val="none"/>
              </w:rPr>
            </w:pPr>
            <w:bookmarkStart w:id="179" w:name="_Toc221951204"/>
            <w:r>
              <w:rPr>
                <w:rFonts w:hint="eastAsia" w:ascii="宋体" w:hAnsi="宋体" w:cs="宋体"/>
                <w:color w:val="auto"/>
                <w:szCs w:val="21"/>
                <w:highlight w:val="none"/>
              </w:rPr>
              <w:t>违约金(元/天)</w:t>
            </w:r>
            <w:bookmarkEnd w:id="179"/>
          </w:p>
        </w:tc>
      </w:tr>
      <w:tr w14:paraId="5C027C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noWrap w:val="0"/>
            <w:vAlign w:val="center"/>
          </w:tcPr>
          <w:p w14:paraId="56C3BFB0">
            <w:pPr>
              <w:pageBreakBefore w:val="0"/>
              <w:kinsoku/>
              <w:overflowPunct/>
              <w:topLinePunct w:val="0"/>
              <w:bidi w:val="0"/>
              <w:spacing w:line="360" w:lineRule="auto"/>
              <w:ind w:right="248"/>
              <w:jc w:val="center"/>
              <w:rPr>
                <w:rFonts w:ascii="宋体" w:hAnsi="宋体" w:cs="宋体"/>
                <w:color w:val="auto"/>
                <w:szCs w:val="21"/>
                <w:highlight w:val="none"/>
              </w:rPr>
            </w:pPr>
          </w:p>
        </w:tc>
        <w:tc>
          <w:tcPr>
            <w:tcW w:w="3986" w:type="dxa"/>
            <w:noWrap w:val="0"/>
            <w:vAlign w:val="center"/>
          </w:tcPr>
          <w:p w14:paraId="5DE3F2B4">
            <w:pPr>
              <w:pageBreakBefore w:val="0"/>
              <w:kinsoku/>
              <w:overflowPunct/>
              <w:topLinePunct w:val="0"/>
              <w:bidi w:val="0"/>
              <w:spacing w:line="360" w:lineRule="auto"/>
              <w:ind w:right="248"/>
              <w:jc w:val="center"/>
              <w:rPr>
                <w:rFonts w:ascii="宋体" w:hAnsi="宋体" w:cs="宋体"/>
                <w:color w:val="auto"/>
                <w:szCs w:val="21"/>
                <w:highlight w:val="none"/>
              </w:rPr>
            </w:pPr>
          </w:p>
        </w:tc>
        <w:tc>
          <w:tcPr>
            <w:tcW w:w="2164" w:type="dxa"/>
            <w:noWrap w:val="0"/>
            <w:vAlign w:val="center"/>
          </w:tcPr>
          <w:p w14:paraId="6EC2A1AE">
            <w:pPr>
              <w:pageBreakBefore w:val="0"/>
              <w:kinsoku/>
              <w:overflowPunct/>
              <w:topLinePunct w:val="0"/>
              <w:bidi w:val="0"/>
              <w:spacing w:line="360" w:lineRule="auto"/>
              <w:ind w:right="248"/>
              <w:jc w:val="center"/>
              <w:rPr>
                <w:rFonts w:ascii="宋体" w:hAnsi="宋体" w:cs="宋体"/>
                <w:color w:val="auto"/>
                <w:szCs w:val="21"/>
                <w:highlight w:val="none"/>
              </w:rPr>
            </w:pPr>
          </w:p>
        </w:tc>
        <w:tc>
          <w:tcPr>
            <w:tcW w:w="2164" w:type="dxa"/>
            <w:noWrap w:val="0"/>
            <w:vAlign w:val="top"/>
          </w:tcPr>
          <w:p w14:paraId="02436FB8">
            <w:pPr>
              <w:pageBreakBefore w:val="0"/>
              <w:kinsoku/>
              <w:overflowPunct/>
              <w:topLinePunct w:val="0"/>
              <w:bidi w:val="0"/>
              <w:spacing w:line="360" w:lineRule="auto"/>
              <w:ind w:right="248"/>
              <w:jc w:val="center"/>
              <w:rPr>
                <w:rFonts w:ascii="宋体" w:hAnsi="宋体" w:cs="宋体"/>
                <w:color w:val="auto"/>
                <w:szCs w:val="21"/>
                <w:highlight w:val="none"/>
              </w:rPr>
            </w:pPr>
          </w:p>
        </w:tc>
      </w:tr>
      <w:tr w14:paraId="2D32EB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noWrap w:val="0"/>
            <w:vAlign w:val="center"/>
          </w:tcPr>
          <w:p w14:paraId="7666B039">
            <w:pPr>
              <w:pageBreakBefore w:val="0"/>
              <w:kinsoku/>
              <w:overflowPunct/>
              <w:topLinePunct w:val="0"/>
              <w:bidi w:val="0"/>
              <w:spacing w:line="360" w:lineRule="auto"/>
              <w:ind w:right="248"/>
              <w:jc w:val="center"/>
              <w:rPr>
                <w:rFonts w:ascii="宋体" w:hAnsi="宋体" w:cs="宋体"/>
                <w:color w:val="auto"/>
                <w:szCs w:val="21"/>
                <w:highlight w:val="none"/>
              </w:rPr>
            </w:pPr>
          </w:p>
        </w:tc>
        <w:tc>
          <w:tcPr>
            <w:tcW w:w="3986" w:type="dxa"/>
            <w:noWrap w:val="0"/>
            <w:vAlign w:val="center"/>
          </w:tcPr>
          <w:p w14:paraId="2C2F4CF3">
            <w:pPr>
              <w:pageBreakBefore w:val="0"/>
              <w:kinsoku/>
              <w:overflowPunct/>
              <w:topLinePunct w:val="0"/>
              <w:bidi w:val="0"/>
              <w:spacing w:line="360" w:lineRule="auto"/>
              <w:ind w:right="248"/>
              <w:jc w:val="center"/>
              <w:rPr>
                <w:rFonts w:ascii="宋体" w:hAnsi="宋体" w:cs="宋体"/>
                <w:color w:val="auto"/>
                <w:szCs w:val="21"/>
                <w:highlight w:val="none"/>
              </w:rPr>
            </w:pPr>
          </w:p>
        </w:tc>
        <w:tc>
          <w:tcPr>
            <w:tcW w:w="2164" w:type="dxa"/>
            <w:noWrap w:val="0"/>
            <w:vAlign w:val="center"/>
          </w:tcPr>
          <w:p w14:paraId="2CEE8E91">
            <w:pPr>
              <w:pageBreakBefore w:val="0"/>
              <w:kinsoku/>
              <w:overflowPunct/>
              <w:topLinePunct w:val="0"/>
              <w:bidi w:val="0"/>
              <w:spacing w:line="360" w:lineRule="auto"/>
              <w:ind w:right="248"/>
              <w:jc w:val="center"/>
              <w:rPr>
                <w:rFonts w:ascii="宋体" w:hAnsi="宋体" w:cs="宋体"/>
                <w:color w:val="auto"/>
                <w:szCs w:val="21"/>
                <w:highlight w:val="none"/>
              </w:rPr>
            </w:pPr>
          </w:p>
        </w:tc>
        <w:tc>
          <w:tcPr>
            <w:tcW w:w="2164" w:type="dxa"/>
            <w:noWrap w:val="0"/>
            <w:vAlign w:val="top"/>
          </w:tcPr>
          <w:p w14:paraId="108DF88B">
            <w:pPr>
              <w:pageBreakBefore w:val="0"/>
              <w:kinsoku/>
              <w:overflowPunct/>
              <w:topLinePunct w:val="0"/>
              <w:bidi w:val="0"/>
              <w:spacing w:line="360" w:lineRule="auto"/>
              <w:ind w:right="248"/>
              <w:jc w:val="center"/>
              <w:rPr>
                <w:rFonts w:ascii="宋体" w:hAnsi="宋体" w:cs="宋体"/>
                <w:color w:val="auto"/>
                <w:szCs w:val="21"/>
                <w:highlight w:val="none"/>
              </w:rPr>
            </w:pPr>
          </w:p>
        </w:tc>
      </w:tr>
      <w:tr w14:paraId="34E5A4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noWrap w:val="0"/>
            <w:vAlign w:val="center"/>
          </w:tcPr>
          <w:p w14:paraId="44B7BC62">
            <w:pPr>
              <w:pageBreakBefore w:val="0"/>
              <w:kinsoku/>
              <w:overflowPunct/>
              <w:topLinePunct w:val="0"/>
              <w:bidi w:val="0"/>
              <w:spacing w:line="360" w:lineRule="auto"/>
              <w:ind w:right="248"/>
              <w:jc w:val="center"/>
              <w:rPr>
                <w:rFonts w:ascii="宋体" w:hAnsi="宋体" w:cs="宋体"/>
                <w:color w:val="auto"/>
                <w:szCs w:val="21"/>
                <w:highlight w:val="none"/>
              </w:rPr>
            </w:pPr>
          </w:p>
        </w:tc>
        <w:tc>
          <w:tcPr>
            <w:tcW w:w="3986" w:type="dxa"/>
            <w:noWrap w:val="0"/>
            <w:vAlign w:val="center"/>
          </w:tcPr>
          <w:p w14:paraId="32A68114">
            <w:pPr>
              <w:pageBreakBefore w:val="0"/>
              <w:kinsoku/>
              <w:overflowPunct/>
              <w:topLinePunct w:val="0"/>
              <w:bidi w:val="0"/>
              <w:spacing w:line="360" w:lineRule="auto"/>
              <w:ind w:right="248"/>
              <w:jc w:val="center"/>
              <w:rPr>
                <w:rFonts w:ascii="宋体" w:hAnsi="宋体" w:cs="宋体"/>
                <w:color w:val="auto"/>
                <w:szCs w:val="21"/>
                <w:highlight w:val="none"/>
              </w:rPr>
            </w:pPr>
          </w:p>
        </w:tc>
        <w:tc>
          <w:tcPr>
            <w:tcW w:w="2164" w:type="dxa"/>
            <w:noWrap w:val="0"/>
            <w:vAlign w:val="center"/>
          </w:tcPr>
          <w:p w14:paraId="11F39596">
            <w:pPr>
              <w:pageBreakBefore w:val="0"/>
              <w:kinsoku/>
              <w:overflowPunct/>
              <w:topLinePunct w:val="0"/>
              <w:bidi w:val="0"/>
              <w:spacing w:line="360" w:lineRule="auto"/>
              <w:ind w:right="248"/>
              <w:jc w:val="center"/>
              <w:rPr>
                <w:rFonts w:ascii="宋体" w:hAnsi="宋体" w:cs="宋体"/>
                <w:color w:val="auto"/>
                <w:szCs w:val="21"/>
                <w:highlight w:val="none"/>
              </w:rPr>
            </w:pPr>
          </w:p>
        </w:tc>
        <w:tc>
          <w:tcPr>
            <w:tcW w:w="2164" w:type="dxa"/>
            <w:noWrap w:val="0"/>
            <w:vAlign w:val="top"/>
          </w:tcPr>
          <w:p w14:paraId="4C54C590">
            <w:pPr>
              <w:pageBreakBefore w:val="0"/>
              <w:kinsoku/>
              <w:overflowPunct/>
              <w:topLinePunct w:val="0"/>
              <w:bidi w:val="0"/>
              <w:spacing w:line="360" w:lineRule="auto"/>
              <w:ind w:right="248"/>
              <w:jc w:val="center"/>
              <w:rPr>
                <w:rFonts w:ascii="宋体" w:hAnsi="宋体" w:cs="宋体"/>
                <w:color w:val="auto"/>
                <w:szCs w:val="21"/>
                <w:highlight w:val="none"/>
              </w:rPr>
            </w:pPr>
          </w:p>
        </w:tc>
      </w:tr>
      <w:tr w14:paraId="0FA3EF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noWrap w:val="0"/>
            <w:vAlign w:val="center"/>
          </w:tcPr>
          <w:p w14:paraId="1DB29958">
            <w:pPr>
              <w:pageBreakBefore w:val="0"/>
              <w:kinsoku/>
              <w:overflowPunct/>
              <w:topLinePunct w:val="0"/>
              <w:bidi w:val="0"/>
              <w:spacing w:line="360" w:lineRule="auto"/>
              <w:ind w:right="248"/>
              <w:jc w:val="center"/>
              <w:rPr>
                <w:rFonts w:ascii="宋体" w:hAnsi="宋体" w:cs="宋体"/>
                <w:color w:val="auto"/>
                <w:szCs w:val="21"/>
                <w:highlight w:val="none"/>
              </w:rPr>
            </w:pPr>
          </w:p>
        </w:tc>
        <w:tc>
          <w:tcPr>
            <w:tcW w:w="3986" w:type="dxa"/>
            <w:noWrap w:val="0"/>
            <w:vAlign w:val="center"/>
          </w:tcPr>
          <w:p w14:paraId="0E409D8A">
            <w:pPr>
              <w:pageBreakBefore w:val="0"/>
              <w:kinsoku/>
              <w:overflowPunct/>
              <w:topLinePunct w:val="0"/>
              <w:bidi w:val="0"/>
              <w:spacing w:line="360" w:lineRule="auto"/>
              <w:ind w:right="248"/>
              <w:jc w:val="center"/>
              <w:rPr>
                <w:rFonts w:ascii="宋体" w:hAnsi="宋体" w:cs="宋体"/>
                <w:color w:val="auto"/>
                <w:szCs w:val="21"/>
                <w:highlight w:val="none"/>
              </w:rPr>
            </w:pPr>
          </w:p>
        </w:tc>
        <w:tc>
          <w:tcPr>
            <w:tcW w:w="2164" w:type="dxa"/>
            <w:noWrap w:val="0"/>
            <w:vAlign w:val="center"/>
          </w:tcPr>
          <w:p w14:paraId="1DCC6296">
            <w:pPr>
              <w:pageBreakBefore w:val="0"/>
              <w:kinsoku/>
              <w:overflowPunct/>
              <w:topLinePunct w:val="0"/>
              <w:bidi w:val="0"/>
              <w:spacing w:line="360" w:lineRule="auto"/>
              <w:ind w:right="248"/>
              <w:jc w:val="center"/>
              <w:rPr>
                <w:rFonts w:ascii="宋体" w:hAnsi="宋体" w:cs="宋体"/>
                <w:color w:val="auto"/>
                <w:szCs w:val="21"/>
                <w:highlight w:val="none"/>
              </w:rPr>
            </w:pPr>
          </w:p>
        </w:tc>
        <w:tc>
          <w:tcPr>
            <w:tcW w:w="2164" w:type="dxa"/>
            <w:noWrap w:val="0"/>
            <w:vAlign w:val="top"/>
          </w:tcPr>
          <w:p w14:paraId="2FC09C8B">
            <w:pPr>
              <w:pageBreakBefore w:val="0"/>
              <w:kinsoku/>
              <w:overflowPunct/>
              <w:topLinePunct w:val="0"/>
              <w:bidi w:val="0"/>
              <w:spacing w:line="360" w:lineRule="auto"/>
              <w:ind w:right="248"/>
              <w:jc w:val="center"/>
              <w:rPr>
                <w:rFonts w:ascii="宋体" w:hAnsi="宋体" w:cs="宋体"/>
                <w:color w:val="auto"/>
                <w:szCs w:val="21"/>
                <w:highlight w:val="none"/>
              </w:rPr>
            </w:pPr>
          </w:p>
        </w:tc>
      </w:tr>
    </w:tbl>
    <w:p w14:paraId="504D98AA">
      <w:pPr>
        <w:pageBreakBefore w:val="0"/>
        <w:kinsoku/>
        <w:overflowPunct/>
        <w:topLinePunct w:val="0"/>
        <w:bidi w:val="0"/>
        <w:spacing w:line="360" w:lineRule="auto"/>
        <w:ind w:right="248" w:firstLine="420" w:firstLineChars="200"/>
        <w:rPr>
          <w:rFonts w:ascii="宋体" w:hAnsi="宋体" w:cs="宋体"/>
          <w:color w:val="auto"/>
          <w:szCs w:val="21"/>
          <w:highlight w:val="none"/>
        </w:rPr>
      </w:pPr>
      <w:bookmarkStart w:id="180" w:name="_Toc221951205"/>
      <w:r>
        <w:rPr>
          <w:rFonts w:hint="eastAsia" w:ascii="宋体" w:hAnsi="宋体" w:cs="宋体"/>
          <w:color w:val="auto"/>
          <w:szCs w:val="21"/>
          <w:highlight w:val="none"/>
        </w:rPr>
        <w:t>（2）全部逾期完工违约金的总限额为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20%</w:t>
      </w:r>
      <w:r>
        <w:rPr>
          <w:rFonts w:hint="eastAsia" w:ascii="宋体" w:hAnsi="宋体" w:cs="宋体"/>
          <w:color w:val="auto"/>
          <w:szCs w:val="21"/>
          <w:highlight w:val="none"/>
          <w:u w:val="single"/>
        </w:rPr>
        <w:t xml:space="preserve">（不超过合同总价的30%） </w:t>
      </w:r>
      <w:r>
        <w:rPr>
          <w:rFonts w:hint="eastAsia" w:ascii="宋体" w:hAnsi="宋体" w:cs="宋体"/>
          <w:color w:val="auto"/>
          <w:szCs w:val="21"/>
          <w:highlight w:val="none"/>
        </w:rPr>
        <w:t>。</w:t>
      </w:r>
      <w:bookmarkEnd w:id="180"/>
    </w:p>
    <w:p w14:paraId="05576495">
      <w:pPr>
        <w:pageBreakBefore w:val="0"/>
        <w:kinsoku/>
        <w:overflowPunct/>
        <w:topLinePunct w:val="0"/>
        <w:bidi w:val="0"/>
        <w:spacing w:line="360" w:lineRule="auto"/>
        <w:ind w:right="248"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kern w:val="0"/>
          <w:szCs w:val="21"/>
          <w:highlight w:val="none"/>
        </w:rPr>
        <w:t>由于承包人原因，未能按合同进度计划完成工作，或监理人认为承包人工作进度不能满足合同工期要求的，承包人应采取措施加快进度，并承担加快进度所增加的费用。由于承包人原因造成工期延误，承包人应支付逾期竣（完）工违约金。承包人支付逾期竣（完）工违约金，不免除承包人完成工作及修补缺陷的义务。</w:t>
      </w:r>
    </w:p>
    <w:p w14:paraId="73E27095">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bookmarkStart w:id="181" w:name="_Toc33183742"/>
      <w:r>
        <w:rPr>
          <w:rFonts w:hint="eastAsia" w:ascii="宋体" w:hAnsi="宋体" w:cs="宋体"/>
          <w:color w:val="auto"/>
          <w:szCs w:val="21"/>
          <w:highlight w:val="none"/>
        </w:rPr>
        <w:t>11.6工期提前</w:t>
      </w:r>
      <w:bookmarkEnd w:id="181"/>
    </w:p>
    <w:p w14:paraId="04259F11">
      <w:pPr>
        <w:pStyle w:val="4"/>
        <w:pageBreakBefore w:val="0"/>
        <w:kinsoku/>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本款补充11.6.1、11.6.2项如下：</w:t>
      </w:r>
    </w:p>
    <w:p w14:paraId="55E9D551">
      <w:pPr>
        <w:pStyle w:val="4"/>
        <w:pageBreakBefore w:val="0"/>
        <w:kinsoku/>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11.6.1工期提前的资金约定</w:t>
      </w:r>
    </w:p>
    <w:p w14:paraId="646DE02D">
      <w:pPr>
        <w:pStyle w:val="4"/>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（1）当项目需要提前完工或项目工期按照第</w:t>
      </w:r>
      <w:r>
        <w:rPr>
          <w:rFonts w:hint="eastAsia" w:ascii="宋体" w:hAnsi="宋体" w:cs="宋体"/>
          <w:color w:val="auto"/>
          <w:kern w:val="0"/>
          <w:szCs w:val="21"/>
          <w:highlight w:val="none"/>
          <w:u w:val="single"/>
        </w:rPr>
        <w:t>11.3款〔发包人的工期延误〕</w:t>
      </w:r>
      <w:r>
        <w:rPr>
          <w:rFonts w:hint="eastAsia" w:ascii="宋体" w:hAnsi="宋体" w:cs="宋体"/>
          <w:color w:val="auto"/>
          <w:kern w:val="0"/>
          <w:szCs w:val="21"/>
          <w:highlight w:val="none"/>
        </w:rPr>
        <w:t>约定顺延后需要提前完工的，发包人应通过监理人向承包人下达提前完工指示。承包人同意提前完工的，应向发包人和监理人提交提前完工方案，提前完工方案经监理人和发包人审批后生效。由此增加的费用按照第</w:t>
      </w:r>
      <w:r>
        <w:rPr>
          <w:rFonts w:hint="eastAsia" w:ascii="宋体" w:hAnsi="宋体" w:cs="宋体"/>
          <w:color w:val="auto"/>
          <w:kern w:val="0"/>
          <w:szCs w:val="21"/>
          <w:highlight w:val="none"/>
          <w:u w:val="single"/>
        </w:rPr>
        <w:t>15.4款〔变更的估价原则〕</w:t>
      </w:r>
      <w:r>
        <w:rPr>
          <w:rFonts w:hint="eastAsia" w:ascii="宋体" w:hAnsi="宋体" w:cs="宋体"/>
          <w:color w:val="auto"/>
          <w:kern w:val="0"/>
          <w:szCs w:val="21"/>
          <w:highlight w:val="none"/>
        </w:rPr>
        <w:t>约定执行。</w:t>
      </w:r>
    </w:p>
    <w:p w14:paraId="471FAB35">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（2）发包人不得随意要求承包人提前完工，承包人也不得随意提出提前完工的建议。如遇特殊情况，确需将工期提前的，发包人和承包人必须采取有效措施，确保工程质量。</w:t>
      </w:r>
    </w:p>
    <w:p w14:paraId="46F9BFEE">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（3）如果承包人提前完工，发包人支付奖金的计算方法在合同条款数据表中约定，时间自完工验收证书中写明的实际完工日期起至预定的完工日期止，按天计算。但奖金最高限额不超过项目11.6.2条的限额。</w:t>
      </w:r>
    </w:p>
    <w:p w14:paraId="31E4A772">
      <w:pPr>
        <w:pageBreakBefore w:val="0"/>
        <w:kinsoku/>
        <w:overflowPunct/>
        <w:topLinePunct w:val="0"/>
        <w:bidi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11.6.2 提前完工的奖励：  /  。</w:t>
      </w:r>
    </w:p>
    <w:p w14:paraId="39BD6F56">
      <w:pPr>
        <w:pageBreakBefore w:val="0"/>
        <w:kinsoku/>
        <w:overflowPunct/>
        <w:topLinePunct w:val="0"/>
        <w:bidi w:val="0"/>
        <w:spacing w:line="360" w:lineRule="auto"/>
        <w:ind w:firstLine="422" w:firstLineChars="200"/>
        <w:jc w:val="left"/>
        <w:rPr>
          <w:rFonts w:hint="eastAsia" w:ascii="宋体" w:hAnsi="宋体" w:cs="宋体"/>
          <w:b/>
          <w:bCs/>
          <w:color w:val="auto"/>
          <w:kern w:val="0"/>
          <w:szCs w:val="21"/>
          <w:highlight w:val="none"/>
        </w:rPr>
      </w:pPr>
      <w:bookmarkStart w:id="182" w:name="_Toc222033888"/>
      <w:bookmarkStart w:id="183" w:name="_Toc221951206"/>
      <w:bookmarkStart w:id="184" w:name="_Toc59810415"/>
      <w:bookmarkStart w:id="185" w:name="_Toc33183743"/>
      <w:bookmarkStart w:id="186" w:name="_Toc222031039"/>
      <w:bookmarkStart w:id="187" w:name="_Toc136350395"/>
      <w:bookmarkStart w:id="188" w:name="_Toc222032706"/>
      <w:bookmarkStart w:id="189" w:name="_Toc229305395"/>
      <w:bookmarkStart w:id="190" w:name="_Toc22455"/>
      <w:bookmarkStart w:id="191" w:name="_Toc222029537"/>
      <w:r>
        <w:rPr>
          <w:rFonts w:hint="eastAsia" w:ascii="宋体" w:hAnsi="宋体" w:cs="宋体"/>
          <w:b/>
          <w:bCs/>
          <w:color w:val="auto"/>
          <w:kern w:val="0"/>
          <w:szCs w:val="21"/>
          <w:highlight w:val="none"/>
        </w:rPr>
        <w:t>12.暂停施工</w:t>
      </w:r>
      <w:bookmarkEnd w:id="182"/>
      <w:bookmarkEnd w:id="183"/>
      <w:bookmarkEnd w:id="184"/>
      <w:bookmarkEnd w:id="185"/>
      <w:bookmarkEnd w:id="186"/>
      <w:bookmarkEnd w:id="187"/>
      <w:bookmarkEnd w:id="188"/>
      <w:bookmarkEnd w:id="189"/>
      <w:bookmarkEnd w:id="190"/>
      <w:bookmarkEnd w:id="191"/>
    </w:p>
    <w:p w14:paraId="0102E628">
      <w:pPr>
        <w:pageBreakBefore w:val="0"/>
        <w:kinsoku/>
        <w:overflowPunct/>
        <w:topLinePunct w:val="0"/>
        <w:bidi w:val="0"/>
        <w:spacing w:line="360" w:lineRule="auto"/>
        <w:ind w:firstLine="420" w:firstLineChars="200"/>
        <w:jc w:val="left"/>
        <w:rPr>
          <w:rFonts w:hint="eastAsia" w:ascii="宋体" w:hAnsi="宋体" w:cs="宋体"/>
          <w:color w:val="auto"/>
          <w:kern w:val="0"/>
          <w:szCs w:val="21"/>
          <w:highlight w:val="none"/>
        </w:rPr>
      </w:pPr>
      <w:bookmarkStart w:id="192" w:name="_Toc33183744"/>
      <w:bookmarkStart w:id="193" w:name="_Toc221951207"/>
      <w:r>
        <w:rPr>
          <w:rFonts w:hint="eastAsia" w:ascii="宋体" w:hAnsi="宋体" w:cs="宋体"/>
          <w:color w:val="auto"/>
          <w:kern w:val="0"/>
          <w:szCs w:val="21"/>
          <w:highlight w:val="none"/>
        </w:rPr>
        <w:t>12.1  承包人暂停施工的责任</w:t>
      </w:r>
      <w:bookmarkEnd w:id="192"/>
      <w:bookmarkEnd w:id="193"/>
    </w:p>
    <w:p w14:paraId="35353C7B">
      <w:pPr>
        <w:pageBreakBefore w:val="0"/>
        <w:kinsoku/>
        <w:overflowPunct/>
        <w:topLinePunct w:val="0"/>
        <w:bidi w:val="0"/>
        <w:spacing w:line="360" w:lineRule="auto"/>
        <w:ind w:right="248" w:firstLine="420" w:firstLineChars="200"/>
        <w:rPr>
          <w:rFonts w:ascii="宋体" w:hAnsi="宋体" w:cs="宋体"/>
          <w:color w:val="auto"/>
          <w:szCs w:val="21"/>
          <w:highlight w:val="none"/>
        </w:rPr>
      </w:pPr>
      <w:bookmarkStart w:id="194" w:name="_Toc221951209"/>
      <w:r>
        <w:rPr>
          <w:rFonts w:hint="eastAsia" w:ascii="宋体" w:hAnsi="宋体" w:cs="宋体"/>
          <w:color w:val="auto"/>
          <w:szCs w:val="21"/>
          <w:highlight w:val="none"/>
        </w:rPr>
        <w:t xml:space="preserve"> 承包人承担暂停施工责任的其它情形：</w:t>
      </w:r>
      <w:r>
        <w:rPr>
          <w:rFonts w:hint="eastAsia" w:ascii="宋体" w:hAnsi="宋体" w:cs="宋体"/>
          <w:color w:val="auto"/>
          <w:szCs w:val="21"/>
          <w:highlight w:val="none"/>
          <w:u w:val="single"/>
        </w:rPr>
        <w:t xml:space="preserve"> 因承包人原因引起的暂停施工，承包人应承担由此增加的费用和（或）延误的工期，且承包人在收到监理人复工指示后84天内仍未复工的，视为第22.1.1项〔承包人违约的情形〕第（7）目约定的承包人无法继续履行合同的情形。     </w:t>
      </w:r>
      <w:r>
        <w:rPr>
          <w:rFonts w:hint="eastAsia" w:ascii="宋体" w:hAnsi="宋体" w:cs="宋体"/>
          <w:color w:val="auto"/>
          <w:szCs w:val="21"/>
          <w:highlight w:val="none"/>
        </w:rPr>
        <w:t xml:space="preserve"> </w:t>
      </w:r>
      <w:bookmarkEnd w:id="194"/>
    </w:p>
    <w:p w14:paraId="28CD0DD5">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bookmarkStart w:id="195" w:name="_Toc33183745"/>
      <w:r>
        <w:rPr>
          <w:rFonts w:hint="eastAsia" w:ascii="宋体" w:hAnsi="宋体" w:cs="宋体"/>
          <w:color w:val="auto"/>
          <w:szCs w:val="21"/>
          <w:highlight w:val="none"/>
        </w:rPr>
        <w:t>12.2  发包人暂停施工的责任</w:t>
      </w:r>
      <w:bookmarkEnd w:id="195"/>
    </w:p>
    <w:p w14:paraId="5C03B726">
      <w:pPr>
        <w:keepNext/>
        <w:keepLines/>
        <w:pageBreakBefore w:val="0"/>
        <w:kinsoku/>
        <w:overflowPunct/>
        <w:topLinePunct w:val="0"/>
        <w:bidi w:val="0"/>
        <w:snapToGrid w:val="0"/>
        <w:spacing w:line="360" w:lineRule="auto"/>
        <w:ind w:firstLine="420" w:firstLineChars="200"/>
        <w:outlineLvl w:val="3"/>
        <w:rPr>
          <w:rFonts w:hint="default" w:ascii="宋体" w:hAnsi="宋体" w:cs="宋体"/>
          <w:color w:val="auto"/>
          <w:szCs w:val="21"/>
          <w:highlight w:val="none"/>
          <w:lang w:val="en-US" w:eastAsia="zh-CN"/>
        </w:rPr>
      </w:pPr>
      <w:r>
        <w:rPr>
          <w:rFonts w:hint="eastAsia" w:ascii="宋体" w:hAnsi="宋体" w:cs="宋体"/>
          <w:color w:val="auto"/>
          <w:szCs w:val="21"/>
          <w:highlight w:val="none"/>
        </w:rPr>
        <w:t xml:space="preserve">发包人承担暂停施工责任的其它情形： </w:t>
      </w:r>
      <w:r>
        <w:rPr>
          <w:rFonts w:hint="eastAsia" w:ascii="宋体" w:hAnsi="宋体" w:cs="宋体"/>
          <w:color w:val="auto"/>
          <w:szCs w:val="21"/>
          <w:highlight w:val="none"/>
          <w:lang w:val="en-US" w:eastAsia="zh-CN"/>
        </w:rPr>
        <w:t xml:space="preserve"> /   </w:t>
      </w:r>
    </w:p>
    <w:p w14:paraId="36DE050F">
      <w:pPr>
        <w:keepNext/>
        <w:keepLines/>
        <w:pageBreakBefore w:val="0"/>
        <w:kinsoku/>
        <w:overflowPunct/>
        <w:topLinePunct w:val="0"/>
        <w:bidi w:val="0"/>
        <w:snapToGrid w:val="0"/>
        <w:spacing w:line="360" w:lineRule="auto"/>
        <w:ind w:firstLine="420" w:firstLineChars="200"/>
        <w:outlineLvl w:val="3"/>
        <w:rPr>
          <w:rFonts w:hint="eastAsia" w:ascii="宋体" w:hAnsi="宋体" w:cs="宋体"/>
          <w:color w:val="auto"/>
          <w:szCs w:val="21"/>
          <w:highlight w:val="none"/>
        </w:rPr>
      </w:pPr>
      <w:r>
        <w:rPr>
          <w:rFonts w:hint="eastAsia" w:ascii="宋体" w:hAnsi="宋体" w:cs="宋体"/>
          <w:color w:val="auto"/>
          <w:szCs w:val="21"/>
          <w:highlight w:val="none"/>
        </w:rPr>
        <w:t>本条补充12.6、12.7款如下：</w:t>
      </w:r>
    </w:p>
    <w:p w14:paraId="708A3EF4">
      <w:pPr>
        <w:keepNext/>
        <w:keepLines/>
        <w:pageBreakBefore w:val="0"/>
        <w:kinsoku/>
        <w:overflowPunct/>
        <w:topLinePunct w:val="0"/>
        <w:bidi w:val="0"/>
        <w:snapToGrid w:val="0"/>
        <w:spacing w:line="360" w:lineRule="auto"/>
        <w:ind w:firstLine="420" w:firstLineChars="200"/>
        <w:outlineLvl w:val="3"/>
        <w:rPr>
          <w:rFonts w:hint="eastAsia" w:ascii="宋体" w:hAnsi="宋体" w:cs="宋体"/>
          <w:color w:val="auto"/>
          <w:szCs w:val="21"/>
          <w:highlight w:val="none"/>
        </w:rPr>
      </w:pPr>
      <w:r>
        <w:rPr>
          <w:rFonts w:hint="eastAsia" w:ascii="宋体" w:hAnsi="宋体" w:cs="宋体"/>
          <w:color w:val="auto"/>
          <w:szCs w:val="21"/>
          <w:highlight w:val="none"/>
        </w:rPr>
        <w:t>12.6暂停施工期间的工程照管</w:t>
      </w:r>
    </w:p>
    <w:p w14:paraId="555603A5">
      <w:pPr>
        <w:keepNext/>
        <w:keepLines/>
        <w:pageBreakBefore w:val="0"/>
        <w:kinsoku/>
        <w:overflowPunct/>
        <w:topLinePunct w:val="0"/>
        <w:bidi w:val="0"/>
        <w:snapToGrid w:val="0"/>
        <w:spacing w:line="360" w:lineRule="auto"/>
        <w:ind w:firstLine="420" w:firstLineChars="200"/>
        <w:outlineLvl w:val="3"/>
        <w:rPr>
          <w:rFonts w:hint="eastAsia" w:ascii="宋体" w:hAnsi="宋体" w:cs="宋体"/>
          <w:color w:val="auto"/>
          <w:szCs w:val="21"/>
          <w:highlight w:val="none"/>
        </w:rPr>
      </w:pPr>
      <w:r>
        <w:rPr>
          <w:rFonts w:hint="eastAsia" w:ascii="宋体" w:hAnsi="宋体" w:cs="宋体"/>
          <w:color w:val="auto"/>
          <w:szCs w:val="21"/>
          <w:highlight w:val="none"/>
        </w:rPr>
        <w:t>暂停施工期间，承包人应负责妥善照管工程并提供安全保障，由此增加的费用由责任方承担。</w:t>
      </w:r>
    </w:p>
    <w:p w14:paraId="47C14337">
      <w:pPr>
        <w:keepNext/>
        <w:keepLines/>
        <w:pageBreakBefore w:val="0"/>
        <w:kinsoku/>
        <w:overflowPunct/>
        <w:topLinePunct w:val="0"/>
        <w:bidi w:val="0"/>
        <w:snapToGrid w:val="0"/>
        <w:spacing w:line="360" w:lineRule="auto"/>
        <w:ind w:firstLine="420" w:firstLineChars="200"/>
        <w:outlineLvl w:val="3"/>
        <w:rPr>
          <w:rFonts w:hint="eastAsia" w:ascii="宋体" w:hAnsi="宋体" w:cs="宋体"/>
          <w:color w:val="auto"/>
          <w:szCs w:val="21"/>
          <w:highlight w:val="none"/>
        </w:rPr>
      </w:pPr>
      <w:r>
        <w:rPr>
          <w:rFonts w:hint="eastAsia" w:ascii="宋体" w:hAnsi="宋体" w:cs="宋体"/>
          <w:color w:val="auto"/>
          <w:szCs w:val="21"/>
          <w:highlight w:val="none"/>
        </w:rPr>
        <w:t>12.7 暂停施工的措施</w:t>
      </w:r>
    </w:p>
    <w:p w14:paraId="10D23D06">
      <w:pPr>
        <w:keepNext/>
        <w:keepLines/>
        <w:pageBreakBefore w:val="0"/>
        <w:kinsoku/>
        <w:overflowPunct/>
        <w:topLinePunct w:val="0"/>
        <w:bidi w:val="0"/>
        <w:snapToGrid w:val="0"/>
        <w:spacing w:line="360" w:lineRule="auto"/>
        <w:ind w:firstLine="420" w:firstLineChars="200"/>
        <w:outlineLvl w:val="3"/>
        <w:rPr>
          <w:rFonts w:hint="eastAsia" w:ascii="宋体" w:hAnsi="宋体" w:cs="宋体"/>
          <w:color w:val="auto"/>
          <w:szCs w:val="21"/>
          <w:highlight w:val="none"/>
        </w:rPr>
      </w:pPr>
      <w:r>
        <w:rPr>
          <w:rFonts w:hint="eastAsia" w:ascii="宋体" w:hAnsi="宋体" w:cs="宋体"/>
          <w:color w:val="auto"/>
          <w:szCs w:val="21"/>
          <w:highlight w:val="none"/>
        </w:rPr>
        <w:t>暂停施工期间，发包人和承包人均应采取必要的措施确保工程质量及安全，防止因暂停施工扩大损失。</w:t>
      </w:r>
    </w:p>
    <w:p w14:paraId="57A4C259">
      <w:pPr>
        <w:keepNext/>
        <w:keepLines/>
        <w:pageBreakBefore w:val="0"/>
        <w:kinsoku/>
        <w:overflowPunct/>
        <w:topLinePunct w:val="0"/>
        <w:bidi w:val="0"/>
        <w:snapToGrid w:val="0"/>
        <w:spacing w:line="360" w:lineRule="auto"/>
        <w:ind w:firstLine="420" w:firstLineChars="200"/>
        <w:outlineLvl w:val="3"/>
        <w:rPr>
          <w:rFonts w:hint="eastAsia" w:ascii="宋体" w:hAnsi="宋体" w:cs="宋体"/>
          <w:color w:val="auto"/>
          <w:szCs w:val="21"/>
          <w:highlight w:val="none"/>
        </w:rPr>
      </w:pPr>
      <w:bookmarkStart w:id="196" w:name="_Toc59810416"/>
      <w:bookmarkStart w:id="197" w:name="_Toc12330"/>
      <w:bookmarkStart w:id="198" w:name="_Toc33183746"/>
      <w:bookmarkStart w:id="199" w:name="_Toc136350396"/>
      <w:r>
        <w:rPr>
          <w:rFonts w:hint="eastAsia" w:ascii="宋体" w:hAnsi="宋体" w:cs="宋体"/>
          <w:color w:val="auto"/>
          <w:szCs w:val="21"/>
          <w:highlight w:val="none"/>
        </w:rPr>
        <w:t>13.工程质量</w:t>
      </w:r>
      <w:bookmarkEnd w:id="196"/>
      <w:bookmarkEnd w:id="197"/>
      <w:bookmarkEnd w:id="198"/>
      <w:bookmarkEnd w:id="199"/>
    </w:p>
    <w:p w14:paraId="7536D0AC">
      <w:pPr>
        <w:pageBreakBefore w:val="0"/>
        <w:kinsoku/>
        <w:overflowPunct/>
        <w:topLinePunct w:val="0"/>
        <w:bidi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13.1 工程质量要求</w:t>
      </w:r>
    </w:p>
    <w:p w14:paraId="239C4F57">
      <w:pPr>
        <w:pageBreakBefore w:val="0"/>
        <w:kinsoku/>
        <w:overflowPunct/>
        <w:topLinePunct w:val="0"/>
        <w:bidi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13.1.1  工程质量符合国家有关施工质量验收规范和标准要求，达到合格</w:t>
      </w:r>
      <w:r>
        <w:rPr>
          <w:rFonts w:hint="eastAsia" w:ascii="宋体" w:hAnsi="宋体" w:cs="宋体"/>
          <w:color w:val="auto"/>
          <w:kern w:val="0"/>
          <w:szCs w:val="21"/>
          <w:highlight w:val="none"/>
          <w:lang w:eastAsia="zh-CN"/>
        </w:rPr>
        <w:t>标准</w:t>
      </w:r>
      <w:r>
        <w:rPr>
          <w:rFonts w:hint="eastAsia" w:ascii="宋体" w:hAnsi="宋体" w:cs="宋体"/>
          <w:color w:val="auto"/>
          <w:kern w:val="0"/>
          <w:szCs w:val="21"/>
          <w:highlight w:val="none"/>
        </w:rPr>
        <w:t>。</w:t>
      </w:r>
    </w:p>
    <w:p w14:paraId="210D78E5">
      <w:pPr>
        <w:pageBreakBefore w:val="0"/>
        <w:kinsoku/>
        <w:overflowPunct/>
        <w:topLinePunct w:val="0"/>
        <w:bidi w:val="0"/>
        <w:spacing w:line="360" w:lineRule="auto"/>
        <w:ind w:firstLine="420" w:firstLineChars="200"/>
        <w:jc w:val="left"/>
        <w:rPr>
          <w:rFonts w:hint="eastAsia" w:ascii="宋体" w:hAnsi="宋体" w:cs="宋体"/>
          <w:color w:val="auto"/>
          <w:kern w:val="0"/>
          <w:szCs w:val="21"/>
          <w:highlight w:val="none"/>
        </w:rPr>
      </w:pPr>
      <w:bookmarkStart w:id="200" w:name="_Toc33183747"/>
      <w:r>
        <w:rPr>
          <w:rFonts w:hint="eastAsia" w:ascii="宋体" w:hAnsi="宋体" w:cs="宋体"/>
          <w:color w:val="auto"/>
          <w:kern w:val="0"/>
          <w:szCs w:val="21"/>
          <w:highlight w:val="none"/>
        </w:rPr>
        <w:t>13.6 清除不合格工程</w:t>
      </w:r>
      <w:bookmarkEnd w:id="200"/>
    </w:p>
    <w:p w14:paraId="34865C46">
      <w:pPr>
        <w:pageBreakBefore w:val="0"/>
        <w:kinsoku/>
        <w:overflowPunct/>
        <w:topLinePunct w:val="0"/>
        <w:bidi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本款补充13.6.3项如下：</w:t>
      </w:r>
    </w:p>
    <w:p w14:paraId="53084584">
      <w:pPr>
        <w:pageBreakBefore w:val="0"/>
        <w:kinsoku/>
        <w:overflowPunct/>
        <w:topLinePunct w:val="0"/>
        <w:bidi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13.6.3</w:t>
      </w:r>
      <w:r>
        <w:rPr>
          <w:rFonts w:hint="eastAsia" w:ascii="宋体" w:hAnsi="宋体" w:cs="宋体"/>
          <w:color w:val="auto"/>
          <w:kern w:val="0"/>
          <w:szCs w:val="21"/>
          <w:highlight w:val="none"/>
          <w:u w:val="single"/>
        </w:rPr>
        <w:t>按《水利水电工程单元工程施工质量验收评定标准》（SL 631～639）及其它现行有效的质量验收评定标准要求执行。</w:t>
      </w:r>
      <w:r>
        <w:rPr>
          <w:rFonts w:hint="eastAsia" w:ascii="宋体" w:hAnsi="宋体" w:cs="宋体"/>
          <w:color w:val="auto"/>
          <w:kern w:val="0"/>
          <w:szCs w:val="21"/>
          <w:highlight w:val="none"/>
        </w:rPr>
        <w:t xml:space="preserve"> 质量事故处理的约定：</w:t>
      </w:r>
    </w:p>
    <w:p w14:paraId="5BA175E2">
      <w:pPr>
        <w:pageBreakBefore w:val="0"/>
        <w:numPr>
          <w:ilvl w:val="0"/>
          <w:numId w:val="2"/>
        </w:numPr>
        <w:kinsoku/>
        <w:overflowPunct/>
        <w:topLinePunct w:val="0"/>
        <w:bidi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合同履行过程中，发生工程质量事故的调查处理按照国家及重庆市现行规定处理。</w:t>
      </w:r>
    </w:p>
    <w:p w14:paraId="1AE586CF">
      <w:pPr>
        <w:pageBreakBefore w:val="0"/>
        <w:kinsoku/>
        <w:overflowPunct/>
        <w:topLinePunct w:val="0"/>
        <w:bidi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p w14:paraId="3649F98E">
      <w:pPr>
        <w:pageBreakBefore w:val="0"/>
        <w:kinsoku/>
        <w:overflowPunct/>
        <w:topLinePunct w:val="0"/>
        <w:bidi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3）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29A7B904">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bookmarkStart w:id="201" w:name="_Toc33183748"/>
      <w:r>
        <w:rPr>
          <w:rFonts w:hint="eastAsia" w:ascii="宋体" w:hAnsi="宋体" w:cs="宋体"/>
          <w:color w:val="auto"/>
          <w:szCs w:val="21"/>
          <w:highlight w:val="none"/>
        </w:rPr>
        <w:t>13.7质量</w:t>
      </w:r>
      <w:r>
        <w:rPr>
          <w:rFonts w:hint="eastAsia" w:ascii="宋体" w:hAnsi="宋体" w:cs="宋体"/>
          <w:color w:val="auto"/>
          <w:kern w:val="0"/>
          <w:szCs w:val="21"/>
          <w:highlight w:val="none"/>
        </w:rPr>
        <w:t>评定</w:t>
      </w:r>
      <w:bookmarkEnd w:id="201"/>
    </w:p>
    <w:p w14:paraId="584428BF">
      <w:pPr>
        <w:pageBreakBefore w:val="0"/>
        <w:kinsoku/>
        <w:overflowPunct/>
        <w:topLinePunct w:val="0"/>
        <w:bidi w:val="0"/>
        <w:adjustRightInd w:val="0"/>
        <w:snapToGrid w:val="0"/>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szCs w:val="21"/>
          <w:highlight w:val="none"/>
        </w:rPr>
        <w:t>13.7.4重要隐蔽单元工程和关键部位单元工程质量评定的约定：</w:t>
      </w:r>
      <w:r>
        <w:rPr>
          <w:rFonts w:hint="eastAsia" w:ascii="宋体" w:hAnsi="宋体" w:cs="宋体"/>
          <w:color w:val="auto"/>
          <w:kern w:val="0"/>
          <w:szCs w:val="21"/>
          <w:highlight w:val="none"/>
          <w:u w:val="single"/>
        </w:rPr>
        <w:t>单元工程质量符合《水利水电工程单元工程施工质量验收评定标准》（SL 631～639）及其它现行有效的质量验收评定标准要求。</w:t>
      </w:r>
    </w:p>
    <w:p w14:paraId="6EFB7C19">
      <w:pPr>
        <w:pageBreakBefore w:val="0"/>
        <w:kinsoku/>
        <w:overflowPunct/>
        <w:topLinePunct w:val="0"/>
        <w:bidi w:val="0"/>
        <w:spacing w:line="360" w:lineRule="auto"/>
        <w:ind w:right="248" w:firstLine="480"/>
        <w:rPr>
          <w:rFonts w:ascii="宋体" w:hAnsi="宋体" w:cs="宋体"/>
          <w:color w:val="auto"/>
          <w:szCs w:val="21"/>
          <w:highlight w:val="none"/>
        </w:rPr>
      </w:pPr>
      <w:r>
        <w:rPr>
          <w:rFonts w:hint="eastAsia" w:ascii="宋体" w:hAnsi="宋体" w:cs="宋体"/>
          <w:color w:val="auto"/>
          <w:szCs w:val="21"/>
          <w:highlight w:val="none"/>
        </w:rPr>
        <w:t>13.7.7工程合格标准为：</w:t>
      </w:r>
      <w:r>
        <w:rPr>
          <w:rFonts w:hint="eastAsia" w:ascii="宋体" w:hAnsi="宋体" w:cs="宋体"/>
          <w:color w:val="auto"/>
          <w:szCs w:val="21"/>
          <w:highlight w:val="none"/>
          <w:u w:val="single"/>
        </w:rPr>
        <w:t xml:space="preserve"> 按照行业主管部门验收结果 </w:t>
      </w:r>
      <w:r>
        <w:rPr>
          <w:rFonts w:hint="eastAsia" w:ascii="宋体" w:hAnsi="宋体" w:cs="宋体"/>
          <w:color w:val="auto"/>
          <w:szCs w:val="21"/>
          <w:highlight w:val="none"/>
        </w:rPr>
        <w:t>；优良标准为：</w:t>
      </w:r>
      <w:r>
        <w:rPr>
          <w:rFonts w:hint="eastAsia" w:ascii="宋体" w:hAnsi="宋体" w:cs="宋体"/>
          <w:color w:val="auto"/>
          <w:szCs w:val="21"/>
          <w:highlight w:val="none"/>
          <w:u w:val="single"/>
        </w:rPr>
        <w:t xml:space="preserve"> 按照行业主管部门验收结果  </w:t>
      </w:r>
      <w:r>
        <w:rPr>
          <w:rFonts w:hint="eastAsia" w:ascii="宋体" w:hAnsi="宋体" w:cs="宋体"/>
          <w:color w:val="auto"/>
          <w:szCs w:val="21"/>
          <w:highlight w:val="none"/>
        </w:rPr>
        <w:t>。达到优良的奖金为：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75B246A9">
      <w:pPr>
        <w:keepNext/>
        <w:keepLines/>
        <w:pageBreakBefore w:val="0"/>
        <w:widowControl/>
        <w:kinsoku/>
        <w:wordWrap/>
        <w:overflowPunct/>
        <w:topLinePunct w:val="0"/>
        <w:autoSpaceDE/>
        <w:autoSpaceDN/>
        <w:bidi w:val="0"/>
        <w:snapToGrid w:val="0"/>
        <w:spacing w:line="360" w:lineRule="auto"/>
        <w:ind w:firstLine="420" w:firstLineChars="200"/>
        <w:textAlignment w:val="baseline"/>
        <w:outlineLvl w:val="3"/>
        <w:rPr>
          <w:rFonts w:ascii="宋体" w:hAnsi="宋体" w:cs="宋体"/>
          <w:color w:val="auto"/>
          <w:szCs w:val="21"/>
          <w:highlight w:val="none"/>
        </w:rPr>
      </w:pPr>
      <w:bookmarkStart w:id="202" w:name="_Toc33183749"/>
      <w:r>
        <w:rPr>
          <w:rFonts w:hint="eastAsia" w:ascii="宋体" w:hAnsi="宋体" w:cs="宋体"/>
          <w:color w:val="auto"/>
          <w:szCs w:val="21"/>
          <w:highlight w:val="none"/>
        </w:rPr>
        <w:t xml:space="preserve">13.8  </w:t>
      </w:r>
      <w:r>
        <w:rPr>
          <w:rFonts w:hint="eastAsia" w:ascii="宋体" w:hAnsi="宋体" w:cs="宋体"/>
          <w:color w:val="auto"/>
          <w:kern w:val="0"/>
          <w:szCs w:val="21"/>
          <w:highlight w:val="none"/>
        </w:rPr>
        <w:t>质量事故</w:t>
      </w:r>
      <w:r>
        <w:rPr>
          <w:rFonts w:hint="eastAsia" w:ascii="宋体" w:hAnsi="宋体" w:cs="宋体"/>
          <w:color w:val="auto"/>
          <w:szCs w:val="21"/>
          <w:highlight w:val="none"/>
        </w:rPr>
        <w:t>处理</w:t>
      </w:r>
      <w:bookmarkEnd w:id="202"/>
    </w:p>
    <w:p w14:paraId="0236D851">
      <w:pPr>
        <w:pageBreakBefore w:val="0"/>
        <w:widowControl/>
        <w:kinsoku/>
        <w:wordWrap/>
        <w:overflowPunct/>
        <w:topLinePunct w:val="0"/>
        <w:autoSpaceDE/>
        <w:autoSpaceDN/>
        <w:bidi w:val="0"/>
        <w:spacing w:line="360" w:lineRule="auto"/>
        <w:ind w:right="248"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13.8.</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工程竣工验收时，</w:t>
      </w:r>
      <w:r>
        <w:rPr>
          <w:rFonts w:hint="eastAsia" w:ascii="宋体" w:hAnsi="宋体" w:cs="宋体"/>
          <w:color w:val="auto"/>
          <w:szCs w:val="21"/>
          <w:highlight w:val="none"/>
          <w:u w:val="single"/>
        </w:rPr>
        <w:t xml:space="preserve"> </w:t>
      </w:r>
      <w:r>
        <w:rPr>
          <w:rFonts w:hint="eastAsia" w:ascii="宋体" w:hAnsi="宋体" w:eastAsia="宋体" w:cs="宋体"/>
          <w:color w:val="auto"/>
          <w:spacing w:val="-2"/>
          <w:sz w:val="21"/>
          <w:szCs w:val="21"/>
          <w:highlight w:val="none"/>
          <w:u w:val="single" w:color="auto"/>
          <w:lang w:eastAsia="zh-CN"/>
        </w:rPr>
        <w:t>发包人或监理人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向竣工验收委员会汇报并提交历次质量缺陷处理的备案资料。</w:t>
      </w:r>
    </w:p>
    <w:p w14:paraId="0D52A854">
      <w:pPr>
        <w:pageBreakBefore w:val="0"/>
        <w:kinsoku/>
        <w:overflowPunct/>
        <w:topLinePunct w:val="0"/>
        <w:bidi w:val="0"/>
        <w:spacing w:line="360" w:lineRule="auto"/>
        <w:ind w:right="248" w:firstLine="480"/>
        <w:rPr>
          <w:rFonts w:hint="eastAsia" w:ascii="宋体" w:hAnsi="宋体" w:cs="宋体"/>
          <w:b/>
          <w:bCs/>
          <w:color w:val="auto"/>
          <w:szCs w:val="21"/>
          <w:highlight w:val="none"/>
        </w:rPr>
      </w:pPr>
      <w:bookmarkStart w:id="203" w:name="_Toc136350397"/>
      <w:bookmarkStart w:id="204" w:name="_Toc59810417"/>
      <w:bookmarkStart w:id="205" w:name="_Toc33183750"/>
      <w:bookmarkStart w:id="206" w:name="_Toc14259"/>
      <w:r>
        <w:rPr>
          <w:rFonts w:hint="eastAsia" w:ascii="宋体" w:hAnsi="宋体" w:cs="宋体"/>
          <w:b/>
          <w:bCs/>
          <w:color w:val="auto"/>
          <w:szCs w:val="21"/>
          <w:highlight w:val="none"/>
        </w:rPr>
        <w:t>14. 试验和检验</w:t>
      </w:r>
      <w:bookmarkEnd w:id="203"/>
      <w:bookmarkEnd w:id="204"/>
      <w:bookmarkEnd w:id="205"/>
      <w:bookmarkEnd w:id="206"/>
    </w:p>
    <w:p w14:paraId="59EB34A0">
      <w:pPr>
        <w:pageBreakBefore w:val="0"/>
        <w:kinsoku/>
        <w:overflowPunct/>
        <w:topLinePunct w:val="0"/>
        <w:bidi w:val="0"/>
        <w:spacing w:line="360" w:lineRule="auto"/>
        <w:ind w:right="248" w:firstLine="480"/>
        <w:rPr>
          <w:rFonts w:hint="eastAsia" w:ascii="宋体" w:hAnsi="宋体" w:cs="宋体"/>
          <w:color w:val="auto"/>
          <w:szCs w:val="21"/>
          <w:highlight w:val="none"/>
        </w:rPr>
      </w:pPr>
      <w:bookmarkStart w:id="207" w:name="_Toc33183751"/>
      <w:r>
        <w:rPr>
          <w:rFonts w:hint="eastAsia" w:ascii="宋体" w:hAnsi="宋体" w:cs="宋体"/>
          <w:color w:val="auto"/>
          <w:szCs w:val="21"/>
          <w:highlight w:val="none"/>
        </w:rPr>
        <w:t>14.1材料、工程设备和工程的试验和检验</w:t>
      </w:r>
      <w:bookmarkEnd w:id="207"/>
    </w:p>
    <w:p w14:paraId="5D5624BE">
      <w:pPr>
        <w:pageBreakBefore w:val="0"/>
        <w:kinsoku/>
        <w:overflowPunct/>
        <w:topLinePunct w:val="0"/>
        <w:bidi w:val="0"/>
        <w:spacing w:line="360" w:lineRule="auto"/>
        <w:ind w:right="248" w:firstLine="480"/>
        <w:rPr>
          <w:rFonts w:hint="eastAsia" w:ascii="宋体" w:hAnsi="宋体" w:cs="宋体"/>
          <w:color w:val="auto"/>
          <w:szCs w:val="21"/>
          <w:highlight w:val="none"/>
        </w:rPr>
      </w:pPr>
      <w:r>
        <w:rPr>
          <w:rFonts w:hint="eastAsia" w:ascii="宋体" w:hAnsi="宋体" w:cs="宋体"/>
          <w:color w:val="auto"/>
          <w:szCs w:val="21"/>
          <w:highlight w:val="none"/>
        </w:rPr>
        <w:t xml:space="preserve">14.1.5 水工金属结构、启闭机及机电产品进场后，监理人组织  </w:t>
      </w:r>
      <w:r>
        <w:rPr>
          <w:rFonts w:hint="eastAsia" w:ascii="宋体" w:hAnsi="宋体" w:cs="宋体"/>
          <w:color w:val="auto"/>
          <w:szCs w:val="21"/>
          <w:highlight w:val="none"/>
          <w:lang w:eastAsia="zh-CN"/>
        </w:rPr>
        <w:t>有关单位</w:t>
      </w:r>
      <w:r>
        <w:rPr>
          <w:rFonts w:hint="eastAsia" w:ascii="宋体" w:hAnsi="宋体" w:cs="宋体"/>
          <w:color w:val="auto"/>
          <w:szCs w:val="21"/>
          <w:highlight w:val="none"/>
        </w:rPr>
        <w:t xml:space="preserve"> 按合同进行交货检查和验收。</w:t>
      </w:r>
    </w:p>
    <w:p w14:paraId="33EFFFB0">
      <w:pPr>
        <w:pageBreakBefore w:val="0"/>
        <w:widowControl/>
        <w:kinsoku/>
        <w:wordWrap/>
        <w:overflowPunct/>
        <w:topLinePunct w:val="0"/>
        <w:autoSpaceDE/>
        <w:autoSpaceDN/>
        <w:bidi w:val="0"/>
        <w:spacing w:line="360" w:lineRule="auto"/>
        <w:ind w:right="248"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14.1.6 本工程实行见证取样的试块、试件及有关材料：</w:t>
      </w:r>
      <w:r>
        <w:rPr>
          <w:rFonts w:hint="eastAsia" w:ascii="宋体" w:hAnsi="宋体" w:cs="宋体"/>
          <w:color w:val="auto"/>
          <w:szCs w:val="21"/>
          <w:highlight w:val="none"/>
          <w:u w:val="single"/>
        </w:rPr>
        <w:t xml:space="preserve"> 按照行业标准执行</w:t>
      </w:r>
      <w:r>
        <w:rPr>
          <w:rFonts w:hint="eastAsia" w:ascii="宋体" w:hAnsi="宋体" w:cs="宋体"/>
          <w:color w:val="auto"/>
          <w:szCs w:val="21"/>
          <w:highlight w:val="none"/>
        </w:rPr>
        <w:t>。</w:t>
      </w:r>
    </w:p>
    <w:p w14:paraId="2DF10B6B">
      <w:pPr>
        <w:pageBreakBefore w:val="0"/>
        <w:widowControl/>
        <w:kinsoku/>
        <w:wordWrap/>
        <w:overflowPunct/>
        <w:topLinePunct w:val="0"/>
        <w:autoSpaceDE/>
        <w:autoSpaceDN/>
        <w:bidi w:val="0"/>
        <w:adjustRightInd w:val="0"/>
        <w:snapToGrid w:val="0"/>
        <w:spacing w:line="360" w:lineRule="auto"/>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本款补充14.1.7、14.1.8项如下：</w:t>
      </w:r>
    </w:p>
    <w:p w14:paraId="7CF42DCC">
      <w:pPr>
        <w:pageBreakBefore w:val="0"/>
        <w:widowControl/>
        <w:kinsoku/>
        <w:wordWrap/>
        <w:overflowPunct/>
        <w:topLinePunct w:val="0"/>
        <w:autoSpaceDE/>
        <w:autoSpaceDN/>
        <w:bidi w:val="0"/>
        <w:adjustRightInd w:val="0"/>
        <w:snapToGrid w:val="0"/>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szCs w:val="21"/>
          <w:highlight w:val="none"/>
        </w:rPr>
        <w:t>14.1.7</w:t>
      </w:r>
      <w:r>
        <w:rPr>
          <w:rFonts w:hint="eastAsia" w:ascii="宋体" w:hAnsi="宋体" w:cs="宋体"/>
          <w:color w:val="auto"/>
          <w:kern w:val="0"/>
          <w:szCs w:val="21"/>
          <w:highlight w:val="none"/>
        </w:rPr>
        <w:t>试验设备</w:t>
      </w:r>
    </w:p>
    <w:p w14:paraId="72C541C1">
      <w:pPr>
        <w:pageBreakBefore w:val="0"/>
        <w:widowControl/>
        <w:kinsoku/>
        <w:wordWrap/>
        <w:overflowPunct/>
        <w:topLinePunct w:val="0"/>
        <w:autoSpaceDE/>
        <w:autoSpaceDN/>
        <w:bidi w:val="0"/>
        <w:spacing w:line="360" w:lineRule="auto"/>
        <w:ind w:firstLine="420" w:firstLineChars="20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施工现场需要配置的试验场所：</w:t>
      </w:r>
      <w:r>
        <w:rPr>
          <w:rFonts w:hint="eastAsia" w:ascii="宋体" w:hAnsi="宋体" w:cs="宋体"/>
          <w:color w:val="auto"/>
          <w:kern w:val="0"/>
          <w:szCs w:val="21"/>
          <w:highlight w:val="none"/>
          <w:u w:val="single"/>
        </w:rPr>
        <w:t>满足工程施工的需要</w:t>
      </w:r>
      <w:r>
        <w:rPr>
          <w:rFonts w:hint="eastAsia" w:ascii="宋体" w:hAnsi="宋体" w:cs="宋体"/>
          <w:color w:val="auto"/>
          <w:kern w:val="0"/>
          <w:szCs w:val="21"/>
          <w:highlight w:val="none"/>
        </w:rPr>
        <w:t>。</w:t>
      </w:r>
    </w:p>
    <w:p w14:paraId="612FA387">
      <w:pPr>
        <w:pageBreakBefore w:val="0"/>
        <w:widowControl/>
        <w:kinsoku/>
        <w:wordWrap/>
        <w:overflowPunct/>
        <w:topLinePunct w:val="0"/>
        <w:autoSpaceDE/>
        <w:autoSpaceDN/>
        <w:bidi w:val="0"/>
        <w:spacing w:line="360" w:lineRule="auto"/>
        <w:ind w:firstLine="420" w:firstLineChars="20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施工现场需要配备的试验设备：</w:t>
      </w:r>
      <w:r>
        <w:rPr>
          <w:rFonts w:hint="eastAsia" w:ascii="宋体" w:hAnsi="宋体" w:cs="宋体"/>
          <w:color w:val="auto"/>
          <w:kern w:val="0"/>
          <w:szCs w:val="21"/>
          <w:highlight w:val="none"/>
          <w:u w:val="single"/>
        </w:rPr>
        <w:t>满足工程施工的需要</w:t>
      </w:r>
      <w:r>
        <w:rPr>
          <w:rFonts w:hint="eastAsia" w:ascii="宋体" w:hAnsi="宋体" w:cs="宋体"/>
          <w:color w:val="auto"/>
          <w:kern w:val="0"/>
          <w:szCs w:val="21"/>
          <w:highlight w:val="none"/>
        </w:rPr>
        <w:t>。</w:t>
      </w:r>
    </w:p>
    <w:p w14:paraId="2D40280F">
      <w:pPr>
        <w:pageBreakBefore w:val="0"/>
        <w:widowControl/>
        <w:kinsoku/>
        <w:wordWrap/>
        <w:overflowPunct/>
        <w:topLinePunct w:val="0"/>
        <w:autoSpaceDE/>
        <w:autoSpaceDN/>
        <w:bidi w:val="0"/>
        <w:spacing w:line="360" w:lineRule="auto"/>
        <w:ind w:firstLine="420" w:firstLineChars="20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施工现场需要具备的其他试验条件：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5168A1E1">
      <w:pPr>
        <w:pageBreakBefore w:val="0"/>
        <w:kinsoku/>
        <w:overflowPunct/>
        <w:topLinePunct w:val="0"/>
        <w:bidi w:val="0"/>
        <w:spacing w:line="360" w:lineRule="auto"/>
        <w:ind w:right="248" w:firstLine="420" w:firstLineChars="200"/>
        <w:rPr>
          <w:rFonts w:ascii="宋体" w:hAnsi="宋体" w:cs="宋体"/>
          <w:color w:val="auto"/>
          <w:kern w:val="0"/>
          <w:szCs w:val="21"/>
          <w:highlight w:val="none"/>
          <w:u w:val="single"/>
        </w:rPr>
      </w:pPr>
      <w:r>
        <w:rPr>
          <w:rFonts w:hint="eastAsia" w:ascii="宋体" w:hAnsi="宋体" w:cs="宋体"/>
          <w:color w:val="auto"/>
          <w:szCs w:val="21"/>
          <w:highlight w:val="none"/>
          <w:u w:val="none"/>
        </w:rPr>
        <w:t>14.1.8</w:t>
      </w:r>
      <w:r>
        <w:rPr>
          <w:rFonts w:hint="eastAsia" w:ascii="宋体" w:hAnsi="宋体" w:cs="宋体"/>
          <w:color w:val="auto"/>
          <w:kern w:val="0"/>
          <w:szCs w:val="21"/>
          <w:highlight w:val="none"/>
          <w:u w:val="single"/>
        </w:rPr>
        <w:t>本工程施工检测由承包人按《重庆市水利工程质量检测管理办法》渝水〔2018〕110号文规定选择具有相应资质检测单位进行施工质量抽样检测，并需事先报监理审核，并征得发包人书面同意后实施。施工检测单位不能和监理抽检、发包人抽检及验收检测为同一家单位。施工一般检测所需费用由承包人在工程承包费中支付，第三方检测所需费用由发包人承担。承包人应与检测单位在开展检测工作前共同编制施工检测实施方案，实施方案中检测项目及频次必须满足验收评定标准及规程、规范的要求，并经发包人组织评审后实施。</w:t>
      </w:r>
    </w:p>
    <w:p w14:paraId="3E8B367A">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bookmarkStart w:id="208" w:name="_Toc33183752"/>
      <w:r>
        <w:rPr>
          <w:rFonts w:hint="eastAsia" w:ascii="宋体" w:hAnsi="宋体" w:cs="宋体"/>
          <w:color w:val="auto"/>
          <w:szCs w:val="21"/>
          <w:highlight w:val="none"/>
          <w:u w:val="none"/>
        </w:rPr>
        <w:t>14.3现场</w:t>
      </w:r>
      <w:r>
        <w:rPr>
          <w:rFonts w:hint="eastAsia" w:ascii="宋体" w:hAnsi="宋体" w:cs="宋体"/>
          <w:color w:val="auto"/>
          <w:szCs w:val="21"/>
          <w:highlight w:val="none"/>
        </w:rPr>
        <w:t>工艺试验</w:t>
      </w:r>
      <w:bookmarkEnd w:id="208"/>
    </w:p>
    <w:p w14:paraId="5631A96E">
      <w:pPr>
        <w:pageBreakBefore w:val="0"/>
        <w:tabs>
          <w:tab w:val="left" w:pos="711"/>
          <w:tab w:val="left" w:pos="2580"/>
        </w:tabs>
        <w:kinsoku/>
        <w:overflowPunct/>
        <w:topLinePunct w:val="0"/>
        <w:bidi w:val="0"/>
        <w:snapToGrid w:val="0"/>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本款补充14.3.1、14.3.2项如下：</w:t>
      </w:r>
    </w:p>
    <w:p w14:paraId="588C7041">
      <w:pPr>
        <w:pageBreakBefore w:val="0"/>
        <w:tabs>
          <w:tab w:val="left" w:pos="711"/>
          <w:tab w:val="left" w:pos="2580"/>
        </w:tabs>
        <w:kinsoku/>
        <w:overflowPunct/>
        <w:topLinePunct w:val="0"/>
        <w:bidi w:val="0"/>
        <w:snapToGrid w:val="0"/>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14.3.1若因承包人取样、制样、送检及相关配合不及时而导致工程的工期和费用增加，影响的工期不予延长，增加费用由承包人承担。</w:t>
      </w:r>
    </w:p>
    <w:p w14:paraId="241FA7CB">
      <w:pPr>
        <w:pStyle w:val="4"/>
        <w:pageBreakBefore w:val="0"/>
        <w:kinsoku/>
        <w:overflowPunct/>
        <w:topLinePunct w:val="0"/>
        <w:bidi w:val="0"/>
        <w:spacing w:line="360" w:lineRule="auto"/>
        <w:ind w:right="248" w:firstLine="420" w:firstLineChars="200"/>
        <w:rPr>
          <w:rFonts w:ascii="宋体" w:hAnsi="宋体" w:cs="宋体"/>
          <w:color w:val="auto"/>
          <w:szCs w:val="21"/>
          <w:highlight w:val="none"/>
        </w:rPr>
      </w:pPr>
      <w:r>
        <w:rPr>
          <w:rFonts w:hint="eastAsia" w:ascii="宋体" w:hAnsi="宋体" w:cs="宋体"/>
          <w:color w:val="auto"/>
          <w:kern w:val="0"/>
          <w:szCs w:val="21"/>
          <w:highlight w:val="none"/>
        </w:rPr>
        <w:t>14.3.2检测试验不合格的项目，其缺陷处理和复测费用由承包人承担，工期不予延长。</w:t>
      </w:r>
    </w:p>
    <w:p w14:paraId="26230AEE">
      <w:pPr>
        <w:pStyle w:val="2"/>
        <w:pageBreakBefore w:val="0"/>
        <w:kinsoku/>
        <w:overflowPunct/>
        <w:topLinePunct w:val="0"/>
        <w:bidi w:val="0"/>
        <w:spacing w:line="360" w:lineRule="auto"/>
        <w:rPr>
          <w:rFonts w:ascii="宋体" w:hAnsi="宋体" w:cs="宋体"/>
          <w:color w:val="auto"/>
          <w:sz w:val="21"/>
          <w:szCs w:val="21"/>
          <w:highlight w:val="none"/>
        </w:rPr>
      </w:pPr>
      <w:bookmarkStart w:id="209" w:name="_Toc222032708"/>
      <w:bookmarkStart w:id="210" w:name="_Toc229305396"/>
      <w:bookmarkStart w:id="211" w:name="_Toc59810418"/>
      <w:bookmarkStart w:id="212" w:name="_Toc23646"/>
      <w:bookmarkStart w:id="213" w:name="_Toc136350398"/>
      <w:bookmarkStart w:id="214" w:name="_Toc33183753"/>
      <w:bookmarkStart w:id="215" w:name="_Toc221951213"/>
      <w:bookmarkStart w:id="216" w:name="_Toc222033890"/>
      <w:bookmarkStart w:id="217" w:name="_Toc222029539"/>
      <w:bookmarkStart w:id="218" w:name="_Toc222031041"/>
      <w:r>
        <w:rPr>
          <w:rFonts w:hint="eastAsia" w:ascii="宋体" w:hAnsi="宋体" w:cs="宋体"/>
          <w:color w:val="auto"/>
          <w:sz w:val="21"/>
          <w:szCs w:val="21"/>
          <w:highlight w:val="none"/>
        </w:rPr>
        <w:t>15.变更</w:t>
      </w:r>
      <w:bookmarkEnd w:id="209"/>
      <w:bookmarkEnd w:id="210"/>
      <w:bookmarkEnd w:id="211"/>
      <w:bookmarkEnd w:id="212"/>
      <w:bookmarkEnd w:id="213"/>
      <w:bookmarkEnd w:id="214"/>
      <w:bookmarkEnd w:id="215"/>
      <w:bookmarkEnd w:id="216"/>
      <w:bookmarkEnd w:id="217"/>
      <w:bookmarkEnd w:id="218"/>
    </w:p>
    <w:p w14:paraId="71527AFC">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bookmarkStart w:id="219" w:name="_Toc221951214"/>
      <w:bookmarkStart w:id="220" w:name="_Toc33183754"/>
      <w:r>
        <w:rPr>
          <w:rFonts w:hint="eastAsia" w:ascii="宋体" w:hAnsi="宋体" w:cs="宋体"/>
          <w:color w:val="auto"/>
          <w:szCs w:val="21"/>
          <w:highlight w:val="none"/>
        </w:rPr>
        <w:t>15.1  变更的范围和内容</w:t>
      </w:r>
      <w:bookmarkEnd w:id="219"/>
      <w:bookmarkEnd w:id="220"/>
    </w:p>
    <w:p w14:paraId="5CF3C6E7">
      <w:pPr>
        <w:pageBreakBefore w:val="0"/>
        <w:kinsoku/>
        <w:overflowPunct/>
        <w:topLinePunct w:val="0"/>
        <w:bidi w:val="0"/>
        <w:spacing w:line="360" w:lineRule="auto"/>
        <w:ind w:firstLine="420" w:firstLineChars="200"/>
        <w:rPr>
          <w:rFonts w:ascii="宋体" w:hAnsi="宋体" w:cs="宋体"/>
          <w:color w:val="auto"/>
          <w:szCs w:val="21"/>
          <w:highlight w:val="none"/>
        </w:rPr>
      </w:pPr>
      <w:bookmarkStart w:id="221" w:name="_Toc221951216"/>
      <w:r>
        <w:rPr>
          <w:rFonts w:hint="eastAsia" w:ascii="宋体" w:hAnsi="宋体" w:cs="宋体"/>
          <w:color w:val="auto"/>
          <w:szCs w:val="21"/>
          <w:highlight w:val="none"/>
        </w:rPr>
        <w:t>在履行合同中发生以下情形之一，应按照本条规定进行变更。</w:t>
      </w:r>
    </w:p>
    <w:p w14:paraId="19A7A252">
      <w:pPr>
        <w:pageBreakBefore w:val="0"/>
        <w:kinsoku/>
        <w:overflowPunct/>
        <w:topLinePunct w:val="0"/>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（1）增加或减少合同中任何工作，或追加额外的工作；</w:t>
      </w:r>
    </w:p>
    <w:p w14:paraId="7DEA575D">
      <w:pPr>
        <w:pageBreakBefore w:val="0"/>
        <w:kinsoku/>
        <w:overflowPunct/>
        <w:topLinePunct w:val="0"/>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（2）取消合同中任何工作；</w:t>
      </w:r>
    </w:p>
    <w:p w14:paraId="0928F35E">
      <w:pPr>
        <w:pageBreakBefore w:val="0"/>
        <w:kinsoku/>
        <w:overflowPunct/>
        <w:topLinePunct w:val="0"/>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（3）改变合同中任何工作的质量标准或其他特性；</w:t>
      </w:r>
    </w:p>
    <w:p w14:paraId="7DEA5BB7">
      <w:pPr>
        <w:pageBreakBefore w:val="0"/>
        <w:kinsoku/>
        <w:overflowPunct/>
        <w:topLinePunct w:val="0"/>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（4）改变工程的基线、标高、位置和尺寸；</w:t>
      </w:r>
    </w:p>
    <w:p w14:paraId="6C92DC91">
      <w:pPr>
        <w:pageBreakBefore w:val="0"/>
        <w:kinsoku/>
        <w:overflowPunct/>
        <w:topLinePunct w:val="0"/>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（5）适用于工程的标准和（或）规范变化导致需要对工程进行改变，且该改变导致工期和（或）费用变化的；</w:t>
      </w:r>
    </w:p>
    <w:p w14:paraId="114CBAEF">
      <w:pPr>
        <w:pageBreakBefore w:val="0"/>
        <w:kinsoku/>
        <w:overflowPunct/>
        <w:topLinePunct w:val="0"/>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（6）勘察设计变更；</w:t>
      </w:r>
    </w:p>
    <w:p w14:paraId="22C948E5">
      <w:pPr>
        <w:pageBreakBefore w:val="0"/>
        <w:kinsoku/>
        <w:overflowPunct/>
        <w:topLinePunct w:val="0"/>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（7）实施内容变更，包括因设计变更和非设计变更引起的实施地点、投资规模、结构型式、采购数量、服务内容等进行的调整，以及因此导致的合同价格、工期变更；</w:t>
      </w:r>
    </w:p>
    <w:p w14:paraId="1F4E18FB">
      <w:pPr>
        <w:pageBreakBefore w:val="0"/>
        <w:kinsoku/>
        <w:overflowPunct/>
        <w:topLinePunct w:val="0"/>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（8）项目管理人员变更；</w:t>
      </w:r>
    </w:p>
    <w:p w14:paraId="34A6FDF5">
      <w:pPr>
        <w:pageBreakBefore w:val="0"/>
        <w:kinsoku/>
        <w:overflowPunct/>
        <w:topLinePunct w:val="0"/>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（9）因人工、原材料等价格变化导致的合同总价变更；</w:t>
      </w:r>
    </w:p>
    <w:p w14:paraId="493A4131">
      <w:pPr>
        <w:pageBreakBefore w:val="0"/>
        <w:kinsoku/>
        <w:overflowPunct/>
        <w:topLinePunct w:val="0"/>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（10）非实施内容变化导致的工期变更；</w:t>
      </w:r>
    </w:p>
    <w:p w14:paraId="08121C71">
      <w:pPr>
        <w:pageBreakBefore w:val="0"/>
        <w:kinsoku/>
        <w:overflowPunct/>
        <w:topLinePunct w:val="0"/>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48D27A6">
      <w:pPr>
        <w:pageBreakBefore w:val="0"/>
        <w:kinsoku/>
        <w:overflowPunct/>
        <w:topLinePunct w:val="0"/>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14:paraId="43CED3EE">
      <w:pPr>
        <w:pageBreakBefore w:val="0"/>
        <w:kinsoku/>
        <w:overflowPunct/>
        <w:topLinePunct w:val="0"/>
        <w:bidi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承包人对其提供的材料、工程设备、施工、无负荷试车、热负荷试车及图纸参数存在的缺陷，自费修正、调整和完善，不属于变更。</w:t>
      </w:r>
    </w:p>
    <w:bookmarkEnd w:id="221"/>
    <w:p w14:paraId="0736DABF">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bookmarkStart w:id="222" w:name="_Toc33183755"/>
      <w:bookmarkStart w:id="223" w:name="_Toc221951218"/>
      <w:r>
        <w:rPr>
          <w:rFonts w:hint="eastAsia" w:ascii="宋体" w:hAnsi="宋体" w:cs="宋体"/>
          <w:color w:val="auto"/>
          <w:szCs w:val="21"/>
          <w:highlight w:val="none"/>
        </w:rPr>
        <w:t>15.2 变更权</w:t>
      </w:r>
      <w:bookmarkEnd w:id="222"/>
    </w:p>
    <w:p w14:paraId="6DD32CAE">
      <w:pPr>
        <w:pageBreakBefore w:val="0"/>
        <w:kinsoku/>
        <w:overflowPunct/>
        <w:topLinePunct w:val="0"/>
        <w:bidi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本款补充15.2.1、15.2.2项如下：</w:t>
      </w:r>
    </w:p>
    <w:p w14:paraId="1992027F">
      <w:pPr>
        <w:pageBreakBefore w:val="0"/>
        <w:kinsoku/>
        <w:overflowPunct/>
        <w:topLinePunct w:val="0"/>
        <w:bidi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15.2.1发包人和监理人提出变更</w:t>
      </w:r>
    </w:p>
    <w:p w14:paraId="58A30B44">
      <w:pPr>
        <w:pageBreakBefore w:val="0"/>
        <w:kinsoku/>
        <w:overflowPunct/>
        <w:topLinePunct w:val="0"/>
        <w:bidi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14:paraId="167AAC64">
      <w:pPr>
        <w:pageBreakBefore w:val="0"/>
        <w:kinsoku/>
        <w:overflowPunct/>
        <w:topLinePunct w:val="0"/>
        <w:bidi w:val="0"/>
        <w:adjustRightInd w:val="0"/>
        <w:snapToGrid w:val="0"/>
        <w:spacing w:line="360" w:lineRule="auto"/>
        <w:ind w:firstLine="420" w:firstLineChars="200"/>
        <w:rPr>
          <w:rFonts w:ascii="宋体" w:hAnsi="宋体"/>
          <w:color w:val="auto"/>
          <w:szCs w:val="21"/>
          <w:highlight w:val="none"/>
        </w:rPr>
      </w:pPr>
      <w:r>
        <w:rPr>
          <w:rFonts w:hint="eastAsia" w:ascii="宋体" w:hAnsi="宋体" w:cs="宋体"/>
          <w:color w:val="auto"/>
          <w:kern w:val="0"/>
          <w:szCs w:val="21"/>
          <w:highlight w:val="none"/>
        </w:rPr>
        <w:t>涉及设计变更的，应由设计人提供变更后的图纸和说明，交由发包人同意后由监理人以书面形式发出。如变更超过原设计标准或批准的建设规模时，</w:t>
      </w:r>
      <w:r>
        <w:rPr>
          <w:rFonts w:hint="eastAsia" w:ascii="宋体" w:hAnsi="宋体"/>
          <w:color w:val="auto"/>
          <w:szCs w:val="21"/>
          <w:highlight w:val="none"/>
        </w:rPr>
        <w:t>由发包人及时办理规划、设计变更等审批手续。</w:t>
      </w:r>
    </w:p>
    <w:p w14:paraId="40DC6DDA">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olor w:val="auto"/>
          <w:szCs w:val="21"/>
          <w:highlight w:val="none"/>
        </w:rPr>
        <w:t>若出现重大设计变更，变更后的内容超出承包人资质或能力范围的，发包人将另行依法招标选择承包单位，无需征得承包人同意。</w:t>
      </w:r>
    </w:p>
    <w:p w14:paraId="4D18A773">
      <w:pPr>
        <w:pageBreakBefore w:val="0"/>
        <w:kinsoku/>
        <w:overflowPunct/>
        <w:topLinePunct w:val="0"/>
        <w:bidi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15.2.2 承包人提出变更建议</w:t>
      </w:r>
    </w:p>
    <w:p w14:paraId="5615790E">
      <w:pPr>
        <w:pageBreakBefore w:val="0"/>
        <w:kinsoku/>
        <w:overflowPunct/>
        <w:topLinePunct w:val="0"/>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color w:val="auto"/>
          <w:szCs w:val="21"/>
          <w:highlight w:val="none"/>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color w:val="auto"/>
          <w:szCs w:val="21"/>
          <w:highlight w:val="none"/>
        </w:rPr>
        <w:t>。</w:t>
      </w:r>
    </w:p>
    <w:p w14:paraId="747CDCED">
      <w:pPr>
        <w:pageBreakBefore w:val="0"/>
        <w:kinsoku/>
        <w:overflowPunct/>
        <w:topLinePunct w:val="0"/>
        <w:autoSpaceDE w:val="0"/>
        <w:autoSpaceDN w:val="0"/>
        <w:bidi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如果发包人对承包人已实施的施工项目在发出重大设计变更之前要求承包人提出一份建议，那么，承包人应尽快提出：</w:t>
      </w:r>
    </w:p>
    <w:p w14:paraId="0CAFC1D8">
      <w:pPr>
        <w:pageBreakBefore w:val="0"/>
        <w:kinsoku/>
        <w:overflowPunct/>
        <w:topLinePunct w:val="0"/>
        <w:autoSpaceDE w:val="0"/>
        <w:autoSpaceDN w:val="0"/>
        <w:bidi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（1）对所提方案和（或）待做工作及其实施计划的说明</w:t>
      </w:r>
      <w:r>
        <w:rPr>
          <w:rFonts w:hint="eastAsia" w:ascii="宋体" w:hAnsi="宋体" w:cs="宋体"/>
          <w:color w:val="auto"/>
          <w:kern w:val="0"/>
          <w:szCs w:val="21"/>
          <w:highlight w:val="none"/>
        </w:rPr>
        <w:t>；</w:t>
      </w:r>
    </w:p>
    <w:p w14:paraId="21A96C9C">
      <w:pPr>
        <w:pageBreakBefore w:val="0"/>
        <w:kinsoku/>
        <w:overflowPunct/>
        <w:topLinePunct w:val="0"/>
        <w:autoSpaceDE w:val="0"/>
        <w:autoSpaceDN w:val="0"/>
        <w:bidi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（2）承包人按照对工程进度计划进行必要修改的建议</w:t>
      </w:r>
      <w:r>
        <w:rPr>
          <w:rFonts w:hint="eastAsia" w:ascii="宋体" w:hAnsi="宋体" w:cs="宋体"/>
          <w:color w:val="auto"/>
          <w:kern w:val="0"/>
          <w:szCs w:val="21"/>
          <w:highlight w:val="none"/>
        </w:rPr>
        <w:t>；</w:t>
      </w:r>
    </w:p>
    <w:p w14:paraId="426A5754">
      <w:pPr>
        <w:pageBreakBefore w:val="0"/>
        <w:kinsoku/>
        <w:overflowPunct/>
        <w:topLinePunct w:val="0"/>
        <w:autoSpaceDE w:val="0"/>
        <w:autoSpaceDN w:val="0"/>
        <w:bidi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（3）承包人发生较大返工损失增加费用的建议</w:t>
      </w:r>
      <w:r>
        <w:rPr>
          <w:rFonts w:hint="eastAsia" w:ascii="宋体" w:hAnsi="宋体" w:cs="宋体"/>
          <w:color w:val="auto"/>
          <w:kern w:val="0"/>
          <w:szCs w:val="21"/>
          <w:highlight w:val="none"/>
        </w:rPr>
        <w:t>。</w:t>
      </w:r>
    </w:p>
    <w:p w14:paraId="40D9CE5B">
      <w:pPr>
        <w:pageBreakBefore w:val="0"/>
        <w:kinsoku/>
        <w:overflowPunct/>
        <w:topLinePunct w:val="0"/>
        <w:autoSpaceDE w:val="0"/>
        <w:autoSpaceDN w:val="0"/>
        <w:bidi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发包人在收到上述建议书后，应尽快给予批准、否决或提出意见</w:t>
      </w:r>
      <w:r>
        <w:rPr>
          <w:rFonts w:hint="eastAsia" w:ascii="宋体" w:hAnsi="宋体" w:cs="宋体"/>
          <w:color w:val="auto"/>
          <w:kern w:val="0"/>
          <w:szCs w:val="21"/>
          <w:highlight w:val="none"/>
        </w:rPr>
        <w:t>。</w:t>
      </w:r>
    </w:p>
    <w:p w14:paraId="2B3E93AE">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bookmarkStart w:id="224" w:name="_Toc33183756"/>
      <w:r>
        <w:rPr>
          <w:rFonts w:hint="eastAsia" w:ascii="宋体" w:hAnsi="宋体" w:cs="宋体"/>
          <w:color w:val="auto"/>
          <w:kern w:val="0"/>
          <w:szCs w:val="21"/>
          <w:highlight w:val="none"/>
        </w:rPr>
        <w:t>15.3 变更</w:t>
      </w:r>
      <w:r>
        <w:rPr>
          <w:rFonts w:hint="eastAsia" w:ascii="宋体" w:hAnsi="宋体" w:cs="宋体"/>
          <w:color w:val="auto"/>
          <w:szCs w:val="21"/>
          <w:highlight w:val="none"/>
        </w:rPr>
        <w:t>程序</w:t>
      </w:r>
      <w:bookmarkEnd w:id="224"/>
    </w:p>
    <w:p w14:paraId="10767F2C">
      <w:pPr>
        <w:pageBreakBefore w:val="0"/>
        <w:kinsoku/>
        <w:overflowPunct/>
        <w:topLinePunct w:val="0"/>
        <w:autoSpaceDE w:val="0"/>
        <w:autoSpaceDN w:val="0"/>
        <w:bidi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15.3.1 变更的提出</w:t>
      </w:r>
    </w:p>
    <w:p w14:paraId="6764DDFE">
      <w:pPr>
        <w:pageBreakBefore w:val="0"/>
        <w:kinsoku/>
        <w:overflowPunct/>
        <w:topLinePunct w:val="0"/>
        <w:autoSpaceDE w:val="0"/>
        <w:autoSpaceDN w:val="0"/>
        <w:bidi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本项补充（5）（6）目如下：</w:t>
      </w:r>
    </w:p>
    <w:p w14:paraId="3CAA3FD7">
      <w:pPr>
        <w:pageBreakBefore w:val="0"/>
        <w:kinsoku/>
        <w:overflowPunct/>
        <w:topLinePunct w:val="0"/>
        <w:autoSpaceDE w:val="0"/>
        <w:autoSpaceDN w:val="0"/>
        <w:bidi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（5）一般设计变更：承包人收到监理人下达的变更指示后，应按照监理人下达的变更指示执行，并书面说明实施该变更指示对合同价格和工期的影响，按照第15.4项〔变更的估价原则〕约定执行。</w:t>
      </w:r>
    </w:p>
    <w:p w14:paraId="2FA3FCCC">
      <w:pPr>
        <w:pageBreakBefore w:val="0"/>
        <w:kinsoku/>
        <w:overflowPunct/>
        <w:topLinePunct w:val="0"/>
        <w:autoSpaceDE w:val="0"/>
        <w:autoSpaceDN w:val="0"/>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（6）重大设计变更：需经设计人、监理人和发包人三方签名认可并报相关行业部门审查同意后实施。</w:t>
      </w:r>
    </w:p>
    <w:p w14:paraId="41124D8A">
      <w:pPr>
        <w:pageBreakBefore w:val="0"/>
        <w:kinsoku/>
        <w:overflowPunct/>
        <w:topLinePunct w:val="0"/>
        <w:autoSpaceDE w:val="0"/>
        <w:autoSpaceDN w:val="0"/>
        <w:bidi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本款补充15.3.4项如下：</w:t>
      </w:r>
    </w:p>
    <w:p w14:paraId="0E53FF93">
      <w:pPr>
        <w:pageBreakBefore w:val="0"/>
        <w:kinsoku/>
        <w:overflowPunct/>
        <w:topLinePunct w:val="0"/>
        <w:autoSpaceDE w:val="0"/>
        <w:autoSpaceDN w:val="0"/>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15.3.4 变更报批程序</w:t>
      </w:r>
    </w:p>
    <w:p w14:paraId="2A07771F">
      <w:pPr>
        <w:pageBreakBefore w:val="0"/>
        <w:kinsoku/>
        <w:overflowPunct/>
        <w:topLinePunct w:val="0"/>
        <w:autoSpaceDE w:val="0"/>
        <w:autoSpaceDN w:val="0"/>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合同变更提出后，应当首先由发包人组织相关单位、专家进行论证。经论证确需变更的，发包人按照《重庆市政府投资项目合同变更管理暂行办法》规定的程序自行决策或者报批；经论证不需要变更的，继续按合同执行。</w:t>
      </w:r>
    </w:p>
    <w:p w14:paraId="4FE41420">
      <w:pPr>
        <w:pageBreakBefore w:val="0"/>
        <w:kinsoku/>
        <w:overflowPunct/>
        <w:topLinePunct w:val="0"/>
        <w:autoSpaceDE w:val="0"/>
        <w:autoSpaceDN w:val="0"/>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（2）项目的勘察设计、实施内容等作较大变更的，应当按照规定的程序报原审批部门审批；变更导致总投资超概的，应当报原投资概算核定部门核定。</w:t>
      </w:r>
    </w:p>
    <w:p w14:paraId="373E8CA4">
      <w:pPr>
        <w:pageBreakBefore w:val="0"/>
        <w:kinsoku/>
        <w:overflowPunct/>
        <w:topLinePunct w:val="0"/>
        <w:autoSpaceDE w:val="0"/>
        <w:autoSpaceDN w:val="0"/>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（3）项目管理人员变更的，应当经发包人领导班子集体决策同意，并将变更信息推送给行业主管部门。变更后的项目管理人员应当符合招标文件和行业主管部门的相关规定。</w:t>
      </w:r>
    </w:p>
    <w:p w14:paraId="2A078F1B">
      <w:pPr>
        <w:pageBreakBefore w:val="0"/>
        <w:kinsoku/>
        <w:overflowPunct/>
        <w:topLinePunct w:val="0"/>
        <w:autoSpaceDE w:val="0"/>
        <w:autoSpaceDN w:val="0"/>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（4）因人工、原材料市场价格发生大幅度变化导致的合同总价变更，由发包人与承包人按照合同进行变更，并将变更信息推送给行业主管部门。</w:t>
      </w:r>
    </w:p>
    <w:p w14:paraId="0895A734">
      <w:pPr>
        <w:pageBreakBefore w:val="0"/>
        <w:kinsoku/>
        <w:overflowPunct/>
        <w:topLinePunct w:val="0"/>
        <w:autoSpaceDE w:val="0"/>
        <w:autoSpaceDN w:val="0"/>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（5）项目实施内容无变更，因不可抗力导致的工期变更，由发包人领导班子集体决策同意，并将变更信息推送给行业主管部门；因项目实施内容变更导致的工期变更，与项目实施内容变更一并办理。</w:t>
      </w:r>
    </w:p>
    <w:p w14:paraId="28CA0A1D">
      <w:pPr>
        <w:pageBreakBefore w:val="0"/>
        <w:kinsoku/>
        <w:overflowPunct/>
        <w:topLinePunct w:val="0"/>
        <w:autoSpaceDE w:val="0"/>
        <w:autoSpaceDN w:val="0"/>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（6）项目合同变更后，增加的实施内容达到依法必须招标的规模标准的，增加的部分按重庆市有关规定执行。</w:t>
      </w:r>
    </w:p>
    <w:p w14:paraId="69D85AA5">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bookmarkStart w:id="225" w:name="_Toc33183757"/>
      <w:r>
        <w:rPr>
          <w:rFonts w:hint="eastAsia" w:ascii="宋体" w:hAnsi="宋体" w:cs="宋体"/>
          <w:color w:val="auto"/>
          <w:szCs w:val="21"/>
          <w:highlight w:val="none"/>
        </w:rPr>
        <w:t>15.4 变更的估价原则</w:t>
      </w:r>
      <w:bookmarkEnd w:id="225"/>
    </w:p>
    <w:p w14:paraId="2EA54A05">
      <w:pPr>
        <w:pStyle w:val="4"/>
        <w:pageBreakBefore w:val="0"/>
        <w:kinsoku/>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当发生工程变更时，工程量</w:t>
      </w:r>
      <w:r>
        <w:rPr>
          <w:rFonts w:hint="eastAsia" w:ascii="宋体" w:hAnsi="宋体" w:cs="宋体"/>
          <w:color w:val="auto"/>
          <w:kern w:val="0"/>
          <w:szCs w:val="21"/>
          <w:highlight w:val="none"/>
          <w:u w:val="single"/>
        </w:rPr>
        <w:t>按《水利水电工程设计工程量计算规定》（SL 328-2005）、</w:t>
      </w:r>
      <w:r>
        <w:rPr>
          <w:rFonts w:hint="eastAsia" w:ascii="宋体" w:hAnsi="宋体"/>
          <w:color w:val="auto"/>
          <w:szCs w:val="21"/>
          <w:highlight w:val="none"/>
          <w:u w:val="single"/>
        </w:rPr>
        <w:t>《重庆市水利工程设计概（估）算 编制规定》（2021年版）、《重庆市水利建筑工程预算定额》（2021年版）、《重庆市水利工程机械台时费定额》（2021年版）及《重庆市中小型水利水电设备安装工程预算定额》（2008年版）</w:t>
      </w:r>
      <w:r>
        <w:rPr>
          <w:rFonts w:hint="eastAsia" w:ascii="宋体" w:hAnsi="宋体" w:cs="宋体"/>
          <w:color w:val="auto"/>
          <w:kern w:val="0"/>
          <w:szCs w:val="21"/>
          <w:highlight w:val="none"/>
        </w:rPr>
        <w:t>等配套文件规定的计算规则及已标价工程量清单规定的工程量计算规则计量，按以下办法计价：</w:t>
      </w:r>
    </w:p>
    <w:p w14:paraId="21FFDF41">
      <w:pPr>
        <w:pageBreakBefore w:val="0"/>
        <w:kinsoku/>
        <w:overflowPunct/>
        <w:topLinePunct w:val="0"/>
        <w:bidi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15.4.1已标价工程量清单中有相同项目的，按照相同项目单价计算；</w:t>
      </w:r>
    </w:p>
    <w:p w14:paraId="5EFAC468">
      <w:pPr>
        <w:pageBreakBefore w:val="0"/>
        <w:kinsoku/>
        <w:overflowPunct/>
        <w:topLinePunct w:val="0"/>
        <w:bidi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15.4.2已标价工程量清单中有类似项目的，参考类似项目单价计算；</w:t>
      </w:r>
    </w:p>
    <w:p w14:paraId="6696E767">
      <w:pPr>
        <w:pageBreakBefore w:val="0"/>
        <w:kinsoku/>
        <w:overflowPunct/>
        <w:topLinePunct w:val="0"/>
        <w:bidi w:val="0"/>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15.4.3已标价工程量清单中无相同项目亦无类似项目的，按以下定额组价后</w:t>
      </w:r>
      <w:r>
        <w:rPr>
          <w:rFonts w:hint="eastAsia" w:ascii="宋体" w:hAnsi="宋体" w:cs="宋体"/>
          <w:color w:val="auto"/>
          <w:kern w:val="0"/>
          <w:szCs w:val="21"/>
          <w:highlight w:val="none"/>
          <w:u w:val="single"/>
        </w:rPr>
        <w:t>按承包人投标总报价</w:t>
      </w:r>
      <w:r>
        <w:rPr>
          <w:rFonts w:hint="eastAsia" w:ascii="宋体" w:hAnsi="宋体" w:cs="宋体"/>
          <w:color w:val="auto"/>
          <w:szCs w:val="21"/>
          <w:highlight w:val="none"/>
          <w:u w:val="single"/>
        </w:rPr>
        <w:t>与招标控制价的下浮比例同比例下浮</w:t>
      </w:r>
      <w:r>
        <w:rPr>
          <w:rFonts w:hint="eastAsia" w:ascii="宋体" w:hAnsi="宋体" w:cs="宋体"/>
          <w:color w:val="auto"/>
          <w:kern w:val="0"/>
          <w:szCs w:val="21"/>
          <w:highlight w:val="none"/>
          <w:u w:val="single"/>
        </w:rPr>
        <w:t>（税前）</w:t>
      </w:r>
      <w:r>
        <w:rPr>
          <w:rFonts w:hint="eastAsia" w:ascii="宋体" w:hAnsi="宋体" w:cs="宋体"/>
          <w:color w:val="auto"/>
          <w:kern w:val="0"/>
          <w:szCs w:val="21"/>
          <w:highlight w:val="none"/>
        </w:rPr>
        <w:t>：</w:t>
      </w:r>
    </w:p>
    <w:p w14:paraId="65B8F75B">
      <w:pPr>
        <w:pageBreakBefore w:val="0"/>
        <w:kinsoku/>
        <w:overflowPunct/>
        <w:topLinePunct w:val="0"/>
        <w:bidi w:val="0"/>
        <w:adjustRightInd w:val="0"/>
        <w:snapToGrid w:val="0"/>
        <w:spacing w:line="360" w:lineRule="auto"/>
        <w:ind w:firstLine="420" w:firstLineChars="200"/>
        <w:rPr>
          <w:rFonts w:ascii="宋体" w:hAnsi="宋体" w:cs="宋体"/>
          <w:color w:val="auto"/>
          <w:kern w:val="0"/>
          <w:szCs w:val="21"/>
          <w:highlight w:val="none"/>
          <w:u w:val="none"/>
        </w:rPr>
      </w:pPr>
      <w:r>
        <w:rPr>
          <w:rFonts w:hint="eastAsia" w:ascii="宋体" w:hAnsi="宋体" w:cs="宋体"/>
          <w:color w:val="auto"/>
          <w:kern w:val="0"/>
          <w:szCs w:val="21"/>
          <w:highlight w:val="none"/>
          <w:u w:val="single"/>
        </w:rPr>
        <w:t>2021年重庆市水利局颁发的《重庆市水利局重庆市发展和改革委员会关于发布2021年版&lt;重庆市水利工程设计概（估）算编制规定&gt;的通知》（渝水建</w:t>
      </w:r>
      <w:r>
        <w:rPr>
          <w:rFonts w:hint="eastAsia" w:ascii="宋体" w:hAnsi="宋体" w:cs="宋体"/>
          <w:color w:val="auto"/>
          <w:kern w:val="0"/>
          <w:szCs w:val="21"/>
          <w:highlight w:val="none"/>
          <w:u w:val="single"/>
          <w:lang w:eastAsia="zh-CN"/>
        </w:rPr>
        <w:t>〔</w:t>
      </w:r>
      <w:r>
        <w:rPr>
          <w:rFonts w:hint="eastAsia" w:ascii="宋体" w:hAnsi="宋体" w:cs="宋体"/>
          <w:color w:val="auto"/>
          <w:kern w:val="0"/>
          <w:szCs w:val="21"/>
          <w:highlight w:val="none"/>
          <w:u w:val="single"/>
        </w:rPr>
        <w:t>2021</w:t>
      </w:r>
      <w:r>
        <w:rPr>
          <w:rFonts w:hint="eastAsia" w:ascii="宋体" w:hAnsi="宋体" w:cs="宋体"/>
          <w:color w:val="auto"/>
          <w:kern w:val="0"/>
          <w:szCs w:val="21"/>
          <w:highlight w:val="none"/>
          <w:u w:val="single"/>
          <w:lang w:eastAsia="zh-CN"/>
        </w:rPr>
        <w:t>〕</w:t>
      </w:r>
      <w:r>
        <w:rPr>
          <w:rFonts w:hint="eastAsia" w:ascii="宋体" w:hAnsi="宋体" w:cs="宋体"/>
          <w:color w:val="auto"/>
          <w:kern w:val="0"/>
          <w:szCs w:val="21"/>
          <w:highlight w:val="none"/>
          <w:u w:val="single"/>
        </w:rPr>
        <w:t>7号文）以及《重庆市水利局关于发布2021年版&lt;重庆市水利建筑工程概算定额&gt;&lt;重庆市水利建筑工程预算定额&gt;&lt;重庆市水利工程机械台时费定额&gt;的通知》（渝水建</w:t>
      </w:r>
      <w:r>
        <w:rPr>
          <w:rFonts w:hint="eastAsia" w:ascii="宋体" w:hAnsi="宋体" w:cs="宋体"/>
          <w:color w:val="auto"/>
          <w:kern w:val="0"/>
          <w:szCs w:val="21"/>
          <w:highlight w:val="none"/>
          <w:u w:val="single"/>
          <w:lang w:eastAsia="zh-CN"/>
        </w:rPr>
        <w:t>〔</w:t>
      </w:r>
      <w:r>
        <w:rPr>
          <w:rFonts w:hint="eastAsia" w:ascii="宋体" w:hAnsi="宋体" w:cs="宋体"/>
          <w:color w:val="auto"/>
          <w:kern w:val="0"/>
          <w:szCs w:val="21"/>
          <w:highlight w:val="none"/>
          <w:u w:val="single"/>
        </w:rPr>
        <w:t>2021</w:t>
      </w:r>
      <w:r>
        <w:rPr>
          <w:rFonts w:hint="eastAsia" w:ascii="宋体" w:hAnsi="宋体" w:cs="宋体"/>
          <w:color w:val="auto"/>
          <w:kern w:val="0"/>
          <w:szCs w:val="21"/>
          <w:highlight w:val="none"/>
          <w:u w:val="single"/>
          <w:lang w:eastAsia="zh-CN"/>
        </w:rPr>
        <w:t>〕</w:t>
      </w:r>
      <w:r>
        <w:rPr>
          <w:rFonts w:hint="eastAsia" w:ascii="宋体" w:hAnsi="宋体" w:cs="宋体"/>
          <w:color w:val="auto"/>
          <w:kern w:val="0"/>
          <w:szCs w:val="21"/>
          <w:highlight w:val="none"/>
          <w:u w:val="single"/>
        </w:rPr>
        <w:t>8号文），《关于水利工程营业税改增值税后计价依据调整的通知》（渝水〔2016〕151号），《关于适用增值税新税率调整水利工程计价依据的通知》（渝水〔2018〕31号）、《关于重新调整水利工程和水土保持工程计价依据中增值税税率的通知》（渝水（2019）55号）及相关配套文件。建筑工程主要采用渝水建</w:t>
      </w:r>
      <w:r>
        <w:rPr>
          <w:rFonts w:hint="eastAsia" w:ascii="宋体" w:hAnsi="宋体" w:cs="宋体"/>
          <w:color w:val="auto"/>
          <w:kern w:val="0"/>
          <w:szCs w:val="21"/>
          <w:highlight w:val="none"/>
          <w:u w:val="single"/>
          <w:lang w:eastAsia="zh-CN"/>
        </w:rPr>
        <w:t>〔</w:t>
      </w:r>
      <w:r>
        <w:rPr>
          <w:rFonts w:hint="eastAsia" w:ascii="宋体" w:hAnsi="宋体" w:cs="宋体"/>
          <w:color w:val="auto"/>
          <w:kern w:val="0"/>
          <w:szCs w:val="21"/>
          <w:highlight w:val="none"/>
          <w:u w:val="single"/>
        </w:rPr>
        <w:t>2021</w:t>
      </w:r>
      <w:r>
        <w:rPr>
          <w:rFonts w:hint="eastAsia" w:ascii="宋体" w:hAnsi="宋体" w:cs="宋体"/>
          <w:color w:val="auto"/>
          <w:kern w:val="0"/>
          <w:szCs w:val="21"/>
          <w:highlight w:val="none"/>
          <w:u w:val="single"/>
          <w:lang w:eastAsia="zh-CN"/>
        </w:rPr>
        <w:t>〕</w:t>
      </w:r>
      <w:r>
        <w:rPr>
          <w:rFonts w:hint="eastAsia" w:ascii="宋体" w:hAnsi="宋体" w:cs="宋体"/>
          <w:color w:val="auto"/>
          <w:kern w:val="0"/>
          <w:szCs w:val="21"/>
          <w:highlight w:val="none"/>
          <w:u w:val="single"/>
        </w:rPr>
        <w:t>8号文颁发的《重庆市水利建筑工程预算定额》（2021年版）；施工机械台班费采用渝水建</w:t>
      </w:r>
      <w:r>
        <w:rPr>
          <w:rFonts w:hint="eastAsia" w:ascii="宋体" w:hAnsi="宋体" w:cs="宋体"/>
          <w:color w:val="auto"/>
          <w:kern w:val="0"/>
          <w:szCs w:val="21"/>
          <w:highlight w:val="none"/>
          <w:u w:val="single"/>
          <w:lang w:eastAsia="zh-CN"/>
        </w:rPr>
        <w:t>〔</w:t>
      </w:r>
      <w:r>
        <w:rPr>
          <w:rFonts w:hint="eastAsia" w:ascii="宋体" w:hAnsi="宋体" w:cs="宋体"/>
          <w:color w:val="auto"/>
          <w:kern w:val="0"/>
          <w:szCs w:val="21"/>
          <w:highlight w:val="none"/>
          <w:u w:val="single"/>
        </w:rPr>
        <w:t>2021</w:t>
      </w:r>
      <w:r>
        <w:rPr>
          <w:rFonts w:hint="eastAsia" w:ascii="宋体" w:hAnsi="宋体" w:cs="宋体"/>
          <w:color w:val="auto"/>
          <w:kern w:val="0"/>
          <w:szCs w:val="21"/>
          <w:highlight w:val="none"/>
          <w:u w:val="single"/>
          <w:lang w:eastAsia="zh-CN"/>
        </w:rPr>
        <w:t>〕</w:t>
      </w:r>
      <w:r>
        <w:rPr>
          <w:rFonts w:hint="eastAsia" w:ascii="宋体" w:hAnsi="宋体" w:cs="宋体"/>
          <w:color w:val="auto"/>
          <w:kern w:val="0"/>
          <w:szCs w:val="21"/>
          <w:highlight w:val="none"/>
          <w:u w:val="single"/>
        </w:rPr>
        <w:t>8号文颁发的《重庆市水利工程机械台时费定额》（2021年版）；安装工程采用渝水基</w:t>
      </w:r>
      <w:r>
        <w:rPr>
          <w:rFonts w:hint="eastAsia" w:ascii="宋体" w:hAnsi="宋体" w:cs="宋体"/>
          <w:color w:val="auto"/>
          <w:kern w:val="0"/>
          <w:szCs w:val="21"/>
          <w:highlight w:val="none"/>
          <w:u w:val="single"/>
          <w:lang w:eastAsia="zh-CN"/>
        </w:rPr>
        <w:t>〔</w:t>
      </w:r>
      <w:r>
        <w:rPr>
          <w:rFonts w:hint="eastAsia" w:ascii="宋体" w:hAnsi="宋体" w:cs="宋体"/>
          <w:color w:val="auto"/>
          <w:kern w:val="0"/>
          <w:szCs w:val="21"/>
          <w:highlight w:val="none"/>
          <w:u w:val="single"/>
        </w:rPr>
        <w:t>2008</w:t>
      </w:r>
      <w:r>
        <w:rPr>
          <w:rFonts w:hint="eastAsia" w:ascii="宋体" w:hAnsi="宋体" w:cs="宋体"/>
          <w:color w:val="auto"/>
          <w:kern w:val="0"/>
          <w:szCs w:val="21"/>
          <w:highlight w:val="none"/>
          <w:u w:val="single"/>
          <w:lang w:eastAsia="zh-CN"/>
        </w:rPr>
        <w:t>〕</w:t>
      </w:r>
      <w:r>
        <w:rPr>
          <w:rFonts w:hint="eastAsia" w:ascii="宋体" w:hAnsi="宋体" w:cs="宋体"/>
          <w:color w:val="auto"/>
          <w:kern w:val="0"/>
          <w:szCs w:val="21"/>
          <w:highlight w:val="none"/>
          <w:u w:val="single"/>
        </w:rPr>
        <w:t>31号文颁发的《重庆市中小型水利水电设备安装工程预算定额》（2008年版）</w:t>
      </w:r>
      <w:r>
        <w:rPr>
          <w:rFonts w:hint="eastAsia" w:ascii="宋体" w:hAnsi="宋体" w:cs="宋体"/>
          <w:color w:val="auto"/>
          <w:kern w:val="0"/>
          <w:szCs w:val="21"/>
          <w:highlight w:val="none"/>
          <w:u w:val="none"/>
        </w:rPr>
        <w:t>。</w:t>
      </w:r>
    </w:p>
    <w:p w14:paraId="76E1DC5A">
      <w:pPr>
        <w:pageBreakBefore w:val="0"/>
        <w:kinsoku/>
        <w:overflowPunct/>
        <w:topLinePunct w:val="0"/>
        <w:bidi w:val="0"/>
        <w:adjustRightInd w:val="0"/>
        <w:snapToGrid w:val="0"/>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一）如果《重庆市水利建筑工程预算定额》（2021年版）及其配套定额、文件没有适用于变更（新增）项目单价编制的定额子目，可借用全国水利定额、水利电力定额、其他省、市及自治区的水利定额的定额消耗量，人、材、机预算单价需严格按《重庆市水利工程机械台时费定额》（2021年版）、《重庆市水利工程设计概（估）算编制规定》（2021年版）和重庆市水利工程造价管理站发布的《关于公布重庆市水利工程人工费价格信息的通知》及其他配套文件编制执行。</w:t>
      </w:r>
    </w:p>
    <w:p w14:paraId="610FC41C">
      <w:pPr>
        <w:pageBreakBefore w:val="0"/>
        <w:kinsoku/>
        <w:overflowPunct/>
        <w:topLinePunct w:val="0"/>
        <w:bidi w:val="0"/>
        <w:adjustRightInd w:val="0"/>
        <w:snapToGrid w:val="0"/>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（二）如果2021年版《重庆市水利定额》及其他《水利定额》和配套的定额、文件均没有适用于变更（新增）项目单价编制的定额子目，由承包人报建设单位同意后，可借用重庆市2018定额及相关配套文件编制执行</w:t>
      </w:r>
      <w:r>
        <w:rPr>
          <w:rFonts w:hint="eastAsia" w:ascii="宋体" w:hAnsi="宋体" w:cs="宋体"/>
          <w:color w:val="auto"/>
          <w:kern w:val="0"/>
          <w:szCs w:val="21"/>
          <w:highlight w:val="none"/>
          <w:u w:val="none"/>
        </w:rPr>
        <w:t>。</w:t>
      </w:r>
    </w:p>
    <w:p w14:paraId="6578FE82">
      <w:pPr>
        <w:pageBreakBefore w:val="0"/>
        <w:kinsoku/>
        <w:overflowPunct/>
        <w:topLinePunct w:val="0"/>
        <w:bidi w:val="0"/>
        <w:adjustRightInd w:val="0"/>
        <w:snapToGrid w:val="0"/>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（三）变更（新增）项目中涉及的主要材料、设备</w:t>
      </w:r>
      <w:r>
        <w:rPr>
          <w:rFonts w:hint="eastAsia" w:ascii="宋体" w:hAnsi="宋体" w:cs="宋体"/>
          <w:color w:val="auto"/>
          <w:kern w:val="0"/>
          <w:szCs w:val="21"/>
          <w:highlight w:val="none"/>
          <w:u w:val="single"/>
          <w:lang w:eastAsia="zh-CN"/>
        </w:rPr>
        <w:t>由发包方提供</w:t>
      </w:r>
      <w:r>
        <w:rPr>
          <w:rFonts w:hint="eastAsia" w:ascii="宋体" w:hAnsi="宋体" w:cs="宋体"/>
          <w:color w:val="auto"/>
          <w:kern w:val="0"/>
          <w:szCs w:val="21"/>
          <w:highlight w:val="none"/>
          <w:u w:val="single"/>
        </w:rPr>
        <w:t>。</w:t>
      </w:r>
    </w:p>
    <w:p w14:paraId="05F5BBB2">
      <w:pPr>
        <w:pageBreakBefore w:val="0"/>
        <w:kinsoku/>
        <w:overflowPunct/>
        <w:topLinePunct w:val="0"/>
        <w:bidi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u w:val="single"/>
        </w:rPr>
        <w:t>（四）变更（新增）项目中涉及的次要材料、设备部分预算单价的确定，按变更（新增）项目实施当月《重庆工程造价信息》发布的指导价格执行</w:t>
      </w:r>
      <w:r>
        <w:rPr>
          <w:rFonts w:hint="eastAsia" w:ascii="宋体" w:hAnsi="宋体" w:cs="宋体"/>
          <w:color w:val="auto"/>
          <w:kern w:val="0"/>
          <w:szCs w:val="21"/>
          <w:highlight w:val="none"/>
        </w:rPr>
        <w:t>。</w:t>
      </w:r>
    </w:p>
    <w:p w14:paraId="0FA1B3A8">
      <w:pPr>
        <w:pageBreakBefore w:val="0"/>
        <w:kinsoku/>
        <w:overflowPunct/>
        <w:topLinePunct w:val="0"/>
        <w:bidi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承包人报价下浮比例按下列公式计算：承包人报价下浮比例=（1-中标价/招标控制价）×100%。</w:t>
      </w:r>
    </w:p>
    <w:p w14:paraId="5463F570">
      <w:pPr>
        <w:pageBreakBefore w:val="0"/>
        <w:kinsoku/>
        <w:overflowPunct/>
        <w:topLinePunct w:val="0"/>
        <w:bidi w:val="0"/>
        <w:adjustRightInd w:val="0"/>
        <w:snapToGrid w:val="0"/>
        <w:spacing w:line="360" w:lineRule="auto"/>
        <w:ind w:firstLine="420" w:firstLineChars="200"/>
        <w:rPr>
          <w:rFonts w:ascii="宋体" w:hAnsi="宋体" w:cs="宋体"/>
          <w:color w:val="auto"/>
          <w:kern w:val="0"/>
          <w:szCs w:val="21"/>
          <w:highlight w:val="none"/>
          <w:u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1）人工单价：人工工日价格按照重庆市水利工程造价管理站公布的重庆市水利工程2024年第二期人工费价格信息（渝水造价〔2024〕3号）执行：工长12.12元/工时，高级工11.26元/工时，中级工9.59元/工时，初级工5.19元/工时。</w:t>
      </w:r>
    </w:p>
    <w:p w14:paraId="58E6E78B">
      <w:pPr>
        <w:pageBreakBefore w:val="0"/>
        <w:kinsoku/>
        <w:overflowPunct/>
        <w:topLinePunct w:val="0"/>
        <w:bidi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（2）材料单价：</w:t>
      </w:r>
    </w:p>
    <w:p w14:paraId="281FF2EF">
      <w:pPr>
        <w:pageBreakBefore w:val="0"/>
        <w:kinsoku/>
        <w:overflowPunct/>
        <w:topLinePunct w:val="0"/>
        <w:bidi w:val="0"/>
        <w:adjustRightInd w:val="0"/>
        <w:snapToGrid w:val="0"/>
        <w:spacing w:line="360" w:lineRule="auto"/>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参照2025年第四期（2025年3月）《重庆工程造价信息》公布的（不含税）及除税市场价进行调整</w:t>
      </w:r>
      <w:r>
        <w:rPr>
          <w:rFonts w:hint="eastAsia" w:ascii="宋体" w:hAnsi="宋体" w:eastAsia="宋体" w:cs="宋体"/>
          <w:color w:val="auto"/>
          <w:kern w:val="0"/>
          <w:szCs w:val="21"/>
          <w:highlight w:val="none"/>
          <w:u w:val="none"/>
        </w:rPr>
        <w:t>。</w:t>
      </w:r>
    </w:p>
    <w:p w14:paraId="450D05A4">
      <w:pPr>
        <w:pageBreakBefore w:val="0"/>
        <w:kinsoku/>
        <w:overflowPunct/>
        <w:topLinePunct w:val="0"/>
        <w:bidi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本款补充15.4.4、15.4.5项如下：</w:t>
      </w:r>
    </w:p>
    <w:p w14:paraId="5D4567E0">
      <w:pPr>
        <w:pageBreakBefore w:val="0"/>
        <w:kinsoku/>
        <w:overflowPunct/>
        <w:topLinePunct w:val="0"/>
        <w:bidi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rPr>
        <w:t>15.4.4</w:t>
      </w:r>
      <w:r>
        <w:rPr>
          <w:rFonts w:hint="eastAsia" w:ascii="宋体" w:hAnsi="宋体" w:eastAsia="宋体" w:cs="宋体"/>
          <w:color w:val="auto"/>
          <w:kern w:val="0"/>
          <w:szCs w:val="21"/>
          <w:highlight w:val="none"/>
          <w:u w:val="single"/>
        </w:rPr>
        <w:t>已标价工程量清单中无相同项目亦无类似项目，也无定额可套用的，由承包人会同监理人、跟审单位、发包人按相关原则、编制方法编制补充，或参照重庆市场相同工作的市场价格上报监理人，最终价格按承包人、监理人、跟审单位、发包人共同询价确认的价格执行。</w:t>
      </w:r>
    </w:p>
    <w:p w14:paraId="21179CBE">
      <w:pPr>
        <w:pageBreakBefore w:val="0"/>
        <w:kinsoku/>
        <w:overflowPunct/>
        <w:topLinePunct w:val="0"/>
        <w:bidi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15.4.5工程变更引起施工方案改变并使安全生产费、临时工程费发生变化时，承包人提出调整安全生产费、临时工程费的，应事前将拟实施的方案提交监理人审核报发包人确认，并应详细说明与原方案安全生产费、临时工程费相比的变化情况。拟实施的方案经发承包双方确认后执行，并应按照下列规定调整安全生产费和临时工程费：</w:t>
      </w:r>
    </w:p>
    <w:p w14:paraId="3511510C">
      <w:pPr>
        <w:pageBreakBefore w:val="0"/>
        <w:kinsoku/>
        <w:overflowPunct/>
        <w:topLinePunct w:val="0"/>
        <w:bidi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eastAsia="宋体" w:cs="宋体"/>
          <w:color w:val="auto"/>
          <w:kern w:val="0"/>
          <w:szCs w:val="21"/>
          <w:highlight w:val="none"/>
        </w:rPr>
        <w:t>安全生产费应按照实际发生变化的工程项目依据按照财政部安全监督总局关于印发《企业安全生产费用提取和使用管理办法》的通知（财企</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2012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16号）要求和重庆市水利局办公室文件《重庆市水利局办公室关于进一步加强水利工程安全文明施工管理的通知》（渝水办建</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2021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1号）的规定，按变更后建筑安装工程项目总造价（不含设备费）的2.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%标准计提安全生产费用；</w:t>
      </w:r>
    </w:p>
    <w:p w14:paraId="5BA978DB">
      <w:pPr>
        <w:pageBreakBefore w:val="0"/>
        <w:kinsoku/>
        <w:overflowPunct/>
        <w:topLinePunct w:val="0"/>
        <w:bidi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（2）按总价（或系数）计算的临时工程费，应按照实际发生变化的临时工程费按承包人报价浮动率下浮后的金额计算；</w:t>
      </w:r>
    </w:p>
    <w:p w14:paraId="43DB24C0">
      <w:pPr>
        <w:pageBreakBefore w:val="0"/>
        <w:kinsoku/>
        <w:overflowPunct/>
        <w:topLinePunct w:val="0"/>
        <w:bidi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（3）如果承包人未事前将拟实施的方案提交给发包人确认，则应视为工程变更不引起安全生产费和临时工程费的调整或承包人放弃调整该项费用的权利。</w:t>
      </w:r>
    </w:p>
    <w:p w14:paraId="489BC154">
      <w:pPr>
        <w:pageBreakBefore w:val="0"/>
        <w:kinsoku/>
        <w:overflowPunct/>
        <w:topLinePunct w:val="0"/>
        <w:bidi w:val="0"/>
        <w:adjustRightInd w:val="0"/>
        <w:snapToGrid w:val="0"/>
        <w:spacing w:line="360" w:lineRule="auto"/>
        <w:ind w:firstLine="420" w:firstLineChars="200"/>
        <w:rPr>
          <w:rFonts w:hint="eastAsia" w:ascii="宋体" w:hAnsi="宋体" w:eastAsia="宋体" w:cs="宋体"/>
          <w:color w:val="auto"/>
          <w:kern w:val="0"/>
          <w:szCs w:val="21"/>
          <w:highlight w:val="none"/>
        </w:rPr>
      </w:pPr>
      <w:bookmarkStart w:id="226" w:name="_Toc33183758"/>
      <w:r>
        <w:rPr>
          <w:rFonts w:hint="eastAsia" w:ascii="宋体" w:hAnsi="宋体" w:eastAsia="宋体" w:cs="宋体"/>
          <w:color w:val="auto"/>
          <w:kern w:val="0"/>
          <w:szCs w:val="21"/>
          <w:highlight w:val="none"/>
        </w:rPr>
        <w:t>15.5承包人的合理化建议</w:t>
      </w:r>
      <w:bookmarkEnd w:id="226"/>
    </w:p>
    <w:p w14:paraId="59F9CA1E">
      <w:pPr>
        <w:pageBreakBefore w:val="0"/>
        <w:kinsoku/>
        <w:overflowPunct/>
        <w:topLinePunct w:val="0"/>
        <w:bidi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15.5.1 承包人提出合理化建议的，应向监理人提交合理化建议说明，说明建议的内容和理由，以及实施该建议对合同价格和（或）工期和（或）工程经济效益的影响。</w:t>
      </w:r>
    </w:p>
    <w:p w14:paraId="65192167">
      <w:pPr>
        <w:pageBreakBefore w:val="0"/>
        <w:kinsoku/>
        <w:overflowPunct/>
        <w:topLinePunct w:val="0"/>
        <w:bidi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监理人审查承包人合理化建议的期限：不超过14天。</w:t>
      </w:r>
    </w:p>
    <w:p w14:paraId="654C4112">
      <w:pPr>
        <w:pageBreakBefore w:val="0"/>
        <w:kinsoku/>
        <w:overflowPunct/>
        <w:topLinePunct w:val="0"/>
        <w:bidi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发包人审批承包人合理化建议的期限：不超过14天。</w:t>
      </w:r>
    </w:p>
    <w:p w14:paraId="11882C34">
      <w:pPr>
        <w:pageBreakBefore w:val="0"/>
        <w:kinsoku/>
        <w:overflowPunct/>
        <w:topLinePunct w:val="0"/>
        <w:bidi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eastAsia="宋体" w:cs="宋体"/>
          <w:color w:val="auto"/>
          <w:kern w:val="0"/>
          <w:szCs w:val="21"/>
          <w:highlight w:val="none"/>
        </w:rPr>
        <w:t xml:space="preserve">15.5.2 </w:t>
      </w:r>
      <w:bookmarkEnd w:id="223"/>
      <w:bookmarkStart w:id="227" w:name="_Toc221951219"/>
      <w:r>
        <w:rPr>
          <w:rFonts w:hint="eastAsia" w:ascii="宋体" w:hAnsi="宋体" w:eastAsia="宋体" w:cs="宋体"/>
          <w:color w:val="auto"/>
          <w:kern w:val="0"/>
          <w:szCs w:val="21"/>
          <w:highlight w:val="none"/>
        </w:rPr>
        <w:t>承包人提出的合理化建议降低了合同价格或缩短了工期或者提高了工</w:t>
      </w:r>
      <w:r>
        <w:rPr>
          <w:rFonts w:hint="eastAsia" w:ascii="宋体" w:hAnsi="宋体" w:cs="宋体"/>
          <w:color w:val="auto"/>
          <w:kern w:val="0"/>
          <w:szCs w:val="21"/>
          <w:highlight w:val="none"/>
        </w:rPr>
        <w:t>程经济效益的奖励的方法和金额为：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p>
    <w:bookmarkEnd w:id="227"/>
    <w:p w14:paraId="4DB672A8">
      <w:pPr>
        <w:pageBreakBefore w:val="0"/>
        <w:kinsoku/>
        <w:overflowPunct/>
        <w:topLinePunct w:val="0"/>
        <w:bidi w:val="0"/>
        <w:adjustRightInd w:val="0"/>
        <w:snapToGrid w:val="0"/>
        <w:spacing w:line="360" w:lineRule="auto"/>
        <w:ind w:firstLine="420" w:firstLineChars="200"/>
        <w:rPr>
          <w:rFonts w:hint="eastAsia" w:ascii="宋体" w:hAnsi="宋体" w:eastAsia="宋体" w:cs="宋体"/>
          <w:color w:val="auto"/>
          <w:kern w:val="0"/>
          <w:szCs w:val="21"/>
          <w:highlight w:val="none"/>
        </w:rPr>
      </w:pPr>
      <w:bookmarkStart w:id="228" w:name="_Toc221951221"/>
      <w:r>
        <w:rPr>
          <w:rFonts w:hint="eastAsia" w:ascii="宋体" w:hAnsi="宋体" w:eastAsia="宋体" w:cs="宋体"/>
          <w:color w:val="auto"/>
          <w:kern w:val="0"/>
          <w:szCs w:val="21"/>
          <w:highlight w:val="none"/>
        </w:rPr>
        <w:t>15.6暂列金额</w:t>
      </w:r>
    </w:p>
    <w:p w14:paraId="60BD6890">
      <w:pPr>
        <w:pageBreakBefore w:val="0"/>
        <w:kinsoku/>
        <w:overflowPunct/>
        <w:topLinePunct w:val="0"/>
        <w:bidi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合同当事人关于暂列金额使用的约定：</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p>
    <w:p w14:paraId="7397F89E">
      <w:pPr>
        <w:pageBreakBefore w:val="0"/>
        <w:kinsoku/>
        <w:overflowPunct/>
        <w:topLinePunct w:val="0"/>
        <w:bidi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15.8  暂估价</w:t>
      </w:r>
      <w:bookmarkEnd w:id="228"/>
    </w:p>
    <w:p w14:paraId="6B014228">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bookmarkStart w:id="229" w:name="_Toc221951222"/>
      <w:r>
        <w:rPr>
          <w:rFonts w:hint="eastAsia" w:ascii="宋体" w:hAnsi="宋体" w:cs="宋体"/>
          <w:color w:val="auto"/>
          <w:kern w:val="0"/>
          <w:szCs w:val="21"/>
          <w:highlight w:val="none"/>
        </w:rPr>
        <w:t>15.8.1（1）发包人和承包人组织招标的暂估价项目：</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；发包人组织招标的暂估价项目：</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64E51B83">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（2）发包人和承包人以招标方式选择暂估价项目供应商或分包人时，双方的权利义务关系</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68739BEF">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单项合同估算价在国家相关法律法规规定必须招标规模以下的，符合可以不招标相关规定的，由承包人实施，发包人配合。承包人（需在允许资质范围内）或承包人委托的有资质的专业分包单位实施。费用估价按照第15.4项〔变更的估价原则〕执行，承包人申报，经监理人、跟审单位、发包人共同审定。审定后根据承包人签订的相关合同（需经监理人、跟审单位、发包人）约定，由承包人申报，随进度款按与相关单位签订的合同约定一并支付。</w:t>
      </w:r>
    </w:p>
    <w:p w14:paraId="0BFCECBE">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单项合同暂估价在国家相关法律法规规定必须招标规模以上的，需依法必须招标的，由承包人、发包人共同招标确定。</w:t>
      </w:r>
    </w:p>
    <w:bookmarkEnd w:id="229"/>
    <w:p w14:paraId="417054B6">
      <w:pPr>
        <w:pageBreakBefore w:val="0"/>
        <w:kinsoku/>
        <w:overflowPunct/>
        <w:topLinePunct w:val="0"/>
        <w:bidi w:val="0"/>
        <w:spacing w:line="360" w:lineRule="auto"/>
        <w:ind w:firstLine="422" w:firstLineChars="200"/>
        <w:jc w:val="left"/>
        <w:rPr>
          <w:rFonts w:hint="eastAsia" w:ascii="宋体" w:hAnsi="宋体" w:cs="宋体"/>
          <w:b/>
          <w:bCs/>
          <w:color w:val="auto"/>
          <w:kern w:val="0"/>
          <w:szCs w:val="21"/>
          <w:highlight w:val="none"/>
        </w:rPr>
      </w:pPr>
      <w:bookmarkStart w:id="230" w:name="_Toc136350399"/>
      <w:bookmarkStart w:id="231" w:name="_Toc12983"/>
      <w:bookmarkStart w:id="232" w:name="_Toc59810419"/>
      <w:bookmarkStart w:id="233" w:name="_Toc229305397"/>
      <w:bookmarkStart w:id="234" w:name="_Toc33183759"/>
      <w:r>
        <w:rPr>
          <w:rFonts w:hint="eastAsia" w:ascii="宋体" w:hAnsi="宋体" w:cs="宋体"/>
          <w:b/>
          <w:bCs/>
          <w:color w:val="auto"/>
          <w:sz w:val="21"/>
          <w:szCs w:val="21"/>
          <w:highlight w:val="none"/>
        </w:rPr>
        <w:t>16</w:t>
      </w:r>
      <w:r>
        <w:rPr>
          <w:rFonts w:hint="eastAsia" w:ascii="宋体" w:hAnsi="宋体" w:cs="宋体"/>
          <w:b/>
          <w:bCs/>
          <w:color w:val="auto"/>
          <w:kern w:val="0"/>
          <w:szCs w:val="21"/>
          <w:highlight w:val="none"/>
        </w:rPr>
        <w:t>.价格调整</w:t>
      </w:r>
      <w:bookmarkEnd w:id="230"/>
      <w:bookmarkEnd w:id="231"/>
      <w:bookmarkEnd w:id="232"/>
      <w:bookmarkEnd w:id="233"/>
      <w:bookmarkEnd w:id="234"/>
    </w:p>
    <w:p w14:paraId="147E0996">
      <w:pPr>
        <w:pageBreakBefore w:val="0"/>
        <w:kinsoku/>
        <w:overflowPunct/>
        <w:topLinePunct w:val="0"/>
        <w:bidi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物价波动原因是否调整合同价格的约定：</w:t>
      </w:r>
      <w:r>
        <w:rPr>
          <w:rFonts w:hint="eastAsia" w:ascii="宋体" w:hAnsi="宋体" w:cs="宋体"/>
          <w:color w:val="auto"/>
          <w:kern w:val="0"/>
          <w:szCs w:val="21"/>
          <w:highlight w:val="none"/>
          <w:u w:val="single"/>
        </w:rPr>
        <w:t>不予调整</w:t>
      </w:r>
      <w:r>
        <w:rPr>
          <w:rFonts w:hint="eastAsia" w:ascii="宋体" w:hAnsi="宋体" w:cs="宋体"/>
          <w:color w:val="auto"/>
          <w:kern w:val="0"/>
          <w:szCs w:val="21"/>
          <w:highlight w:val="none"/>
        </w:rPr>
        <w:t>。</w:t>
      </w:r>
    </w:p>
    <w:p w14:paraId="232BECAE">
      <w:pPr>
        <w:pageBreakBefore w:val="0"/>
        <w:kinsoku/>
        <w:overflowPunct/>
        <w:topLinePunct w:val="0"/>
        <w:bidi w:val="0"/>
        <w:spacing w:line="360" w:lineRule="auto"/>
        <w:ind w:firstLine="420" w:firstLineChars="200"/>
        <w:jc w:val="left"/>
        <w:rPr>
          <w:rFonts w:hint="eastAsia" w:ascii="宋体" w:hAnsi="宋体" w:cs="宋体"/>
          <w:color w:val="auto"/>
          <w:kern w:val="0"/>
          <w:szCs w:val="21"/>
          <w:highlight w:val="none"/>
        </w:rPr>
      </w:pPr>
      <w:bookmarkStart w:id="235" w:name="_Toc33183760"/>
      <w:r>
        <w:rPr>
          <w:rFonts w:hint="eastAsia" w:ascii="宋体" w:hAnsi="宋体" w:cs="宋体"/>
          <w:color w:val="auto"/>
          <w:kern w:val="0"/>
          <w:szCs w:val="21"/>
          <w:highlight w:val="none"/>
        </w:rPr>
        <w:t>16.1 物价波动引起的价格调整</w:t>
      </w:r>
      <w:bookmarkEnd w:id="235"/>
    </w:p>
    <w:p w14:paraId="4F041B58">
      <w:pPr>
        <w:pageBreakBefore w:val="0"/>
        <w:kinsoku/>
        <w:overflowPunct/>
        <w:topLinePunct w:val="0"/>
        <w:bidi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物价波动引起的价格调整方式： </w:t>
      </w:r>
      <w:r>
        <w:rPr>
          <w:rFonts w:hint="eastAsia" w:ascii="宋体" w:hAnsi="宋体" w:cs="宋体"/>
          <w:color w:val="auto"/>
          <w:kern w:val="0"/>
          <w:szCs w:val="21"/>
          <w:highlight w:val="none"/>
          <w:u w:val="single"/>
        </w:rPr>
        <w:t>不因物价波动作任何调整</w:t>
      </w:r>
      <w:r>
        <w:rPr>
          <w:rFonts w:hint="eastAsia" w:ascii="宋体" w:hAnsi="宋体" w:cs="宋体"/>
          <w:color w:val="auto"/>
          <w:kern w:val="0"/>
          <w:szCs w:val="21"/>
          <w:highlight w:val="none"/>
        </w:rPr>
        <w:t xml:space="preserve"> 。</w:t>
      </w:r>
    </w:p>
    <w:p w14:paraId="1222BA54">
      <w:pPr>
        <w:pageBreakBefore w:val="0"/>
        <w:kinsoku/>
        <w:overflowPunct/>
        <w:topLinePunct w:val="0"/>
        <w:bidi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16.2 法律变化引起的调整</w:t>
      </w:r>
    </w:p>
    <w:p w14:paraId="6874BFB4">
      <w:pPr>
        <w:pageBreakBefore w:val="0"/>
        <w:kinsoku/>
        <w:overflowPunct/>
        <w:topLinePunct w:val="0"/>
        <w:bidi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项目投标基准日后至完工验收之日，国家或相关行政主管部门发布直接影响项目的新法规、新政策、新文件、新标准，属强制执行的，自执行之日执行，由此增减的费用由发包人承担，估价照第15.4款〔变更的估价原则〕执行；属选择性执行的，发包人与承包人协商解决。</w:t>
      </w:r>
    </w:p>
    <w:p w14:paraId="41EB87E6">
      <w:pPr>
        <w:pageBreakBefore w:val="0"/>
        <w:kinsoku/>
        <w:overflowPunct/>
        <w:topLinePunct w:val="0"/>
        <w:bidi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本条补充16.3款如下;</w:t>
      </w:r>
    </w:p>
    <w:p w14:paraId="53158E49">
      <w:pPr>
        <w:pageBreakBefore w:val="0"/>
        <w:kinsoku/>
        <w:overflowPunct/>
        <w:topLinePunct w:val="0"/>
        <w:bidi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16.3 严重不平衡报价引起的调整</w:t>
      </w:r>
    </w:p>
    <w:p w14:paraId="55CD7946">
      <w:pPr>
        <w:pageBreakBefore w:val="0"/>
        <w:kinsoku/>
        <w:overflowPunct/>
        <w:topLinePunct w:val="0"/>
        <w:bidi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合同履行期间，当按第17〔计量与支付〕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完工结算，修正综合单价按照第15.4.3项〔变更的估价原则〕约定执行。</w:t>
      </w:r>
    </w:p>
    <w:p w14:paraId="5A121A2F">
      <w:pPr>
        <w:pageBreakBefore w:val="0"/>
        <w:kinsoku/>
        <w:overflowPunct/>
        <w:topLinePunct w:val="0"/>
        <w:bidi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严重不平衡报价是指：清单子目综合单价与发包人按照第15.4.3项〔变更的估价原则〕目约定确定的综合单价相比高于50%的报价，即为“【严重不平衡报价清单子目综合单价 - 按照第15.4.3项〔变更的估价原则〕约定确定的综合单价】/按照第15.4.3项〔变更的估价原则〕目约定确定的综合单价×100%”</w:t>
      </w:r>
      <w:r>
        <w:rPr>
          <w:rFonts w:hint="eastAsia" w:ascii="宋体" w:hAnsi="宋体" w:cs="宋体"/>
          <w:color w:val="auto"/>
          <w:kern w:val="0"/>
          <w:szCs w:val="21"/>
          <w:highlight w:val="none"/>
          <w:u w:val="none"/>
        </w:rPr>
        <w:t>。</w:t>
      </w:r>
    </w:p>
    <w:p w14:paraId="1038B4E4">
      <w:pPr>
        <w:pageBreakBefore w:val="0"/>
        <w:kinsoku/>
        <w:overflowPunct/>
        <w:topLinePunct w:val="0"/>
        <w:bidi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16.4 因算术性错误导致的价格调整</w:t>
      </w:r>
    </w:p>
    <w:p w14:paraId="6046CD78">
      <w:pPr>
        <w:pageBreakBefore w:val="0"/>
        <w:kinsoku/>
        <w:overflowPunct/>
        <w:topLinePunct w:val="0"/>
        <w:bidi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发包人在合同签订前将对承包人“已标价工程量清单”进行复核，若出现差错的按以下原则进行处理（或结算）：</w:t>
      </w:r>
    </w:p>
    <w:p w14:paraId="1163BBEA">
      <w:pPr>
        <w:pageBreakBefore w:val="0"/>
        <w:kinsoku/>
        <w:overflowPunct/>
        <w:topLinePunct w:val="0"/>
        <w:bidi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投标总报价汇总计算结果与投标函总报价不一致时，按就低不就高原则进行修正，即：汇总计算结果高于投标函总报价则以投标函总报价为准，按汇总计算结果与投标函总报价相比的降低幅度同比例修正分组报价和各清单子目单价；汇总计算结果低于投标函总报价则以投标总报价汇总计算结果为准进行签约或结算；</w:t>
      </w:r>
    </w:p>
    <w:p w14:paraId="47EBADE4">
      <w:pPr>
        <w:pStyle w:val="4"/>
        <w:pageBreakBefore w:val="0"/>
        <w:kinsoku/>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（2）依据单价和数量计算结果与其合价不符的，按不利于投标人原则（就低不就高）对其单价和合价进行修正。</w:t>
      </w:r>
    </w:p>
    <w:p w14:paraId="3BA8F32A">
      <w:pPr>
        <w:pStyle w:val="4"/>
        <w:pageBreakBefore w:val="0"/>
        <w:widowControl/>
        <w:kinsoku/>
        <w:wordWrap/>
        <w:overflowPunct/>
        <w:topLinePunct w:val="0"/>
        <w:autoSpaceDE/>
        <w:autoSpaceDN/>
        <w:bidi w:val="0"/>
        <w:adjustRightInd/>
        <w:snapToGrid/>
        <w:spacing w:line="360" w:lineRule="auto"/>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（3）单价报价超过工程量清单综合单价最高限价的，以工程量清单综合单价最高限价为基础，按照中标总报价与总价最高限价的下浮比例进行同比例下调修正其单价和合价。</w:t>
      </w:r>
    </w:p>
    <w:p w14:paraId="527E5071">
      <w:pPr>
        <w:pStyle w:val="4"/>
        <w:pageBreakBefore w:val="0"/>
        <w:widowControl/>
        <w:kinsoku/>
        <w:wordWrap/>
        <w:overflowPunct/>
        <w:topLinePunct w:val="0"/>
        <w:autoSpaceDE/>
        <w:autoSpaceDN/>
        <w:bidi w:val="0"/>
        <w:adjustRightInd/>
        <w:snapToGrid/>
        <w:spacing w:after="0" w:line="36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4）工程量清单漏项的，按该项单价为0进行修正（即视为该项工作内容的报价已包括在其他项目报价内），超出招标人提供的工程量清单范围的清单项目报价不予认可，按该清单项目报价为0对其单价和合价进行修正。</w:t>
      </w:r>
    </w:p>
    <w:p w14:paraId="147B7C5E">
      <w:pPr>
        <w:pStyle w:val="4"/>
        <w:pageBreakBefore w:val="0"/>
        <w:widowControl/>
        <w:kinsoku/>
        <w:wordWrap/>
        <w:overflowPunct/>
        <w:topLinePunct w:val="0"/>
        <w:autoSpaceDE/>
        <w:autoSpaceDN/>
        <w:bidi w:val="0"/>
        <w:adjustRightInd/>
        <w:snapToGrid/>
        <w:spacing w:after="0" w:line="36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上述内容，承包人必须无条件接受，否则按承包人违约处理。</w:t>
      </w:r>
    </w:p>
    <w:p w14:paraId="1F51C06F">
      <w:pPr>
        <w:pStyle w:val="4"/>
        <w:pageBreakBefore w:val="0"/>
        <w:widowControl/>
        <w:kinsoku/>
        <w:wordWrap/>
        <w:overflowPunct/>
        <w:topLinePunct w:val="0"/>
        <w:autoSpaceDE/>
        <w:autoSpaceDN/>
        <w:bidi w:val="0"/>
        <w:adjustRightInd/>
        <w:snapToGrid/>
        <w:spacing w:after="0" w:line="360" w:lineRule="auto"/>
        <w:ind w:firstLine="422" w:firstLineChars="200"/>
        <w:textAlignment w:val="baseline"/>
        <w:rPr>
          <w:rFonts w:hint="eastAsia" w:ascii="宋体" w:hAnsi="宋体" w:cs="宋体"/>
          <w:b/>
          <w:bCs/>
          <w:color w:val="auto"/>
          <w:szCs w:val="21"/>
          <w:highlight w:val="none"/>
        </w:rPr>
      </w:pPr>
      <w:bookmarkStart w:id="236" w:name="_Toc222032709"/>
      <w:bookmarkStart w:id="237" w:name="_Toc59810420"/>
      <w:bookmarkStart w:id="238" w:name="_Toc16403"/>
      <w:bookmarkStart w:id="239" w:name="_Toc136350400"/>
      <w:bookmarkStart w:id="240" w:name="_Toc222033891"/>
      <w:bookmarkStart w:id="241" w:name="_Toc229305398"/>
      <w:bookmarkStart w:id="242" w:name="_Toc221951223"/>
      <w:bookmarkStart w:id="243" w:name="_Toc33183761"/>
      <w:bookmarkStart w:id="244" w:name="_Toc222031042"/>
      <w:bookmarkStart w:id="245" w:name="_Toc222029540"/>
      <w:r>
        <w:rPr>
          <w:rFonts w:hint="eastAsia" w:ascii="宋体" w:hAnsi="宋体" w:cs="宋体"/>
          <w:b/>
          <w:bCs/>
          <w:color w:val="auto"/>
          <w:szCs w:val="21"/>
          <w:highlight w:val="none"/>
        </w:rPr>
        <w:t>17.计量与支付</w:t>
      </w:r>
      <w:bookmarkEnd w:id="236"/>
      <w:bookmarkEnd w:id="237"/>
      <w:bookmarkEnd w:id="238"/>
      <w:bookmarkEnd w:id="239"/>
      <w:bookmarkEnd w:id="240"/>
      <w:bookmarkEnd w:id="241"/>
      <w:bookmarkEnd w:id="242"/>
      <w:bookmarkEnd w:id="243"/>
      <w:bookmarkEnd w:id="244"/>
      <w:bookmarkEnd w:id="245"/>
    </w:p>
    <w:p w14:paraId="36FAE0DD">
      <w:pPr>
        <w:pStyle w:val="4"/>
        <w:pageBreakBefore w:val="0"/>
        <w:widowControl/>
        <w:kinsoku/>
        <w:wordWrap/>
        <w:overflowPunct/>
        <w:topLinePunct w:val="0"/>
        <w:autoSpaceDE/>
        <w:autoSpaceDN/>
        <w:bidi w:val="0"/>
        <w:adjustRightInd/>
        <w:snapToGrid/>
        <w:spacing w:after="0" w:line="360" w:lineRule="auto"/>
        <w:ind w:firstLine="420" w:firstLineChars="200"/>
        <w:textAlignment w:val="baseline"/>
        <w:rPr>
          <w:rFonts w:hint="eastAsia" w:ascii="宋体" w:hAnsi="宋体" w:cs="宋体"/>
          <w:color w:val="auto"/>
          <w:szCs w:val="21"/>
          <w:highlight w:val="none"/>
        </w:rPr>
      </w:pPr>
      <w:bookmarkStart w:id="246" w:name="_Toc33183762"/>
      <w:bookmarkStart w:id="247" w:name="_Toc221951224"/>
      <w:r>
        <w:rPr>
          <w:rFonts w:hint="eastAsia" w:ascii="宋体" w:hAnsi="宋体" w:cs="宋体"/>
          <w:color w:val="auto"/>
          <w:szCs w:val="21"/>
          <w:highlight w:val="none"/>
        </w:rPr>
        <w:t>17.1 计量</w:t>
      </w:r>
      <w:bookmarkEnd w:id="246"/>
    </w:p>
    <w:p w14:paraId="4D0457EA">
      <w:pPr>
        <w:pStyle w:val="4"/>
        <w:pageBreakBefore w:val="0"/>
        <w:widowControl/>
        <w:kinsoku/>
        <w:wordWrap/>
        <w:overflowPunct/>
        <w:topLinePunct w:val="0"/>
        <w:autoSpaceDE/>
        <w:autoSpaceDN/>
        <w:bidi w:val="0"/>
        <w:adjustRightInd/>
        <w:snapToGrid/>
        <w:spacing w:after="0" w:line="36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17.1.2 计量方法</w:t>
      </w:r>
    </w:p>
    <w:p w14:paraId="12D7E893">
      <w:pPr>
        <w:pageBreakBefore w:val="0"/>
        <w:tabs>
          <w:tab w:val="left" w:pos="1134"/>
        </w:tabs>
        <w:kinsoku/>
        <w:overflowPunct/>
        <w:topLinePunct w:val="0"/>
        <w:bidi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工程量</w:t>
      </w:r>
      <w:r>
        <w:rPr>
          <w:rFonts w:hint="eastAsia" w:ascii="宋体" w:hAnsi="宋体" w:cs="宋体"/>
          <w:color w:val="auto"/>
          <w:kern w:val="0"/>
          <w:szCs w:val="21"/>
          <w:highlight w:val="none"/>
          <w:u w:val="single"/>
        </w:rPr>
        <w:t>按《水利水电工程设计工程量计算规定》（SL 328-2005）、《重庆市水利工程设计概（估）算 编制规定》（2021年版）、《重庆市水利建筑工程预算定额》（2021年版）、《重庆市水利工程机械台时费定额》（2021年版）及《重庆市中小型水利水电设备安装工程预算定额》（2008年版）等</w:t>
      </w:r>
      <w:r>
        <w:rPr>
          <w:rFonts w:hint="eastAsia" w:ascii="宋体" w:hAnsi="宋体" w:cs="宋体"/>
          <w:color w:val="auto"/>
          <w:kern w:val="0"/>
          <w:szCs w:val="21"/>
          <w:highlight w:val="none"/>
        </w:rPr>
        <w:t>规定的计算规则及已标价工程量清单规定的工程量计算规则计量。</w:t>
      </w:r>
    </w:p>
    <w:p w14:paraId="2966B5DA">
      <w:pPr>
        <w:pageBreakBefore w:val="0"/>
        <w:tabs>
          <w:tab w:val="left" w:pos="1134"/>
        </w:tabs>
        <w:kinsoku/>
        <w:overflowPunct/>
        <w:topLinePunct w:val="0"/>
        <w:bidi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17.1.3 计量周期</w:t>
      </w:r>
    </w:p>
    <w:p w14:paraId="0BF17740">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关于计量周期的约定：</w:t>
      </w:r>
      <w:r>
        <w:rPr>
          <w:rFonts w:hint="eastAsia" w:ascii="宋体" w:hAnsi="宋体"/>
          <w:color w:val="auto"/>
          <w:szCs w:val="21"/>
          <w:highlight w:val="none"/>
          <w:u w:val="single"/>
        </w:rPr>
        <w:t>按</w:t>
      </w:r>
      <w:r>
        <w:rPr>
          <w:rFonts w:hint="eastAsia" w:ascii="宋体" w:hAnsi="宋体" w:cs="宋体"/>
          <w:color w:val="auto"/>
          <w:kern w:val="0"/>
          <w:szCs w:val="21"/>
          <w:highlight w:val="none"/>
          <w:u w:val="single"/>
        </w:rPr>
        <w:t>月</w:t>
      </w:r>
      <w:r>
        <w:rPr>
          <w:rFonts w:hint="eastAsia" w:ascii="宋体" w:hAnsi="宋体"/>
          <w:color w:val="auto"/>
          <w:szCs w:val="21"/>
          <w:highlight w:val="none"/>
          <w:u w:val="single"/>
        </w:rPr>
        <w:t>计量</w:t>
      </w:r>
      <w:r>
        <w:rPr>
          <w:rFonts w:hint="eastAsia" w:ascii="宋体" w:hAnsi="宋体" w:cs="宋体"/>
          <w:color w:val="auto"/>
          <w:kern w:val="0"/>
          <w:szCs w:val="21"/>
          <w:highlight w:val="none"/>
        </w:rPr>
        <w:t>。</w:t>
      </w:r>
    </w:p>
    <w:p w14:paraId="03A3A95D">
      <w:pPr>
        <w:pageBreakBefore w:val="0"/>
        <w:kinsoku/>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17.1.4 单价子目的计量</w:t>
      </w:r>
    </w:p>
    <w:p w14:paraId="2BDB572E">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本项补充17.1.4.1、17.1.4.2目如下：</w:t>
      </w:r>
    </w:p>
    <w:p w14:paraId="4C138C33">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17.1.4.1单价子目</w:t>
      </w:r>
    </w:p>
    <w:p w14:paraId="4FCE0D53">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单价子目包含的风险范围：</w:t>
      </w:r>
      <w:r>
        <w:rPr>
          <w:rFonts w:hint="eastAsia" w:ascii="宋体" w:hAnsi="宋体" w:cs="宋体"/>
          <w:color w:val="auto"/>
          <w:kern w:val="0"/>
          <w:szCs w:val="21"/>
          <w:highlight w:val="none"/>
          <w:u w:val="single"/>
        </w:rPr>
        <w:t>除第16条〔价格调整〕约定范围外的市场价格波动风险、政策性文件规定的各项应有费用、招标文件和合同明示或暗示的应由承包人承担的所有责任、义务和风险等所需的费用，包括但不限于为实施和完成合同工程所需的人工费、材料费、施工机械费、其他费用、其它直接费、间接费、利润、价差、税金及缺陷修复等费用</w:t>
      </w:r>
      <w:r>
        <w:rPr>
          <w:rFonts w:hint="eastAsia" w:ascii="宋体" w:hAnsi="宋体" w:cs="宋体"/>
          <w:color w:val="auto"/>
          <w:kern w:val="0"/>
          <w:szCs w:val="21"/>
          <w:highlight w:val="none"/>
        </w:rPr>
        <w:t>。</w:t>
      </w:r>
    </w:p>
    <w:p w14:paraId="3E6E4470">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风险费用的计算方法：</w:t>
      </w:r>
      <w:r>
        <w:rPr>
          <w:rFonts w:hint="eastAsia" w:ascii="宋体" w:hAnsi="宋体" w:cs="宋体"/>
          <w:color w:val="auto"/>
          <w:kern w:val="0"/>
          <w:szCs w:val="21"/>
          <w:highlight w:val="none"/>
          <w:u w:val="single"/>
        </w:rPr>
        <w:t>除第16条〔价格调整〕约定范围外，由承包人自行综合考虑并计入单价子目价格中，包干使用</w:t>
      </w:r>
      <w:r>
        <w:rPr>
          <w:rFonts w:hint="eastAsia" w:ascii="宋体" w:hAnsi="宋体" w:cs="宋体"/>
          <w:color w:val="auto"/>
          <w:kern w:val="0"/>
          <w:szCs w:val="21"/>
          <w:highlight w:val="none"/>
        </w:rPr>
        <w:t>。</w:t>
      </w:r>
    </w:p>
    <w:p w14:paraId="3B38C855">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风险范围以外合同价格的调整方法：</w:t>
      </w:r>
      <w:r>
        <w:rPr>
          <w:rFonts w:hint="eastAsia" w:ascii="宋体" w:hAnsi="宋体" w:cs="宋体"/>
          <w:color w:val="auto"/>
          <w:kern w:val="0"/>
          <w:szCs w:val="21"/>
          <w:highlight w:val="none"/>
          <w:u w:val="single"/>
        </w:rPr>
        <w:t>按照第16条〔价格调整〕约定执行</w:t>
      </w:r>
      <w:r>
        <w:rPr>
          <w:rFonts w:hint="eastAsia" w:ascii="宋体" w:hAnsi="宋体" w:cs="宋体"/>
          <w:color w:val="auto"/>
          <w:kern w:val="0"/>
          <w:szCs w:val="21"/>
          <w:highlight w:val="none"/>
        </w:rPr>
        <w:t>。</w:t>
      </w:r>
    </w:p>
    <w:p w14:paraId="0DCBDA51">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17.1.4.2关于单价合同计量的约定</w:t>
      </w:r>
    </w:p>
    <w:p w14:paraId="6043BF3E">
      <w:pPr>
        <w:pageBreakBefore w:val="0"/>
        <w:kinsoku/>
        <w:overflowPunct/>
        <w:topLinePunct w:val="0"/>
        <w:bidi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（1）承包人应于当月</w:t>
      </w:r>
      <w:r>
        <w:rPr>
          <w:rFonts w:hint="eastAsia" w:ascii="宋体" w:hAnsi="宋体" w:cs="宋体"/>
          <w:color w:val="auto"/>
          <w:kern w:val="0"/>
          <w:szCs w:val="21"/>
          <w:highlight w:val="none"/>
          <w:u w:val="single"/>
          <w:lang w:val="en-US" w:eastAsia="zh-CN"/>
        </w:rPr>
        <w:t>25</w:t>
      </w:r>
      <w:r>
        <w:rPr>
          <w:rFonts w:hint="eastAsia" w:ascii="宋体" w:hAnsi="宋体" w:cs="宋体"/>
          <w:color w:val="auto"/>
          <w:kern w:val="0"/>
          <w:szCs w:val="21"/>
          <w:highlight w:val="none"/>
          <w:u w:val="single"/>
        </w:rPr>
        <w:t>日前向监理人报送上月已完成的工程量，并附进度付款申请单、已完成工程量报表和其他有关资料。</w:t>
      </w:r>
    </w:p>
    <w:p w14:paraId="5D406FD0">
      <w:pPr>
        <w:pageBreakBefore w:val="0"/>
        <w:kinsoku/>
        <w:overflowPunct/>
        <w:topLinePunct w:val="0"/>
        <w:bidi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（2）承包人未在已标价的工程量清单中填入单价和（或）总价的子目，视为该子目的费用已包含合同工程的其他子目的单价或总价中，不再另行计量支付。</w:t>
      </w:r>
    </w:p>
    <w:p w14:paraId="4B75437D">
      <w:pPr>
        <w:pageBreakBefore w:val="0"/>
        <w:kinsoku/>
        <w:overflowPunct/>
        <w:topLinePunct w:val="0"/>
        <w:bidi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3）监理人应在收到承包人提交的工程量报表后7天内完成对承包人提交的工程量报表的审核并报送发包人；发包人收到监理人报送资料后7天内完成审批，以确定当月实际完成的工程量。监理人、跟审单位（如有）、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p>
    <w:p w14:paraId="1F76BD87">
      <w:pPr>
        <w:pageBreakBefore w:val="0"/>
        <w:kinsoku/>
        <w:overflowPunct/>
        <w:topLinePunct w:val="0"/>
        <w:bidi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4）工程量的计量仅作为进度付款和工程施工进度控制的依据，不应认为是承包人履行合同义务完成工程的实际和准确的工程量，实际和准确工程量按完（竣）工图和第17.1.2项〔计量方法〕约定确认的工程量为准。</w:t>
      </w:r>
    </w:p>
    <w:p w14:paraId="18934E9D">
      <w:pPr>
        <w:pageBreakBefore w:val="0"/>
        <w:kinsoku/>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17.1.5 总价子目的计量</w:t>
      </w:r>
    </w:p>
    <w:p w14:paraId="7945AC2A">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本项补充17.1.5.1、17.1.5.2目如下：</w:t>
      </w:r>
    </w:p>
    <w:p w14:paraId="58F5B293">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17.1.5.1总价子目</w:t>
      </w:r>
    </w:p>
    <w:p w14:paraId="4AE20DBD">
      <w:pPr>
        <w:pageBreakBefore w:val="0"/>
        <w:kinsoku/>
        <w:overflowPunct/>
        <w:topLinePunct w:val="0"/>
        <w:bidi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总价子目包含的风险范围：</w:t>
      </w:r>
      <w:r>
        <w:rPr>
          <w:rFonts w:hint="eastAsia" w:ascii="宋体" w:hAnsi="宋体" w:cs="宋体"/>
          <w:color w:val="auto"/>
          <w:kern w:val="0"/>
          <w:szCs w:val="21"/>
          <w:highlight w:val="none"/>
          <w:u w:val="single"/>
        </w:rPr>
        <w:t>包括但不限于为实施和完成合同工程所需的人工费、材料费、施工机械费、其他费用、其它直接费、间接费、利润、价差、税金及缺陷修复等费用，以及第16条〔市场价格波动引起的调整〕约定范围内的市场价格波动风险、政策性文件规定的各项应有费用、招标文件和合同明示或暗示的应由承包人承担的所有责任、义务和风险等所需的费用。</w:t>
      </w:r>
    </w:p>
    <w:p w14:paraId="7E750F47">
      <w:pPr>
        <w:pageBreakBefore w:val="0"/>
        <w:kinsoku/>
        <w:overflowPunct/>
        <w:topLinePunct w:val="0"/>
        <w:bidi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风险费用的计算方法：</w:t>
      </w:r>
      <w:r>
        <w:rPr>
          <w:rFonts w:hint="eastAsia" w:ascii="宋体" w:hAnsi="宋体" w:cs="宋体"/>
          <w:color w:val="auto"/>
          <w:kern w:val="0"/>
          <w:szCs w:val="21"/>
          <w:highlight w:val="none"/>
          <w:u w:val="single"/>
        </w:rPr>
        <w:t>由承包人自行考虑并计入签约合同价格中，包干使用。</w:t>
      </w:r>
    </w:p>
    <w:p w14:paraId="22C7D29B">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风险范围以外合同价格的调整方法：</w:t>
      </w:r>
      <w:r>
        <w:rPr>
          <w:rFonts w:hint="eastAsia" w:ascii="宋体" w:hAnsi="宋体" w:cs="宋体"/>
          <w:color w:val="auto"/>
          <w:kern w:val="0"/>
          <w:szCs w:val="21"/>
          <w:highlight w:val="none"/>
          <w:u w:val="single"/>
        </w:rPr>
        <w:t>除本合同第15条（变更）约定的价格调整外，其余不作调整。</w:t>
      </w:r>
    </w:p>
    <w:p w14:paraId="2D97A05A">
      <w:pPr>
        <w:pageBreakBefore w:val="0"/>
        <w:kinsoku/>
        <w:overflowPunct/>
        <w:topLinePunct w:val="0"/>
        <w:bidi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17.1.5.2关于总价合同计量的约定：</w:t>
      </w:r>
      <w:r>
        <w:rPr>
          <w:rFonts w:hint="eastAsia" w:ascii="宋体" w:hAnsi="宋体" w:cs="宋体"/>
          <w:color w:val="auto"/>
          <w:szCs w:val="21"/>
          <w:highlight w:val="none"/>
          <w:u w:val="single"/>
        </w:rPr>
        <w:t>承包人应按批准的各总价子目支付周期，以确定分阶段实际完成的工程量和工程形象目标，并对已完成的总价子目进行计量，从而确定分项的应付金额列入进度付款申请单中。</w:t>
      </w:r>
    </w:p>
    <w:p w14:paraId="1B39BB76">
      <w:pPr>
        <w:pStyle w:val="4"/>
        <w:pageBreakBefore w:val="0"/>
        <w:kinsoku/>
        <w:overflowPunct/>
        <w:topLinePunct w:val="0"/>
        <w:bidi w:val="0"/>
        <w:spacing w:line="360" w:lineRule="auto"/>
        <w:ind w:firstLine="420" w:firstLineChars="200"/>
        <w:rPr>
          <w:color w:val="auto"/>
          <w:highlight w:val="none"/>
        </w:rPr>
      </w:pPr>
      <w:r>
        <w:rPr>
          <w:rFonts w:hint="eastAsia" w:ascii="宋体" w:hAnsi="宋体" w:cs="宋体"/>
          <w:color w:val="auto"/>
          <w:szCs w:val="21"/>
          <w:highlight w:val="none"/>
          <w:u w:val="single"/>
        </w:rPr>
        <w:t>本款补充17.1.6项如下：</w:t>
      </w:r>
    </w:p>
    <w:p w14:paraId="67BCCF12">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17.1.6 其他价格形式合同的计量</w:t>
      </w:r>
    </w:p>
    <w:p w14:paraId="02988939">
      <w:pPr>
        <w:pageBreakBefore w:val="0"/>
        <w:kinsoku/>
        <w:overflowPunct/>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其他价格形式的计量方式和程序：</w:t>
      </w:r>
      <w:r>
        <w:rPr>
          <w:rFonts w:hint="eastAsia" w:ascii="宋体" w:hAnsi="宋体" w:cs="宋体"/>
          <w:color w:val="auto"/>
          <w:kern w:val="0"/>
          <w:szCs w:val="21"/>
          <w:highlight w:val="none"/>
          <w:u w:val="single"/>
        </w:rPr>
        <w:t xml:space="preserve"> 不采用 </w:t>
      </w:r>
      <w:r>
        <w:rPr>
          <w:rFonts w:hint="eastAsia" w:ascii="宋体" w:hAnsi="宋体" w:cs="宋体"/>
          <w:color w:val="auto"/>
          <w:kern w:val="0"/>
          <w:szCs w:val="21"/>
          <w:highlight w:val="none"/>
        </w:rPr>
        <w:t>。</w:t>
      </w:r>
    </w:p>
    <w:p w14:paraId="45529209">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bookmarkStart w:id="248" w:name="_Toc33183763"/>
      <w:r>
        <w:rPr>
          <w:rFonts w:hint="eastAsia" w:ascii="宋体" w:hAnsi="宋体" w:cs="宋体"/>
          <w:color w:val="auto"/>
          <w:szCs w:val="21"/>
          <w:highlight w:val="none"/>
        </w:rPr>
        <w:t>17.2  预付款</w:t>
      </w:r>
      <w:bookmarkEnd w:id="247"/>
      <w:bookmarkEnd w:id="248"/>
    </w:p>
    <w:p w14:paraId="7347B562">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bookmarkStart w:id="249" w:name="_Toc221951226"/>
      <w:r>
        <w:rPr>
          <w:rFonts w:hint="eastAsia" w:ascii="宋体" w:hAnsi="宋体" w:cs="宋体"/>
          <w:color w:val="auto"/>
          <w:kern w:val="0"/>
          <w:szCs w:val="21"/>
          <w:highlight w:val="none"/>
        </w:rPr>
        <w:t>17.2.1</w:t>
      </w:r>
      <w:bookmarkEnd w:id="249"/>
      <w:r>
        <w:rPr>
          <w:rFonts w:hint="eastAsia" w:ascii="宋体" w:hAnsi="宋体" w:cs="宋体"/>
          <w:color w:val="auto"/>
          <w:kern w:val="0"/>
          <w:szCs w:val="21"/>
          <w:highlight w:val="none"/>
          <w:lang w:eastAsia="zh-CN"/>
        </w:rPr>
        <w:t>本工程</w:t>
      </w:r>
      <w:r>
        <w:rPr>
          <w:rFonts w:hint="eastAsia" w:ascii="宋体" w:hAnsi="宋体" w:eastAsia="宋体" w:cs="宋体"/>
          <w:color w:val="auto"/>
          <w:sz w:val="21"/>
          <w:szCs w:val="21"/>
          <w:highlight w:val="none"/>
          <w:lang w:val="en-US" w:eastAsia="zh-CN"/>
        </w:rPr>
        <w:t>无预付款。</w:t>
      </w:r>
    </w:p>
    <w:p w14:paraId="1B760BDB">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bookmarkStart w:id="250" w:name="_Toc33183764"/>
      <w:bookmarkStart w:id="251" w:name="_Toc221951260"/>
      <w:r>
        <w:rPr>
          <w:rFonts w:hint="eastAsia" w:ascii="宋体" w:hAnsi="宋体" w:cs="宋体"/>
          <w:color w:val="auto"/>
          <w:szCs w:val="21"/>
          <w:highlight w:val="none"/>
        </w:rPr>
        <w:t>17.3 工程进度付款</w:t>
      </w:r>
      <w:bookmarkEnd w:id="250"/>
    </w:p>
    <w:p w14:paraId="325E71C6">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17.3.1 付款周期</w:t>
      </w:r>
    </w:p>
    <w:p w14:paraId="65E004A7">
      <w:pPr>
        <w:keepNext w:val="0"/>
        <w:keepLines w:val="0"/>
        <w:pageBreakBefore w:val="0"/>
        <w:widowControl w:val="0"/>
        <w:kinsoku/>
        <w:wordWrap/>
        <w:overflowPunct/>
        <w:topLinePunct w:val="0"/>
        <w:autoSpaceDE/>
        <w:autoSpaceDN/>
        <w:bidi w:val="0"/>
        <w:adjustRightInd/>
        <w:snapToGrid/>
        <w:spacing w:line="360" w:lineRule="auto"/>
        <w:ind w:right="-433" w:rightChars="-206"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关于付款周期的约定：</w:t>
      </w:r>
      <w:r>
        <w:rPr>
          <w:rFonts w:hint="eastAsia" w:ascii="宋体" w:hAnsi="宋体" w:cs="宋体"/>
          <w:color w:val="auto"/>
          <w:kern w:val="0"/>
          <w:szCs w:val="21"/>
          <w:highlight w:val="none"/>
          <w:u w:val="single"/>
        </w:rPr>
        <w:t>按月计量支付进度款</w:t>
      </w:r>
      <w:r>
        <w:rPr>
          <w:rFonts w:hint="eastAsia" w:ascii="宋体" w:hAnsi="宋体" w:cs="宋体"/>
          <w:color w:val="auto"/>
          <w:kern w:val="0"/>
          <w:szCs w:val="21"/>
          <w:highlight w:val="none"/>
          <w:u w:val="single"/>
          <w:lang w:val="en-US" w:eastAsia="zh-CN"/>
        </w:rPr>
        <w:t>,项目的进度款要根据上级资金的到位情况完成支付</w:t>
      </w:r>
      <w:r>
        <w:rPr>
          <w:rFonts w:hint="default" w:ascii="宋体" w:hAnsi="宋体" w:cs="宋体"/>
          <w:color w:val="auto"/>
          <w:kern w:val="0"/>
          <w:szCs w:val="21"/>
          <w:highlight w:val="none"/>
          <w:u w:val="none"/>
          <w:lang w:val="en-US" w:eastAsia="zh-CN"/>
        </w:rPr>
        <w:t>。</w:t>
      </w:r>
    </w:p>
    <w:p w14:paraId="37727A22">
      <w:pPr>
        <w:keepNext w:val="0"/>
        <w:keepLines w:val="0"/>
        <w:pageBreakBefore w:val="0"/>
        <w:kinsoku/>
        <w:wordWrap/>
        <w:overflowPunct/>
        <w:topLinePunct w:val="0"/>
        <w:autoSpaceDE/>
        <w:autoSpaceDN/>
        <w:bidi w:val="0"/>
        <w:adjustRightInd/>
        <w:spacing w:line="360" w:lineRule="auto"/>
        <w:ind w:firstLine="420" w:firstLineChars="200"/>
        <w:jc w:val="left"/>
        <w:rPr>
          <w:rFonts w:ascii="宋体" w:hAnsi="宋体" w:cs="宋体"/>
          <w:color w:val="auto"/>
          <w:kern w:val="0"/>
          <w:szCs w:val="21"/>
          <w:highlight w:val="none"/>
        </w:rPr>
      </w:pPr>
      <w:r>
        <w:rPr>
          <w:rFonts w:hint="eastAsia" w:ascii="宋体" w:hAnsi="宋体" w:eastAsia="宋体" w:cs="宋体"/>
          <w:color w:val="auto"/>
          <w:kern w:val="0"/>
          <w:sz w:val="21"/>
          <w:szCs w:val="21"/>
          <w:highlight w:val="none"/>
        </w:rPr>
        <w:t>工程进度</w:t>
      </w:r>
      <w:r>
        <w:rPr>
          <w:rFonts w:hint="eastAsia" w:ascii="宋体" w:hAnsi="宋体" w:cs="宋体"/>
          <w:color w:val="auto"/>
          <w:kern w:val="0"/>
          <w:szCs w:val="21"/>
          <w:highlight w:val="none"/>
        </w:rPr>
        <w:t>款按月支付，承包人提交付款申请资料，经监理人和发包人审核后，按照审核工程进度造价</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累计审核进度造价不超过暂定</w:t>
      </w:r>
      <w:r>
        <w:rPr>
          <w:rFonts w:hint="eastAsia" w:ascii="宋体" w:hAnsi="宋体" w:eastAsia="宋体" w:cs="宋体"/>
          <w:color w:val="auto"/>
          <w:kern w:val="0"/>
          <w:sz w:val="21"/>
          <w:szCs w:val="21"/>
          <w:highlight w:val="none"/>
          <w:lang w:bidi="ar"/>
        </w:rPr>
        <w:t>合同总价</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的</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0%支付。</w:t>
      </w:r>
    </w:p>
    <w:p w14:paraId="3E8FB4F4">
      <w:pPr>
        <w:keepNext w:val="0"/>
        <w:keepLines w:val="0"/>
        <w:pageBreakBefore w:val="0"/>
        <w:widowControl w:val="0"/>
        <w:kinsoku/>
        <w:wordWrap/>
        <w:overflowPunct/>
        <w:topLinePunct w:val="0"/>
        <w:autoSpaceDE/>
        <w:autoSpaceDN/>
        <w:bidi w:val="0"/>
        <w:adjustRightInd/>
        <w:snapToGrid/>
        <w:spacing w:line="360" w:lineRule="auto"/>
        <w:ind w:right="-433" w:rightChars="-206"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u w:val="none"/>
          <w:lang w:eastAsia="zh-CN"/>
        </w:rPr>
        <w:t>工程完工验收合格后，完成工程结算审计，并</w:t>
      </w:r>
      <w:r>
        <w:rPr>
          <w:rFonts w:hint="eastAsia" w:ascii="宋体" w:hAnsi="宋体" w:cs="宋体"/>
          <w:color w:val="auto"/>
          <w:kern w:val="0"/>
          <w:szCs w:val="21"/>
          <w:highlight w:val="none"/>
          <w:u w:val="none"/>
        </w:rPr>
        <w:t>移交工程及档案资料后28天内，发包人向承包人支付至累计进度审定金额的</w:t>
      </w:r>
      <w:r>
        <w:rPr>
          <w:rFonts w:hint="eastAsia" w:ascii="宋体" w:hAnsi="宋体" w:cs="宋体"/>
          <w:color w:val="auto"/>
          <w:kern w:val="0"/>
          <w:szCs w:val="21"/>
          <w:highlight w:val="none"/>
          <w:u w:val="none"/>
          <w:lang w:val="en-US" w:eastAsia="zh-CN"/>
        </w:rPr>
        <w:t>80</w:t>
      </w:r>
      <w:r>
        <w:rPr>
          <w:rFonts w:hint="eastAsia" w:ascii="宋体" w:hAnsi="宋体" w:cs="宋体"/>
          <w:color w:val="auto"/>
          <w:kern w:val="0"/>
          <w:szCs w:val="21"/>
          <w:highlight w:val="none"/>
          <w:u w:val="none"/>
        </w:rPr>
        <w:t>%</w:t>
      </w:r>
      <w:r>
        <w:rPr>
          <w:rFonts w:hint="eastAsia" w:ascii="宋体" w:hAnsi="宋体" w:cs="宋体"/>
          <w:color w:val="auto"/>
          <w:kern w:val="0"/>
          <w:szCs w:val="21"/>
          <w:highlight w:val="none"/>
          <w:u w:val="none"/>
          <w:lang w:eastAsia="zh-CN"/>
        </w:rPr>
        <w:t>；</w:t>
      </w:r>
      <w:r>
        <w:rPr>
          <w:rFonts w:hint="eastAsia" w:ascii="宋体" w:hAnsi="宋体" w:cs="宋体"/>
          <w:color w:val="auto"/>
          <w:kern w:val="0"/>
          <w:szCs w:val="21"/>
          <w:highlight w:val="none"/>
        </w:rPr>
        <w:t>承包人将完整竣工资料交付</w:t>
      </w:r>
      <w:r>
        <w:rPr>
          <w:rFonts w:hint="eastAsia" w:ascii="宋体" w:hAnsi="宋体" w:cs="宋体"/>
          <w:color w:val="auto"/>
          <w:kern w:val="0"/>
          <w:szCs w:val="21"/>
          <w:highlight w:val="none"/>
          <w:lang w:eastAsia="zh-CN"/>
        </w:rPr>
        <w:t>发包人</w:t>
      </w:r>
      <w:r>
        <w:rPr>
          <w:rFonts w:hint="eastAsia" w:ascii="宋体" w:hAnsi="宋体" w:cs="宋体"/>
          <w:color w:val="auto"/>
          <w:kern w:val="0"/>
          <w:szCs w:val="21"/>
          <w:highlight w:val="none"/>
        </w:rPr>
        <w:t>，完成</w:t>
      </w:r>
      <w:r>
        <w:rPr>
          <w:rFonts w:hint="eastAsia" w:ascii="宋体" w:hAnsi="宋体" w:cs="宋体"/>
          <w:color w:val="auto"/>
          <w:kern w:val="0"/>
          <w:szCs w:val="21"/>
          <w:highlight w:val="none"/>
          <w:lang w:eastAsia="zh-CN"/>
        </w:rPr>
        <w:t>工程竣工验收</w:t>
      </w:r>
      <w:r>
        <w:rPr>
          <w:rFonts w:hint="eastAsia" w:ascii="宋体" w:hAnsi="宋体" w:cs="宋体"/>
          <w:color w:val="auto"/>
          <w:kern w:val="0"/>
          <w:szCs w:val="21"/>
          <w:highlight w:val="none"/>
        </w:rPr>
        <w:t>后，支付至</w:t>
      </w:r>
      <w:r>
        <w:rPr>
          <w:rFonts w:hint="eastAsia" w:ascii="宋体" w:hAnsi="宋体" w:cs="宋体"/>
          <w:color w:val="auto"/>
          <w:kern w:val="0"/>
          <w:szCs w:val="21"/>
          <w:highlight w:val="none"/>
          <w:lang w:eastAsia="zh-CN"/>
        </w:rPr>
        <w:t>工程结算</w:t>
      </w:r>
      <w:r>
        <w:rPr>
          <w:rFonts w:hint="eastAsia" w:ascii="宋体" w:hAnsi="宋体" w:cs="宋体"/>
          <w:color w:val="auto"/>
          <w:kern w:val="0"/>
          <w:szCs w:val="21"/>
          <w:highlight w:val="none"/>
        </w:rPr>
        <w:t>审定金额的97%</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扣留结算金额的3%作为质量保证金，质量保证金在缺陷责任期（24个月）满按合同规定递</w:t>
      </w:r>
      <w:r>
        <w:rPr>
          <w:rFonts w:hint="eastAsia" w:ascii="宋体" w:hAnsi="宋体" w:cs="宋体"/>
          <w:color w:val="auto"/>
          <w:kern w:val="0"/>
          <w:szCs w:val="21"/>
          <w:highlight w:val="none"/>
          <w:u w:val="none"/>
        </w:rPr>
        <w:t>交最终结清申请单后28天内一次性无息退还</w:t>
      </w:r>
      <w:r>
        <w:rPr>
          <w:rFonts w:hint="eastAsia" w:ascii="宋体" w:hAnsi="宋体" w:cs="宋体"/>
          <w:color w:val="auto"/>
          <w:kern w:val="0"/>
          <w:szCs w:val="21"/>
          <w:highlight w:val="none"/>
          <w:u w:val="none"/>
          <w:lang w:eastAsia="zh-CN"/>
        </w:rPr>
        <w:t>，</w:t>
      </w:r>
      <w:r>
        <w:rPr>
          <w:rFonts w:hint="default" w:ascii="宋体" w:hAnsi="宋体" w:cs="宋体"/>
          <w:color w:val="auto"/>
          <w:kern w:val="0"/>
          <w:szCs w:val="21"/>
          <w:highlight w:val="none"/>
          <w:u w:val="none"/>
          <w:lang w:val="en-US" w:eastAsia="zh-CN"/>
        </w:rPr>
        <w:t>质保期内工程质量问题由乙方负责处理，甲方不予承担任何费用</w:t>
      </w:r>
      <w:r>
        <w:rPr>
          <w:rFonts w:hint="eastAsia" w:ascii="宋体" w:hAnsi="宋体" w:cs="宋体"/>
          <w:color w:val="auto"/>
          <w:kern w:val="0"/>
          <w:szCs w:val="21"/>
          <w:highlight w:val="none"/>
          <w:u w:val="none"/>
          <w:lang w:val="en-US" w:eastAsia="zh-CN"/>
        </w:rPr>
        <w:t>。</w:t>
      </w:r>
    </w:p>
    <w:p w14:paraId="70313CDF">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17.3.2 进度付款申请单</w:t>
      </w:r>
    </w:p>
    <w:p w14:paraId="31254D17">
      <w:pPr>
        <w:pageBreakBefore w:val="0"/>
        <w:kinsoku/>
        <w:overflowPunct/>
        <w:topLinePunct w:val="0"/>
        <w:bidi w:val="0"/>
        <w:snapToGrid w:val="0"/>
        <w:spacing w:line="360" w:lineRule="auto"/>
        <w:ind w:firstLine="470"/>
        <w:jc w:val="left"/>
        <w:rPr>
          <w:rFonts w:ascii="宋体" w:hAnsi="宋体" w:cs="宋体"/>
          <w:color w:val="auto"/>
          <w:kern w:val="0"/>
          <w:szCs w:val="21"/>
          <w:highlight w:val="none"/>
        </w:rPr>
      </w:pPr>
      <w:r>
        <w:rPr>
          <w:rFonts w:hint="eastAsia" w:ascii="宋体" w:hAnsi="宋体" w:cs="宋体"/>
          <w:color w:val="auto"/>
          <w:kern w:val="0"/>
          <w:szCs w:val="21"/>
          <w:highlight w:val="none"/>
        </w:rPr>
        <w:t>本项补充细化17.3.2.1、17.3.2.2目如下：</w:t>
      </w:r>
    </w:p>
    <w:p w14:paraId="3273D3A0">
      <w:pPr>
        <w:pageBreakBefore w:val="0"/>
        <w:kinsoku/>
        <w:overflowPunct/>
        <w:topLinePunct w:val="0"/>
        <w:bidi w:val="0"/>
        <w:snapToGrid w:val="0"/>
        <w:spacing w:line="360" w:lineRule="auto"/>
        <w:ind w:firstLine="470"/>
        <w:jc w:val="left"/>
        <w:rPr>
          <w:rFonts w:ascii="宋体" w:hAnsi="宋体" w:cs="宋体"/>
          <w:color w:val="auto"/>
          <w:kern w:val="0"/>
          <w:szCs w:val="21"/>
          <w:highlight w:val="none"/>
        </w:rPr>
      </w:pPr>
      <w:r>
        <w:rPr>
          <w:rFonts w:hint="eastAsia" w:ascii="宋体" w:hAnsi="宋体" w:cs="宋体"/>
          <w:color w:val="auto"/>
          <w:kern w:val="0"/>
          <w:szCs w:val="21"/>
          <w:highlight w:val="none"/>
        </w:rPr>
        <w:t>17.3.2.1进度付款申请单应包括下列内容：</w:t>
      </w:r>
    </w:p>
    <w:p w14:paraId="46B8D1F5">
      <w:pPr>
        <w:pageBreakBefore w:val="0"/>
        <w:kinsoku/>
        <w:overflowPunct/>
        <w:topLinePunct w:val="0"/>
        <w:bidi w:val="0"/>
        <w:snapToGrid w:val="0"/>
        <w:spacing w:line="360" w:lineRule="auto"/>
        <w:ind w:firstLine="47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（1）截至本次付款周期已完成工作对应的金额；</w:t>
      </w:r>
    </w:p>
    <w:p w14:paraId="0B6E9ECD">
      <w:pPr>
        <w:pageBreakBefore w:val="0"/>
        <w:kinsoku/>
        <w:overflowPunct/>
        <w:topLinePunct w:val="0"/>
        <w:bidi w:val="0"/>
        <w:snapToGrid w:val="0"/>
        <w:spacing w:line="360" w:lineRule="auto"/>
        <w:ind w:firstLine="47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（2）根据第15条〔变更〕应增加和扣减的已审定变更金额；</w:t>
      </w:r>
    </w:p>
    <w:p w14:paraId="6296A847">
      <w:pPr>
        <w:pageBreakBefore w:val="0"/>
        <w:kinsoku/>
        <w:overflowPunct/>
        <w:topLinePunct w:val="0"/>
        <w:bidi w:val="0"/>
        <w:snapToGrid w:val="0"/>
        <w:spacing w:line="360" w:lineRule="auto"/>
        <w:ind w:firstLine="47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（3）根据第17.2款〔预付款〕约定应支付的预付款和扣减的返还预付款；</w:t>
      </w:r>
    </w:p>
    <w:p w14:paraId="0FBA095E">
      <w:pPr>
        <w:pageBreakBefore w:val="0"/>
        <w:kinsoku/>
        <w:overflowPunct/>
        <w:topLinePunct w:val="0"/>
        <w:bidi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olor w:val="auto"/>
          <w:szCs w:val="21"/>
          <w:highlight w:val="none"/>
          <w:u w:val="single"/>
        </w:rPr>
        <w:t>（4）根据第17.4款〔质量保证金〕约定应扣减的质量保证金；</w:t>
      </w:r>
    </w:p>
    <w:p w14:paraId="1AB0927D">
      <w:pPr>
        <w:pageBreakBefore w:val="0"/>
        <w:kinsoku/>
        <w:overflowPunct/>
        <w:topLinePunct w:val="0"/>
        <w:bidi w:val="0"/>
        <w:snapToGrid w:val="0"/>
        <w:spacing w:line="360" w:lineRule="auto"/>
        <w:ind w:firstLine="47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（5）根据第23条〔索赔〕应增加和扣减的已审定索赔金额；</w:t>
      </w:r>
    </w:p>
    <w:p w14:paraId="2935778B">
      <w:pPr>
        <w:pageBreakBefore w:val="0"/>
        <w:kinsoku/>
        <w:overflowPunct/>
        <w:topLinePunct w:val="0"/>
        <w:bidi w:val="0"/>
        <w:snapToGrid w:val="0"/>
        <w:spacing w:line="360" w:lineRule="auto"/>
        <w:ind w:firstLine="47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（6）根据第16条〔价格调整〕应增加和扣减的价格调整金额；</w:t>
      </w:r>
    </w:p>
    <w:p w14:paraId="40F8B5B8">
      <w:pPr>
        <w:pageBreakBefore w:val="0"/>
        <w:kinsoku/>
        <w:overflowPunct/>
        <w:topLinePunct w:val="0"/>
        <w:bidi w:val="0"/>
        <w:snapToGrid w:val="0"/>
        <w:spacing w:line="360" w:lineRule="auto"/>
        <w:ind w:firstLine="48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（7）对已签发的进度款支付证书中出现错误的修正，应在本次进度付款中支付或扣除的金额；</w:t>
      </w:r>
    </w:p>
    <w:p w14:paraId="1B8F75A3">
      <w:pPr>
        <w:pageBreakBefore w:val="0"/>
        <w:kinsoku/>
        <w:overflowPunct/>
        <w:topLinePunct w:val="0"/>
        <w:bidi w:val="0"/>
        <w:snapToGrid w:val="0"/>
        <w:spacing w:line="360" w:lineRule="auto"/>
        <w:ind w:firstLine="47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（8）根据合同约定承包人应向发包人支付的违约金；</w:t>
      </w:r>
    </w:p>
    <w:p w14:paraId="7293D77B">
      <w:pPr>
        <w:pageBreakBefore w:val="0"/>
        <w:kinsoku/>
        <w:overflowPunct/>
        <w:topLinePunct w:val="0"/>
        <w:bidi w:val="0"/>
        <w:snapToGrid w:val="0"/>
        <w:spacing w:line="360" w:lineRule="auto"/>
        <w:ind w:firstLine="47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（9）根据合同约定发包人应向承包人支付的违约金和（或）奖励；</w:t>
      </w:r>
    </w:p>
    <w:p w14:paraId="7A922DC3">
      <w:pPr>
        <w:pageBreakBefore w:val="0"/>
        <w:kinsoku/>
        <w:overflowPunct/>
        <w:topLinePunct w:val="0"/>
        <w:bidi w:val="0"/>
        <w:snapToGrid w:val="0"/>
        <w:spacing w:line="360" w:lineRule="auto"/>
        <w:ind w:firstLine="47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（10）根据合同约定应增加和扣减的其他金额。</w:t>
      </w:r>
    </w:p>
    <w:p w14:paraId="6265C190">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17.3.2.2进度付款申请单的提交：</w:t>
      </w:r>
    </w:p>
    <w:p w14:paraId="7A964FDB">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（1）单价合同进度付款申请单提交的约定：</w:t>
      </w:r>
      <w:r>
        <w:rPr>
          <w:rFonts w:hint="eastAsia" w:ascii="宋体" w:hAnsi="宋体" w:cs="宋体"/>
          <w:color w:val="auto"/>
          <w:kern w:val="0"/>
          <w:szCs w:val="21"/>
          <w:highlight w:val="none"/>
          <w:u w:val="single"/>
        </w:rPr>
        <w:t>按照第17.1.4项〔单价子目的计量〕约定的时间按月向监理人提交，并附上已完成工程量报表、经审核的农民工工资发放的情况说明及有关资料。单价合同中的总价子目按工程形象进度分月计量后汇总列入当期进度付款申请</w:t>
      </w:r>
      <w:r>
        <w:rPr>
          <w:rFonts w:hint="eastAsia" w:ascii="宋体" w:hAnsi="宋体" w:cs="宋体"/>
          <w:color w:val="auto"/>
          <w:kern w:val="0"/>
          <w:szCs w:val="21"/>
          <w:highlight w:val="none"/>
        </w:rPr>
        <w:t>单。</w:t>
      </w:r>
    </w:p>
    <w:p w14:paraId="4D9B0CB2">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（2）总价合同进度付款申请单提交的约定：</w:t>
      </w:r>
      <w:r>
        <w:rPr>
          <w:rFonts w:hint="eastAsia" w:ascii="宋体" w:hAnsi="宋体" w:cs="宋体"/>
          <w:color w:val="auto"/>
          <w:kern w:val="0"/>
          <w:szCs w:val="21"/>
          <w:highlight w:val="none"/>
          <w:u w:val="single"/>
        </w:rPr>
        <w:t>按照合同约定的形象进度的计量约定的时间向监理人提交，并附上已完成工程量报表、经审核情况说明有关资料</w:t>
      </w:r>
      <w:r>
        <w:rPr>
          <w:rFonts w:hint="eastAsia" w:ascii="宋体" w:hAnsi="宋体" w:cs="宋体"/>
          <w:color w:val="auto"/>
          <w:kern w:val="0"/>
          <w:szCs w:val="21"/>
          <w:highlight w:val="none"/>
        </w:rPr>
        <w:t>。</w:t>
      </w:r>
    </w:p>
    <w:p w14:paraId="41BD2501">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（3）其他价格形式合同进度付款申请单提交的约定：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5ADAE427">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17.3.3 进度付款证书和支付时间</w:t>
      </w:r>
    </w:p>
    <w:p w14:paraId="4D8FEFE9">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（1）监理人审查并报送发包人的期限：</w:t>
      </w:r>
      <w:r>
        <w:rPr>
          <w:rFonts w:hint="eastAsia" w:ascii="宋体" w:hAnsi="宋体" w:cs="宋体"/>
          <w:color w:val="auto"/>
          <w:kern w:val="0"/>
          <w:szCs w:val="21"/>
          <w:highlight w:val="none"/>
          <w:u w:val="single"/>
        </w:rPr>
        <w:t>收到完整资料后7天内</w:t>
      </w:r>
      <w:r>
        <w:rPr>
          <w:rFonts w:hint="eastAsia" w:ascii="宋体" w:hAnsi="宋体" w:cs="宋体"/>
          <w:color w:val="auto"/>
          <w:kern w:val="0"/>
          <w:szCs w:val="21"/>
          <w:highlight w:val="none"/>
        </w:rPr>
        <w:t>。</w:t>
      </w:r>
    </w:p>
    <w:p w14:paraId="3F73C956">
      <w:pPr>
        <w:pageBreakBefore w:val="0"/>
        <w:kinsoku/>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发包人完成审批并签发进度款支付证书的期限：</w:t>
      </w:r>
      <w:r>
        <w:rPr>
          <w:rFonts w:hint="eastAsia" w:ascii="宋体" w:hAnsi="宋体" w:cs="宋体"/>
          <w:color w:val="auto"/>
          <w:kern w:val="0"/>
          <w:szCs w:val="21"/>
          <w:highlight w:val="none"/>
          <w:u w:val="single"/>
        </w:rPr>
        <w:t>发包人收到监理人报送资料后7天内完成审查并签发进度款支付证书</w:t>
      </w:r>
      <w:r>
        <w:rPr>
          <w:rFonts w:hint="eastAsia" w:ascii="宋体" w:hAnsi="宋体" w:cs="宋体"/>
          <w:color w:val="auto"/>
          <w:kern w:val="0"/>
          <w:szCs w:val="21"/>
          <w:highlight w:val="none"/>
        </w:rPr>
        <w:t>。</w:t>
      </w:r>
    </w:p>
    <w:p w14:paraId="45B5FD0A">
      <w:pPr>
        <w:pageBreakBefore w:val="0"/>
        <w:kinsoku/>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监理人、跟审单位（如有）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r>
        <w:rPr>
          <w:rFonts w:hint="eastAsia" w:ascii="宋体" w:hAnsi="宋体" w:cs="宋体"/>
          <w:color w:val="auto"/>
          <w:kern w:val="0"/>
          <w:szCs w:val="21"/>
          <w:highlight w:val="none"/>
        </w:rPr>
        <w:t>。</w:t>
      </w:r>
    </w:p>
    <w:p w14:paraId="66ED2C42">
      <w:pPr>
        <w:pageBreakBefore w:val="0"/>
        <w:kinsoku/>
        <w:overflowPunct/>
        <w:topLinePunct w:val="0"/>
        <w:bidi w:val="0"/>
        <w:snapToGrid w:val="0"/>
        <w:spacing w:line="360" w:lineRule="auto"/>
        <w:ind w:firstLine="470"/>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发包人签发进度款支付证书或临时进度款支付证书，不表明发包人已同意、批准或接受了承包人完成的相应部分的工作</w:t>
      </w:r>
      <w:r>
        <w:rPr>
          <w:rFonts w:hint="eastAsia" w:ascii="宋体" w:hAnsi="宋体" w:cs="宋体"/>
          <w:color w:val="auto"/>
          <w:kern w:val="0"/>
          <w:szCs w:val="21"/>
          <w:highlight w:val="none"/>
        </w:rPr>
        <w:t>。</w:t>
      </w:r>
    </w:p>
    <w:p w14:paraId="6BA80D48">
      <w:pPr>
        <w:pageBreakBefore w:val="0"/>
        <w:numPr>
          <w:ilvl w:val="0"/>
          <w:numId w:val="3"/>
        </w:numPr>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价款的支付 </w:t>
      </w:r>
    </w:p>
    <w:p w14:paraId="213D146D">
      <w:pPr>
        <w:pStyle w:val="4"/>
        <w:pageBreakBefore w:val="0"/>
        <w:kinsoku/>
        <w:overflowPunct/>
        <w:topLinePunct w:val="0"/>
        <w:bidi w:val="0"/>
        <w:spacing w:line="360" w:lineRule="auto"/>
        <w:ind w:firstLine="420" w:firstLineChars="200"/>
        <w:rPr>
          <w:color w:val="auto"/>
          <w:highlight w:val="none"/>
        </w:rPr>
      </w:pPr>
      <w:r>
        <w:rPr>
          <w:rFonts w:hint="eastAsia" w:ascii="宋体" w:hAnsi="宋体" w:cs="宋体"/>
          <w:color w:val="auto"/>
          <w:kern w:val="0"/>
          <w:szCs w:val="21"/>
          <w:highlight w:val="none"/>
        </w:rPr>
        <w:t>本项17.3.3（2）目细化如下：</w:t>
      </w:r>
    </w:p>
    <w:p w14:paraId="470CA5E6">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①安全生产费支付比例和支付期限：</w:t>
      </w:r>
      <w:r>
        <w:rPr>
          <w:rFonts w:hint="eastAsia" w:ascii="宋体" w:hAnsi="宋体" w:cs="宋体"/>
          <w:color w:val="auto"/>
          <w:kern w:val="0"/>
          <w:szCs w:val="21"/>
          <w:highlight w:val="none"/>
          <w:u w:val="single"/>
        </w:rPr>
        <w:t>施工合同签订后30天内按照《关于落实水利工程建设安全生产费用及使用管理问题的通知》（渝水基〔2009〕28号）文件规定支付安全生产费的30%（合同期在一年以上的）或50%（合同期在一年以下（含一年）的），其余部分与进度款同期支付</w:t>
      </w:r>
      <w:r>
        <w:rPr>
          <w:rFonts w:hint="eastAsia" w:ascii="宋体" w:hAnsi="宋体" w:cs="宋体"/>
          <w:color w:val="auto"/>
          <w:kern w:val="0"/>
          <w:szCs w:val="21"/>
          <w:highlight w:val="none"/>
          <w:u w:val="none"/>
        </w:rPr>
        <w:t>。</w:t>
      </w:r>
    </w:p>
    <w:p w14:paraId="384FA077">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②</w:t>
      </w:r>
      <w:r>
        <w:rPr>
          <w:rFonts w:hint="eastAsia" w:ascii="宋体" w:hAnsi="宋体" w:cs="宋体"/>
          <w:color w:val="auto"/>
          <w:kern w:val="0"/>
          <w:szCs w:val="21"/>
          <w:highlight w:val="none"/>
          <w:u w:val="single"/>
        </w:rPr>
        <w:t>本项目涉及政府投资资金的按17.3.3（4）目规定执行。</w:t>
      </w:r>
      <w:r>
        <w:rPr>
          <w:rFonts w:hint="eastAsia" w:ascii="宋体" w:hAnsi="宋体" w:cs="宋体"/>
          <w:color w:val="auto"/>
          <w:szCs w:val="21"/>
          <w:highlight w:val="none"/>
        </w:rPr>
        <w:t>不涉及政府投资资金的，进度付款、完工付款及最终结清按以下约定办理：</w:t>
      </w:r>
    </w:p>
    <w:p w14:paraId="2C8DEEAD">
      <w:pPr>
        <w:keepNext w:val="0"/>
        <w:keepLines w:val="0"/>
        <w:pageBreakBefore w:val="0"/>
        <w:kinsoku/>
        <w:wordWrap/>
        <w:overflowPunct/>
        <w:topLinePunct w:val="0"/>
        <w:autoSpaceDE/>
        <w:autoSpaceDN/>
        <w:bidi w:val="0"/>
        <w:adjustRightInd/>
        <w:spacing w:line="360" w:lineRule="auto"/>
        <w:ind w:firstLine="420" w:firstLineChars="200"/>
        <w:jc w:val="left"/>
        <w:rPr>
          <w:rFonts w:ascii="宋体" w:hAnsi="宋体" w:cs="宋体"/>
          <w:color w:val="auto"/>
          <w:kern w:val="0"/>
          <w:szCs w:val="21"/>
          <w:highlight w:val="none"/>
        </w:rPr>
      </w:pPr>
      <w:r>
        <w:rPr>
          <w:rFonts w:hint="eastAsia" w:ascii="宋体" w:hAnsi="宋体" w:eastAsia="宋体" w:cs="宋体"/>
          <w:color w:val="auto"/>
          <w:kern w:val="0"/>
          <w:sz w:val="21"/>
          <w:szCs w:val="21"/>
          <w:highlight w:val="none"/>
        </w:rPr>
        <w:t>工程进度</w:t>
      </w:r>
      <w:r>
        <w:rPr>
          <w:rFonts w:hint="eastAsia" w:ascii="宋体" w:hAnsi="宋体" w:cs="宋体"/>
          <w:color w:val="auto"/>
          <w:kern w:val="0"/>
          <w:szCs w:val="21"/>
          <w:highlight w:val="none"/>
        </w:rPr>
        <w:t>款按月支付，承包人提交付款申请资料，经监理人和发包人审核后，按照审核工程进度造价</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累计审核进度造价不超过暂定</w:t>
      </w:r>
      <w:r>
        <w:rPr>
          <w:rFonts w:hint="eastAsia" w:ascii="宋体" w:hAnsi="宋体" w:eastAsia="宋体" w:cs="宋体"/>
          <w:color w:val="auto"/>
          <w:kern w:val="0"/>
          <w:sz w:val="21"/>
          <w:szCs w:val="21"/>
          <w:highlight w:val="none"/>
          <w:lang w:bidi="ar"/>
        </w:rPr>
        <w:t>合同总价</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的</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0%支付。</w:t>
      </w:r>
    </w:p>
    <w:p w14:paraId="3F0B9E67">
      <w:pPr>
        <w:keepNext w:val="0"/>
        <w:keepLines w:val="0"/>
        <w:pageBreakBefore w:val="0"/>
        <w:widowControl w:val="0"/>
        <w:kinsoku/>
        <w:wordWrap/>
        <w:overflowPunct/>
        <w:topLinePunct w:val="0"/>
        <w:autoSpaceDE/>
        <w:autoSpaceDN/>
        <w:bidi w:val="0"/>
        <w:adjustRightInd/>
        <w:snapToGrid/>
        <w:spacing w:line="360" w:lineRule="auto"/>
        <w:ind w:right="-433" w:rightChars="-206"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u w:val="none"/>
          <w:lang w:eastAsia="zh-CN"/>
        </w:rPr>
        <w:t>工程完工验收合格后，完成工程结算审计，并</w:t>
      </w:r>
      <w:r>
        <w:rPr>
          <w:rFonts w:hint="eastAsia" w:ascii="宋体" w:hAnsi="宋体" w:cs="宋体"/>
          <w:color w:val="auto"/>
          <w:kern w:val="0"/>
          <w:szCs w:val="21"/>
          <w:highlight w:val="none"/>
          <w:u w:val="none"/>
        </w:rPr>
        <w:t>移交工程及档案资料后28天内，发包人向承包人支付至累计进度审定金额的</w:t>
      </w:r>
      <w:r>
        <w:rPr>
          <w:rFonts w:hint="eastAsia" w:ascii="宋体" w:hAnsi="宋体" w:cs="宋体"/>
          <w:color w:val="auto"/>
          <w:kern w:val="0"/>
          <w:szCs w:val="21"/>
          <w:highlight w:val="none"/>
          <w:u w:val="none"/>
          <w:lang w:val="en-US" w:eastAsia="zh-CN"/>
        </w:rPr>
        <w:t>80</w:t>
      </w:r>
      <w:r>
        <w:rPr>
          <w:rFonts w:hint="eastAsia" w:ascii="宋体" w:hAnsi="宋体" w:cs="宋体"/>
          <w:color w:val="auto"/>
          <w:kern w:val="0"/>
          <w:szCs w:val="21"/>
          <w:highlight w:val="none"/>
          <w:u w:val="none"/>
        </w:rPr>
        <w:t>%</w:t>
      </w:r>
      <w:r>
        <w:rPr>
          <w:rFonts w:hint="eastAsia" w:ascii="宋体" w:hAnsi="宋体" w:cs="宋体"/>
          <w:color w:val="auto"/>
          <w:kern w:val="0"/>
          <w:szCs w:val="21"/>
          <w:highlight w:val="none"/>
          <w:u w:val="none"/>
          <w:lang w:eastAsia="zh-CN"/>
        </w:rPr>
        <w:t>；</w:t>
      </w:r>
      <w:r>
        <w:rPr>
          <w:rFonts w:hint="eastAsia" w:ascii="宋体" w:hAnsi="宋体" w:cs="宋体"/>
          <w:color w:val="auto"/>
          <w:kern w:val="0"/>
          <w:szCs w:val="21"/>
          <w:highlight w:val="none"/>
        </w:rPr>
        <w:t>承包人将完整竣工资料交付</w:t>
      </w:r>
      <w:r>
        <w:rPr>
          <w:rFonts w:hint="eastAsia" w:ascii="宋体" w:hAnsi="宋体" w:cs="宋体"/>
          <w:color w:val="auto"/>
          <w:kern w:val="0"/>
          <w:szCs w:val="21"/>
          <w:highlight w:val="none"/>
          <w:lang w:eastAsia="zh-CN"/>
        </w:rPr>
        <w:t>发包人</w:t>
      </w:r>
      <w:r>
        <w:rPr>
          <w:rFonts w:hint="eastAsia" w:ascii="宋体" w:hAnsi="宋体" w:cs="宋体"/>
          <w:color w:val="auto"/>
          <w:kern w:val="0"/>
          <w:szCs w:val="21"/>
          <w:highlight w:val="none"/>
        </w:rPr>
        <w:t>，完成</w:t>
      </w:r>
      <w:r>
        <w:rPr>
          <w:rFonts w:hint="eastAsia" w:ascii="宋体" w:hAnsi="宋体" w:cs="宋体"/>
          <w:color w:val="auto"/>
          <w:kern w:val="0"/>
          <w:szCs w:val="21"/>
          <w:highlight w:val="none"/>
          <w:lang w:eastAsia="zh-CN"/>
        </w:rPr>
        <w:t>工程竣工验收</w:t>
      </w:r>
      <w:r>
        <w:rPr>
          <w:rFonts w:hint="eastAsia" w:ascii="宋体" w:hAnsi="宋体" w:cs="宋体"/>
          <w:color w:val="auto"/>
          <w:kern w:val="0"/>
          <w:szCs w:val="21"/>
          <w:highlight w:val="none"/>
        </w:rPr>
        <w:t>后，支付至</w:t>
      </w:r>
      <w:r>
        <w:rPr>
          <w:rFonts w:hint="eastAsia" w:ascii="宋体" w:hAnsi="宋体" w:cs="宋体"/>
          <w:color w:val="auto"/>
          <w:kern w:val="0"/>
          <w:szCs w:val="21"/>
          <w:highlight w:val="none"/>
          <w:lang w:eastAsia="zh-CN"/>
        </w:rPr>
        <w:t>工程结算</w:t>
      </w:r>
      <w:r>
        <w:rPr>
          <w:rFonts w:hint="eastAsia" w:ascii="宋体" w:hAnsi="宋体" w:cs="宋体"/>
          <w:color w:val="auto"/>
          <w:kern w:val="0"/>
          <w:szCs w:val="21"/>
          <w:highlight w:val="none"/>
        </w:rPr>
        <w:t>审定金额的97%</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扣留结算金额的3%作为质量保证金，质量保证金在缺陷责任期（24个月）满按合同规定递</w:t>
      </w:r>
      <w:r>
        <w:rPr>
          <w:rFonts w:hint="eastAsia" w:ascii="宋体" w:hAnsi="宋体" w:cs="宋体"/>
          <w:color w:val="auto"/>
          <w:kern w:val="0"/>
          <w:szCs w:val="21"/>
          <w:highlight w:val="none"/>
          <w:u w:val="none"/>
        </w:rPr>
        <w:t>交最终结清申请单后28天内一次性无息退还</w:t>
      </w:r>
      <w:r>
        <w:rPr>
          <w:rFonts w:hint="eastAsia" w:ascii="宋体" w:hAnsi="宋体" w:cs="宋体"/>
          <w:color w:val="auto"/>
          <w:kern w:val="0"/>
          <w:szCs w:val="21"/>
          <w:highlight w:val="none"/>
          <w:u w:val="none"/>
          <w:lang w:eastAsia="zh-CN"/>
        </w:rPr>
        <w:t>，</w:t>
      </w:r>
      <w:r>
        <w:rPr>
          <w:rFonts w:hint="default" w:ascii="宋体" w:hAnsi="宋体" w:cs="宋体"/>
          <w:color w:val="auto"/>
          <w:kern w:val="0"/>
          <w:szCs w:val="21"/>
          <w:highlight w:val="none"/>
          <w:u w:val="none"/>
          <w:lang w:val="en-US" w:eastAsia="zh-CN"/>
        </w:rPr>
        <w:t>质保期内工程质量问题由乙方负责处理，甲方不予承担任何费用</w:t>
      </w:r>
      <w:r>
        <w:rPr>
          <w:rFonts w:hint="eastAsia" w:ascii="宋体" w:hAnsi="宋体" w:cs="宋体"/>
          <w:color w:val="auto"/>
          <w:kern w:val="0"/>
          <w:szCs w:val="21"/>
          <w:highlight w:val="none"/>
          <w:u w:val="none"/>
          <w:lang w:val="en-US" w:eastAsia="zh-CN"/>
        </w:rPr>
        <w:t>，所有项目的进度款要根据上级资金的到位情况完成支付</w:t>
      </w:r>
      <w:r>
        <w:rPr>
          <w:rFonts w:hint="default" w:ascii="宋体" w:hAnsi="宋体" w:cs="宋体"/>
          <w:color w:val="auto"/>
          <w:kern w:val="0"/>
          <w:szCs w:val="21"/>
          <w:highlight w:val="none"/>
          <w:u w:val="none"/>
          <w:lang w:val="en-US" w:eastAsia="zh-CN"/>
        </w:rPr>
        <w:t>。</w:t>
      </w:r>
    </w:p>
    <w:p w14:paraId="3376BDB9">
      <w:pPr>
        <w:keepNext w:val="0"/>
        <w:keepLines w:val="0"/>
        <w:pageBreakBefore w:val="0"/>
        <w:widowControl w:val="0"/>
        <w:kinsoku/>
        <w:wordWrap/>
        <w:overflowPunct/>
        <w:topLinePunct w:val="0"/>
        <w:autoSpaceDE/>
        <w:autoSpaceDN/>
        <w:bidi w:val="0"/>
        <w:adjustRightInd/>
        <w:snapToGrid/>
        <w:spacing w:line="360" w:lineRule="auto"/>
        <w:ind w:right="-433" w:rightChars="-206" w:firstLine="420" w:firstLineChars="200"/>
        <w:textAlignment w:val="auto"/>
        <w:rPr>
          <w:color w:val="auto"/>
          <w:highlight w:val="none"/>
        </w:rPr>
      </w:pPr>
      <w:r>
        <w:rPr>
          <w:rFonts w:hint="default" w:ascii="宋体" w:hAnsi="宋体" w:cs="宋体"/>
          <w:color w:val="auto"/>
          <w:kern w:val="0"/>
          <w:szCs w:val="21"/>
          <w:highlight w:val="none"/>
          <w:u w:val="none"/>
          <w:lang w:val="en-US" w:eastAsia="zh-CN"/>
        </w:rPr>
        <w:t>。</w:t>
      </w:r>
    </w:p>
    <w:p w14:paraId="1FB80CF0">
      <w:pPr>
        <w:pageBreakBefore w:val="0"/>
        <w:kinsoku/>
        <w:overflowPunct/>
        <w:topLinePunct w:val="0"/>
        <w:bidi w:val="0"/>
        <w:snapToGrid w:val="0"/>
        <w:spacing w:line="360" w:lineRule="auto"/>
        <w:ind w:firstLine="420" w:firstLineChars="200"/>
        <w:jc w:val="left"/>
        <w:rPr>
          <w:color w:val="auto"/>
          <w:highlight w:val="none"/>
        </w:rPr>
      </w:pPr>
      <w:r>
        <w:rPr>
          <w:rFonts w:hint="eastAsia" w:ascii="宋体" w:hAnsi="宋体" w:cs="宋体"/>
          <w:color w:val="auto"/>
          <w:kern w:val="0"/>
          <w:szCs w:val="21"/>
          <w:highlight w:val="none"/>
        </w:rPr>
        <w:t>③ 发包人应按规定时间支付承包人费用，逾期付款违约金的利率：</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p>
    <w:p w14:paraId="2DAD5895">
      <w:pPr>
        <w:pStyle w:val="4"/>
        <w:pageBreakBefore w:val="0"/>
        <w:kinsoku/>
        <w:overflowPunct/>
        <w:topLinePunct w:val="0"/>
        <w:bidi w:val="0"/>
        <w:spacing w:line="360" w:lineRule="auto"/>
        <w:ind w:firstLine="210" w:firstLineChars="100"/>
        <w:rPr>
          <w:color w:val="auto"/>
          <w:highlight w:val="none"/>
        </w:rPr>
      </w:pPr>
      <w:r>
        <w:rPr>
          <w:rFonts w:hint="eastAsia" w:ascii="宋体" w:hAnsi="宋体" w:cs="宋体"/>
          <w:color w:val="auto"/>
          <w:kern w:val="0"/>
          <w:szCs w:val="21"/>
          <w:highlight w:val="none"/>
        </w:rPr>
        <w:t>（4）本项目</w:t>
      </w:r>
      <w:r>
        <w:rPr>
          <w:rFonts w:hint="eastAsia" w:ascii="宋体" w:hAnsi="宋体" w:cs="宋体"/>
          <w:color w:val="auto"/>
          <w:szCs w:val="21"/>
          <w:highlight w:val="none"/>
        </w:rPr>
        <w:t>进度付款、完工付款及最终结清付款涉及政府投资资金的，按照国库集中支付等国家相关规定及以下规定办理：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DA9C9E7">
      <w:pPr>
        <w:keepNext/>
        <w:keepLines/>
        <w:pageBreakBefore w:val="0"/>
        <w:kinsoku/>
        <w:overflowPunct/>
        <w:topLinePunct w:val="0"/>
        <w:bidi w:val="0"/>
        <w:spacing w:line="360" w:lineRule="auto"/>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17.3.5支付账户</w:t>
      </w:r>
    </w:p>
    <w:p w14:paraId="09E96787">
      <w:pPr>
        <w:pageBreakBefore w:val="0"/>
        <w:kinsoku/>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发包人应将合同价款支付至如下承包人指定的开户银行及银行账户：</w:t>
      </w:r>
    </w:p>
    <w:p w14:paraId="09B3AD5D">
      <w:pPr>
        <w:pageBreakBefore w:val="0"/>
        <w:kinsoku/>
        <w:overflowPunct/>
        <w:topLinePunct w:val="0"/>
        <w:bidi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收款单位名称：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3BFBC7F7">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收款账号 </w:t>
      </w:r>
      <w:r>
        <w:rPr>
          <w:rFonts w:hint="eastAsia" w:ascii="宋体" w:hAnsi="宋体" w:cs="宋体"/>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2CDB45DA">
      <w:pPr>
        <w:pageBreakBefore w:val="0"/>
        <w:kinsoku/>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收款开户银行：</w:t>
      </w:r>
      <w:r>
        <w:rPr>
          <w:rFonts w:hint="eastAsia" w:ascii="宋体" w:hAnsi="宋体" w:cs="宋体"/>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0A945F49">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bookmarkStart w:id="252" w:name="_Toc33183765"/>
      <w:r>
        <w:rPr>
          <w:rFonts w:hint="eastAsia" w:ascii="宋体" w:hAnsi="宋体" w:cs="宋体"/>
          <w:color w:val="auto"/>
          <w:szCs w:val="21"/>
          <w:highlight w:val="none"/>
        </w:rPr>
        <w:t>17.4  质量保证金</w:t>
      </w:r>
      <w:bookmarkEnd w:id="251"/>
      <w:bookmarkEnd w:id="252"/>
    </w:p>
    <w:p w14:paraId="0B6F34CF">
      <w:pPr>
        <w:pageBreakBefore w:val="0"/>
        <w:kinsoku/>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17.4.1</w:t>
      </w:r>
      <w:r>
        <w:rPr>
          <w:rFonts w:hint="eastAsia" w:ascii="宋体" w:hAnsi="宋体" w:cs="宋体"/>
          <w:color w:val="auto"/>
          <w:szCs w:val="21"/>
          <w:highlight w:val="none"/>
        </w:rPr>
        <w:t>工程质量保证金总额：</w:t>
      </w:r>
      <w:r>
        <w:rPr>
          <w:rFonts w:hint="eastAsia" w:ascii="宋体" w:hAnsi="宋体" w:cs="宋体"/>
          <w:color w:val="auto"/>
          <w:kern w:val="0"/>
          <w:szCs w:val="21"/>
          <w:highlight w:val="none"/>
          <w:u w:val="single"/>
        </w:rPr>
        <w:t>合同工程完工</w:t>
      </w:r>
      <w:r>
        <w:rPr>
          <w:rFonts w:hint="eastAsia" w:ascii="宋体" w:hAnsi="宋体" w:cs="宋体"/>
          <w:color w:val="auto"/>
          <w:kern w:val="0"/>
          <w:szCs w:val="21"/>
          <w:highlight w:val="none"/>
          <w:u w:val="single"/>
          <w:lang w:eastAsia="zh-CN"/>
        </w:rPr>
        <w:t>审计金额</w:t>
      </w:r>
      <w:r>
        <w:rPr>
          <w:rFonts w:hint="eastAsia" w:ascii="宋体" w:hAnsi="宋体" w:cs="宋体"/>
          <w:color w:val="auto"/>
          <w:kern w:val="0"/>
          <w:szCs w:val="21"/>
          <w:highlight w:val="none"/>
          <w:u w:val="single"/>
        </w:rPr>
        <w:t xml:space="preserve">总价的3% </w:t>
      </w:r>
      <w:r>
        <w:rPr>
          <w:rFonts w:hint="eastAsia" w:ascii="宋体" w:hAnsi="宋体" w:cs="宋体"/>
          <w:color w:val="auto"/>
          <w:szCs w:val="21"/>
          <w:highlight w:val="none"/>
        </w:rPr>
        <w:t>。</w:t>
      </w:r>
    </w:p>
    <w:p w14:paraId="7C15A6D0">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szCs w:val="21"/>
          <w:highlight w:val="none"/>
        </w:rPr>
        <w:t>质量保证金的扣留（或提交）方式：监理人应从第一个工程进度付款周期开始，在发包人的进度付款中，按</w:t>
      </w:r>
      <w:r>
        <w:rPr>
          <w:rFonts w:hint="eastAsia" w:ascii="宋体" w:hAnsi="宋体" w:cs="宋体"/>
          <w:color w:val="auto"/>
          <w:kern w:val="0"/>
          <w:szCs w:val="21"/>
          <w:highlight w:val="none"/>
        </w:rPr>
        <w:t>每次应付进度款金额的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w:t>
      </w:r>
      <w:r>
        <w:rPr>
          <w:rFonts w:hint="eastAsia" w:ascii="宋体" w:hAnsi="宋体" w:cs="宋体"/>
          <w:color w:val="auto"/>
          <w:szCs w:val="21"/>
          <w:highlight w:val="none"/>
        </w:rPr>
        <w:t>扣留质量保证金，直至扣留的工程质量保证金总额达到</w:t>
      </w:r>
      <w:r>
        <w:rPr>
          <w:rFonts w:hint="eastAsia"/>
          <w:color w:val="auto"/>
          <w:highlight w:val="none"/>
        </w:rPr>
        <w:t>约定的金额或比例</w:t>
      </w:r>
      <w:r>
        <w:rPr>
          <w:rFonts w:hint="eastAsia" w:ascii="宋体" w:hAnsi="宋体" w:cs="宋体"/>
          <w:color w:val="auto"/>
          <w:szCs w:val="21"/>
          <w:highlight w:val="none"/>
        </w:rPr>
        <w:t>为止。</w:t>
      </w:r>
      <w:r>
        <w:rPr>
          <w:rFonts w:hint="eastAsia" w:ascii="宋体" w:hAnsi="宋体" w:cs="宋体"/>
          <w:color w:val="auto"/>
          <w:kern w:val="0"/>
          <w:szCs w:val="21"/>
          <w:highlight w:val="none"/>
          <w:u w:val="single"/>
        </w:rPr>
        <w:t>在此情形下，进度款扣留的质量保证金的计算基数不包括预付款的支付、扣回以及价格调整的金额。</w:t>
      </w:r>
    </w:p>
    <w:p w14:paraId="2E549425">
      <w:pPr>
        <w:pStyle w:val="4"/>
        <w:pageBreakBefore w:val="0"/>
        <w:kinsoku/>
        <w:overflowPunct/>
        <w:topLinePunct w:val="0"/>
        <w:bidi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本款补充17.4.4</w:t>
      </w:r>
      <w:r>
        <w:rPr>
          <w:rFonts w:hint="eastAsia" w:ascii="宋体" w:hAnsi="宋体"/>
          <w:color w:val="auto"/>
          <w:szCs w:val="21"/>
          <w:highlight w:val="none"/>
        </w:rPr>
        <w:t>～17.4.6</w:t>
      </w:r>
      <w:r>
        <w:rPr>
          <w:rFonts w:hint="eastAsia" w:ascii="宋体" w:hAnsi="宋体" w:cs="宋体"/>
          <w:color w:val="auto"/>
          <w:kern w:val="0"/>
          <w:szCs w:val="21"/>
          <w:highlight w:val="none"/>
        </w:rPr>
        <w:t>项如下：</w:t>
      </w:r>
    </w:p>
    <w:p w14:paraId="304CFAA8">
      <w:pPr>
        <w:pStyle w:val="4"/>
        <w:pageBreakBefore w:val="0"/>
        <w:kinsoku/>
        <w:overflowPunct/>
        <w:topLinePunct w:val="0"/>
        <w:bidi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17.4.4质量保证金的扣留(或提交)方式</w:t>
      </w:r>
    </w:p>
    <w:p w14:paraId="54E9097A">
      <w:pPr>
        <w:pageBreakBefore w:val="0"/>
        <w:kinsoku/>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质量保证金的扣留（或提交）采取以下第</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（2）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种方式：</w:t>
      </w:r>
    </w:p>
    <w:p w14:paraId="1CE752DF">
      <w:pPr>
        <w:pageBreakBefore w:val="0"/>
        <w:kinsoku/>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u w:val="single"/>
        </w:rPr>
        <w:t>（1）采用本合同条款17.4.1约定方式</w:t>
      </w:r>
      <w:r>
        <w:rPr>
          <w:rFonts w:hint="eastAsia" w:ascii="宋体" w:hAnsi="宋体" w:cs="宋体"/>
          <w:color w:val="auto"/>
          <w:kern w:val="0"/>
          <w:szCs w:val="21"/>
          <w:highlight w:val="none"/>
        </w:rPr>
        <w:t>；</w:t>
      </w:r>
    </w:p>
    <w:p w14:paraId="308243A2">
      <w:pPr>
        <w:pageBreakBefore w:val="0"/>
        <w:kinsoku/>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u w:val="single"/>
        </w:rPr>
        <w:t>（2）在合同工程</w:t>
      </w:r>
      <w:r>
        <w:rPr>
          <w:rFonts w:hint="eastAsia" w:ascii="宋体" w:hAnsi="宋体"/>
          <w:color w:val="auto"/>
          <w:szCs w:val="21"/>
          <w:highlight w:val="none"/>
          <w:u w:val="single"/>
        </w:rPr>
        <w:t>完工</w:t>
      </w:r>
      <w:r>
        <w:rPr>
          <w:rFonts w:hint="eastAsia" w:ascii="宋体" w:hAnsi="宋体" w:cs="宋体"/>
          <w:color w:val="auto"/>
          <w:kern w:val="0"/>
          <w:szCs w:val="21"/>
          <w:highlight w:val="none"/>
          <w:u w:val="single"/>
        </w:rPr>
        <w:t>结算时一次性扣留质量保证金</w:t>
      </w:r>
      <w:r>
        <w:rPr>
          <w:rFonts w:hint="eastAsia" w:ascii="宋体" w:hAnsi="宋体" w:cs="宋体"/>
          <w:color w:val="auto"/>
          <w:kern w:val="0"/>
          <w:szCs w:val="21"/>
          <w:highlight w:val="none"/>
        </w:rPr>
        <w:t>；</w:t>
      </w:r>
    </w:p>
    <w:p w14:paraId="0B6A355A">
      <w:pPr>
        <w:pageBreakBefore w:val="0"/>
        <w:kinsoku/>
        <w:overflowPunct/>
        <w:topLinePunct w:val="0"/>
        <w:autoSpaceDE w:val="0"/>
        <w:autoSpaceDN w:val="0"/>
        <w:bidi w:val="0"/>
        <w:adjustRightInd w:val="0"/>
        <w:spacing w:line="360" w:lineRule="auto"/>
        <w:ind w:firstLine="420" w:firstLineChars="200"/>
        <w:jc w:val="left"/>
        <w:rPr>
          <w:color w:val="auto"/>
          <w:highlight w:val="none"/>
        </w:rPr>
      </w:pPr>
      <w:r>
        <w:rPr>
          <w:rFonts w:hint="eastAsia" w:ascii="宋体" w:hAnsi="宋体" w:cs="宋体"/>
          <w:color w:val="auto"/>
          <w:kern w:val="0"/>
          <w:szCs w:val="21"/>
          <w:highlight w:val="none"/>
          <w:u w:val="single"/>
        </w:rPr>
        <w:t xml:space="preserve">（3）其他扣留方式: / </w:t>
      </w:r>
      <w:r>
        <w:rPr>
          <w:rFonts w:hint="eastAsia" w:ascii="宋体" w:hAnsi="宋体" w:cs="宋体"/>
          <w:color w:val="auto"/>
          <w:kern w:val="0"/>
          <w:szCs w:val="21"/>
          <w:highlight w:val="none"/>
        </w:rPr>
        <w:t>。</w:t>
      </w:r>
    </w:p>
    <w:p w14:paraId="48626E6C">
      <w:pPr>
        <w:pStyle w:val="4"/>
        <w:pageBreakBefore w:val="0"/>
        <w:kinsoku/>
        <w:overflowPunct/>
        <w:topLinePunct w:val="0"/>
        <w:bidi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17.4.5质量保证金的退还方式</w:t>
      </w:r>
    </w:p>
    <w:p w14:paraId="5C3FACB8">
      <w:pPr>
        <w:pStyle w:val="4"/>
        <w:pageBreakBefore w:val="0"/>
        <w:kinsoku/>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质量保证金的退还采取以下第</w:t>
      </w:r>
      <w:r>
        <w:rPr>
          <w:rFonts w:hint="eastAsia" w:ascii="宋体" w:hAnsi="宋体" w:cs="宋体"/>
          <w:color w:val="auto"/>
          <w:kern w:val="0"/>
          <w:szCs w:val="21"/>
          <w:highlight w:val="none"/>
          <w:u w:val="single"/>
        </w:rPr>
        <w:t>（2）</w:t>
      </w:r>
      <w:r>
        <w:rPr>
          <w:rFonts w:hint="eastAsia" w:ascii="宋体" w:hAnsi="宋体" w:cs="宋体"/>
          <w:color w:val="auto"/>
          <w:kern w:val="0"/>
          <w:szCs w:val="21"/>
          <w:highlight w:val="none"/>
        </w:rPr>
        <w:t>种方式：</w:t>
      </w:r>
    </w:p>
    <w:p w14:paraId="0A4F1B7D">
      <w:pPr>
        <w:pageBreakBefore w:val="0"/>
        <w:kinsoku/>
        <w:overflowPunct/>
        <w:topLinePunct w:val="0"/>
        <w:bidi w:val="0"/>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（1）采用本合同条款17.4.2、17.4.3约定方式；</w:t>
      </w:r>
    </w:p>
    <w:p w14:paraId="34296174">
      <w:pPr>
        <w:pageBreakBefore w:val="0"/>
        <w:kinsoku/>
        <w:overflowPunct/>
        <w:topLinePunct w:val="0"/>
        <w:bidi w:val="0"/>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（2）缺陷责任期满且承包人按合同规定递交最终结清申请单后28天内，发包人一次性无息退还质量保证金。</w:t>
      </w:r>
    </w:p>
    <w:p w14:paraId="150C4FFE">
      <w:pPr>
        <w:pStyle w:val="4"/>
        <w:pageBreakBefore w:val="0"/>
        <w:kinsoku/>
        <w:overflowPunct/>
        <w:topLinePunct w:val="0"/>
        <w:bidi w:val="0"/>
        <w:spacing w:line="360" w:lineRule="auto"/>
        <w:rPr>
          <w:color w:val="auto"/>
          <w:highlight w:val="none"/>
        </w:rPr>
      </w:pPr>
      <w:r>
        <w:rPr>
          <w:rFonts w:hint="eastAsia" w:ascii="宋体" w:hAnsi="宋体" w:cs="宋体"/>
          <w:color w:val="auto"/>
          <w:kern w:val="0"/>
          <w:szCs w:val="21"/>
          <w:highlight w:val="none"/>
        </w:rPr>
        <w:t xml:space="preserve">    （3）其他退还方式：</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14:paraId="1BD296E8">
      <w:pPr>
        <w:pStyle w:val="4"/>
        <w:pageBreakBefore w:val="0"/>
        <w:kinsoku/>
        <w:overflowPunct/>
        <w:topLinePunct w:val="0"/>
        <w:bidi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17.4.6质量保证金利息的支付</w:t>
      </w:r>
    </w:p>
    <w:p w14:paraId="052AD059">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质量保证金利息的支付，采取以下第</w:t>
      </w:r>
      <w:r>
        <w:rPr>
          <w:rFonts w:hint="eastAsia" w:ascii="宋体" w:hAnsi="宋体" w:cs="宋体"/>
          <w:color w:val="auto"/>
          <w:kern w:val="0"/>
          <w:szCs w:val="21"/>
          <w:highlight w:val="none"/>
          <w:u w:val="single"/>
        </w:rPr>
        <w:t xml:space="preserve"> （2） </w:t>
      </w:r>
      <w:r>
        <w:rPr>
          <w:rFonts w:hint="eastAsia" w:ascii="宋体" w:hAnsi="宋体" w:cs="宋体"/>
          <w:color w:val="auto"/>
          <w:kern w:val="0"/>
          <w:szCs w:val="21"/>
          <w:highlight w:val="none"/>
        </w:rPr>
        <w:t>种方式：</w:t>
      </w:r>
    </w:p>
    <w:p w14:paraId="275DD9EB">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u w:val="single"/>
        </w:rPr>
        <w:t>（1）</w:t>
      </w:r>
      <w:r>
        <w:rPr>
          <w:rFonts w:hint="eastAsia" w:ascii="宋体" w:hAnsi="宋体"/>
          <w:color w:val="auto"/>
          <w:szCs w:val="21"/>
          <w:highlight w:val="none"/>
          <w:u w:val="single"/>
        </w:rPr>
        <w:t>按照中国人民银行   年   月公布的5年期贷款市场报价利率支付利息</w:t>
      </w:r>
      <w:r>
        <w:rPr>
          <w:rFonts w:hint="eastAsia" w:ascii="宋体" w:hAnsi="宋体"/>
          <w:color w:val="auto"/>
          <w:szCs w:val="21"/>
          <w:highlight w:val="none"/>
        </w:rPr>
        <w:t>。</w:t>
      </w:r>
    </w:p>
    <w:p w14:paraId="14E1341A">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（2）不采用</w:t>
      </w:r>
      <w:r>
        <w:rPr>
          <w:rFonts w:hint="eastAsia" w:ascii="宋体" w:hAnsi="宋体" w:cs="宋体"/>
          <w:color w:val="auto"/>
          <w:kern w:val="0"/>
          <w:szCs w:val="21"/>
          <w:highlight w:val="none"/>
        </w:rPr>
        <w:t>。</w:t>
      </w:r>
    </w:p>
    <w:p w14:paraId="040D2F1D">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bookmarkStart w:id="253" w:name="_Toc221951262"/>
      <w:r>
        <w:rPr>
          <w:rFonts w:hint="eastAsia" w:ascii="宋体" w:hAnsi="宋体" w:cs="宋体"/>
          <w:color w:val="auto"/>
          <w:szCs w:val="21"/>
          <w:highlight w:val="none"/>
        </w:rPr>
        <w:t xml:space="preserve"> </w:t>
      </w:r>
      <w:bookmarkEnd w:id="253"/>
      <w:bookmarkStart w:id="254" w:name="_Toc33183766"/>
      <w:bookmarkStart w:id="255" w:name="_Toc221951265"/>
      <w:r>
        <w:rPr>
          <w:rFonts w:hint="eastAsia" w:ascii="宋体" w:hAnsi="宋体" w:cs="宋体"/>
          <w:color w:val="auto"/>
          <w:szCs w:val="21"/>
          <w:highlight w:val="none"/>
        </w:rPr>
        <w:t>17.5  竣工（完工）结算</w:t>
      </w:r>
      <w:bookmarkEnd w:id="254"/>
      <w:bookmarkEnd w:id="255"/>
    </w:p>
    <w:p w14:paraId="6FDA4B17">
      <w:pPr>
        <w:pageBreakBefore w:val="0"/>
        <w:kinsoku/>
        <w:overflowPunct/>
        <w:topLinePunct w:val="0"/>
        <w:bidi w:val="0"/>
        <w:spacing w:line="360" w:lineRule="auto"/>
        <w:ind w:right="248" w:firstLine="480"/>
        <w:rPr>
          <w:rFonts w:ascii="宋体" w:hAnsi="宋体" w:cs="宋体"/>
          <w:color w:val="auto"/>
          <w:szCs w:val="21"/>
          <w:highlight w:val="none"/>
        </w:rPr>
      </w:pPr>
      <w:bookmarkStart w:id="256" w:name="_Toc221951266"/>
      <w:r>
        <w:rPr>
          <w:rFonts w:hint="eastAsia" w:ascii="宋体" w:hAnsi="宋体" w:cs="宋体"/>
          <w:color w:val="auto"/>
          <w:szCs w:val="21"/>
          <w:highlight w:val="none"/>
        </w:rPr>
        <w:t>17.5.1  竣工（完工）付款申请单</w:t>
      </w:r>
      <w:bookmarkEnd w:id="256"/>
      <w:r>
        <w:rPr>
          <w:rFonts w:hint="eastAsia" w:ascii="宋体" w:hAnsi="宋体" w:cs="宋体"/>
          <w:color w:val="auto"/>
          <w:szCs w:val="21"/>
          <w:highlight w:val="none"/>
        </w:rPr>
        <w:t xml:space="preserve"> </w:t>
      </w:r>
    </w:p>
    <w:p w14:paraId="49A19B61">
      <w:pPr>
        <w:pageBreakBefore w:val="0"/>
        <w:kinsoku/>
        <w:overflowPunct/>
        <w:topLinePunct w:val="0"/>
        <w:bidi w:val="0"/>
        <w:spacing w:line="360" w:lineRule="auto"/>
        <w:ind w:right="248" w:firstLine="480"/>
        <w:rPr>
          <w:rFonts w:ascii="宋体" w:hAnsi="宋体" w:cs="宋体"/>
          <w:color w:val="auto"/>
          <w:szCs w:val="21"/>
          <w:highlight w:val="none"/>
        </w:rPr>
      </w:pPr>
      <w:bookmarkStart w:id="257" w:name="_Toc221951267"/>
      <w:r>
        <w:rPr>
          <w:rFonts w:hint="eastAsia" w:ascii="宋体" w:hAnsi="宋体" w:cs="宋体"/>
          <w:color w:val="auto"/>
          <w:szCs w:val="21"/>
          <w:highlight w:val="none"/>
        </w:rPr>
        <w:t>承包人应提交完工付款申请单一式</w:t>
      </w:r>
      <w:r>
        <w:rPr>
          <w:rFonts w:hint="eastAsia" w:ascii="宋体" w:hAnsi="宋体" w:cs="宋体"/>
          <w:color w:val="auto"/>
          <w:szCs w:val="21"/>
          <w:highlight w:val="none"/>
          <w:u w:val="single"/>
        </w:rPr>
        <w:t xml:space="preserve"> 五 </w:t>
      </w:r>
      <w:r>
        <w:rPr>
          <w:rFonts w:hint="eastAsia" w:ascii="宋体" w:hAnsi="宋体" w:cs="宋体"/>
          <w:color w:val="auto"/>
          <w:szCs w:val="21"/>
          <w:highlight w:val="none"/>
        </w:rPr>
        <w:t>份。</w:t>
      </w:r>
      <w:bookmarkEnd w:id="257"/>
    </w:p>
    <w:p w14:paraId="17972E9B">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承包人提交</w:t>
      </w:r>
      <w:r>
        <w:rPr>
          <w:rFonts w:hint="eastAsia" w:ascii="宋体" w:hAnsi="宋体" w:cs="宋体"/>
          <w:color w:val="auto"/>
          <w:szCs w:val="21"/>
          <w:highlight w:val="none"/>
        </w:rPr>
        <w:t>完工</w:t>
      </w:r>
      <w:r>
        <w:rPr>
          <w:rFonts w:hint="eastAsia" w:ascii="宋体" w:hAnsi="宋体" w:cs="宋体"/>
          <w:color w:val="auto"/>
          <w:kern w:val="0"/>
          <w:szCs w:val="21"/>
          <w:highlight w:val="none"/>
        </w:rPr>
        <w:t>结算申请单的期限：</w:t>
      </w:r>
      <w:r>
        <w:rPr>
          <w:rFonts w:hint="eastAsia" w:ascii="宋体" w:hAnsi="宋体" w:cs="宋体"/>
          <w:color w:val="auto"/>
          <w:kern w:val="0"/>
          <w:szCs w:val="21"/>
          <w:highlight w:val="none"/>
          <w:u w:val="single"/>
        </w:rPr>
        <w:t>承包人应在工程完工验收合格之日且报送完成的完工资料之日起28天内向监理人、发包人提交完工结算申请单，并向发包人报送完整的工程竣工资料及经监理人初审确认的完整的完工结算资料。监理人或发包人对完工结算申请单有异议的，应在接到完工结算申请单后14天内要求承包人进行修正和提供补充资料，承包人在接到监理人或发包人提出的审核意见后，应在28天内按监理人或发包人提出的合理要求补充资料、修改完工结算资料，并再次提交监理人或发包人审核。承包人未在规定时间内报送完工结算资料给发包人造成经济损失的，承包人应承担赔偿责任</w:t>
      </w:r>
      <w:r>
        <w:rPr>
          <w:rFonts w:hint="eastAsia" w:ascii="宋体" w:hAnsi="宋体" w:cs="宋体"/>
          <w:color w:val="auto"/>
          <w:kern w:val="0"/>
          <w:szCs w:val="21"/>
          <w:highlight w:val="none"/>
        </w:rPr>
        <w:t>。</w:t>
      </w:r>
    </w:p>
    <w:p w14:paraId="5273CC49">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完工</w:t>
      </w:r>
      <w:r>
        <w:rPr>
          <w:rFonts w:hint="eastAsia" w:ascii="宋体" w:hAnsi="宋体" w:cs="宋体"/>
          <w:color w:val="auto"/>
          <w:kern w:val="0"/>
          <w:szCs w:val="21"/>
          <w:highlight w:val="none"/>
        </w:rPr>
        <w:t>结算申请单包括但不限于以下内容：</w:t>
      </w:r>
    </w:p>
    <w:p w14:paraId="6FD85B96">
      <w:pPr>
        <w:pageBreakBefore w:val="0"/>
        <w:kinsoku/>
        <w:overflowPunct/>
        <w:topLinePunct w:val="0"/>
        <w:bidi w:val="0"/>
        <w:snapToGrid w:val="0"/>
        <w:spacing w:line="360" w:lineRule="auto"/>
        <w:ind w:firstLine="47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rPr>
        <w:t>完工</w:t>
      </w:r>
      <w:r>
        <w:rPr>
          <w:rFonts w:hint="eastAsia" w:ascii="宋体" w:hAnsi="宋体" w:cs="宋体"/>
          <w:color w:val="auto"/>
          <w:kern w:val="0"/>
          <w:szCs w:val="21"/>
          <w:highlight w:val="none"/>
        </w:rPr>
        <w:t>结算合同价格；</w:t>
      </w:r>
    </w:p>
    <w:p w14:paraId="674DFEE3">
      <w:pPr>
        <w:pageBreakBefore w:val="0"/>
        <w:kinsoku/>
        <w:overflowPunct/>
        <w:topLinePunct w:val="0"/>
        <w:bidi w:val="0"/>
        <w:snapToGrid w:val="0"/>
        <w:spacing w:line="360" w:lineRule="auto"/>
        <w:ind w:firstLine="470"/>
        <w:jc w:val="left"/>
        <w:rPr>
          <w:rFonts w:ascii="宋体" w:hAnsi="宋体" w:cs="宋体"/>
          <w:color w:val="auto"/>
          <w:kern w:val="0"/>
          <w:szCs w:val="21"/>
          <w:highlight w:val="none"/>
        </w:rPr>
      </w:pPr>
      <w:r>
        <w:rPr>
          <w:rFonts w:hint="eastAsia" w:ascii="宋体" w:hAnsi="宋体" w:cs="宋体"/>
          <w:color w:val="auto"/>
          <w:kern w:val="0"/>
          <w:szCs w:val="21"/>
          <w:highlight w:val="none"/>
        </w:rPr>
        <w:t>（2）变更增减金额；</w:t>
      </w:r>
    </w:p>
    <w:p w14:paraId="14F4E342">
      <w:pPr>
        <w:pageBreakBefore w:val="0"/>
        <w:kinsoku/>
        <w:overflowPunct/>
        <w:topLinePunct w:val="0"/>
        <w:bidi w:val="0"/>
        <w:snapToGrid w:val="0"/>
        <w:spacing w:line="360" w:lineRule="auto"/>
        <w:ind w:firstLine="470"/>
        <w:jc w:val="left"/>
        <w:rPr>
          <w:rFonts w:ascii="宋体" w:hAnsi="宋体" w:cs="宋体"/>
          <w:color w:val="auto"/>
          <w:kern w:val="0"/>
          <w:szCs w:val="21"/>
          <w:highlight w:val="none"/>
        </w:rPr>
      </w:pPr>
      <w:r>
        <w:rPr>
          <w:rFonts w:hint="eastAsia" w:ascii="宋体" w:hAnsi="宋体" w:cs="宋体"/>
          <w:color w:val="auto"/>
          <w:kern w:val="0"/>
          <w:szCs w:val="21"/>
          <w:highlight w:val="none"/>
        </w:rPr>
        <w:t>（3）现场签证增减金额；</w:t>
      </w:r>
    </w:p>
    <w:p w14:paraId="0B04DA64">
      <w:pPr>
        <w:pageBreakBefore w:val="0"/>
        <w:kinsoku/>
        <w:overflowPunct/>
        <w:topLinePunct w:val="0"/>
        <w:bidi w:val="0"/>
        <w:snapToGrid w:val="0"/>
        <w:spacing w:line="360" w:lineRule="auto"/>
        <w:ind w:firstLine="470"/>
        <w:jc w:val="left"/>
        <w:rPr>
          <w:rFonts w:ascii="宋体" w:hAnsi="宋体" w:cs="宋体"/>
          <w:color w:val="auto"/>
          <w:kern w:val="0"/>
          <w:szCs w:val="21"/>
          <w:highlight w:val="none"/>
        </w:rPr>
      </w:pPr>
      <w:r>
        <w:rPr>
          <w:rFonts w:hint="eastAsia" w:ascii="宋体" w:hAnsi="宋体" w:cs="宋体"/>
          <w:color w:val="auto"/>
          <w:kern w:val="0"/>
          <w:szCs w:val="21"/>
          <w:highlight w:val="none"/>
        </w:rPr>
        <w:t>（4）价格调整；</w:t>
      </w:r>
    </w:p>
    <w:p w14:paraId="0540EE1D">
      <w:pPr>
        <w:pageBreakBefore w:val="0"/>
        <w:kinsoku/>
        <w:overflowPunct/>
        <w:topLinePunct w:val="0"/>
        <w:bidi w:val="0"/>
        <w:snapToGrid w:val="0"/>
        <w:spacing w:line="360" w:lineRule="auto"/>
        <w:ind w:firstLine="470"/>
        <w:jc w:val="left"/>
        <w:rPr>
          <w:rFonts w:ascii="宋体" w:hAnsi="宋体" w:cs="宋体"/>
          <w:color w:val="auto"/>
          <w:kern w:val="0"/>
          <w:szCs w:val="21"/>
          <w:highlight w:val="none"/>
        </w:rPr>
      </w:pPr>
      <w:r>
        <w:rPr>
          <w:rFonts w:hint="eastAsia" w:ascii="宋体" w:hAnsi="宋体" w:cs="宋体"/>
          <w:color w:val="auto"/>
          <w:kern w:val="0"/>
          <w:szCs w:val="21"/>
          <w:highlight w:val="none"/>
        </w:rPr>
        <w:t>（5）索赔增减金额；</w:t>
      </w:r>
    </w:p>
    <w:p w14:paraId="08324337">
      <w:pPr>
        <w:pageBreakBefore w:val="0"/>
        <w:kinsoku/>
        <w:overflowPunct/>
        <w:topLinePunct w:val="0"/>
        <w:bidi w:val="0"/>
        <w:snapToGrid w:val="0"/>
        <w:spacing w:line="360" w:lineRule="auto"/>
        <w:ind w:firstLine="470"/>
        <w:jc w:val="left"/>
        <w:rPr>
          <w:rFonts w:ascii="宋体" w:hAnsi="宋体" w:cs="宋体"/>
          <w:color w:val="auto"/>
          <w:kern w:val="0"/>
          <w:szCs w:val="21"/>
          <w:highlight w:val="none"/>
        </w:rPr>
      </w:pPr>
      <w:r>
        <w:rPr>
          <w:rFonts w:hint="eastAsia" w:ascii="宋体" w:hAnsi="宋体" w:cs="宋体"/>
          <w:color w:val="auto"/>
          <w:kern w:val="0"/>
          <w:szCs w:val="21"/>
          <w:highlight w:val="none"/>
        </w:rPr>
        <w:t>（6）奖励、罚金及违约金；</w:t>
      </w:r>
    </w:p>
    <w:p w14:paraId="4AB65370">
      <w:pPr>
        <w:pageBreakBefore w:val="0"/>
        <w:kinsoku/>
        <w:overflowPunct/>
        <w:topLinePunct w:val="0"/>
        <w:bidi w:val="0"/>
        <w:snapToGrid w:val="0"/>
        <w:spacing w:line="360" w:lineRule="auto"/>
        <w:ind w:firstLine="470"/>
        <w:jc w:val="left"/>
        <w:rPr>
          <w:rFonts w:ascii="宋体" w:hAnsi="宋体" w:cs="宋体"/>
          <w:color w:val="auto"/>
          <w:kern w:val="0"/>
          <w:szCs w:val="21"/>
          <w:highlight w:val="none"/>
        </w:rPr>
      </w:pPr>
      <w:r>
        <w:rPr>
          <w:rFonts w:hint="eastAsia" w:ascii="宋体" w:hAnsi="宋体" w:cs="宋体"/>
          <w:color w:val="auto"/>
          <w:kern w:val="0"/>
          <w:szCs w:val="21"/>
          <w:highlight w:val="none"/>
        </w:rPr>
        <w:t>（7）发包人已支付承包人的款项；</w:t>
      </w:r>
    </w:p>
    <w:p w14:paraId="09255CE3">
      <w:pPr>
        <w:pageBreakBefore w:val="0"/>
        <w:kinsoku/>
        <w:overflowPunct/>
        <w:topLinePunct w:val="0"/>
        <w:bidi w:val="0"/>
        <w:snapToGrid w:val="0"/>
        <w:spacing w:line="360" w:lineRule="auto"/>
        <w:ind w:firstLine="470"/>
        <w:jc w:val="left"/>
        <w:rPr>
          <w:rFonts w:ascii="宋体" w:hAnsi="宋体" w:cs="宋体"/>
          <w:color w:val="auto"/>
          <w:kern w:val="0"/>
          <w:szCs w:val="21"/>
          <w:highlight w:val="none"/>
        </w:rPr>
      </w:pPr>
      <w:r>
        <w:rPr>
          <w:rFonts w:hint="eastAsia" w:ascii="宋体" w:hAnsi="宋体" w:cs="宋体"/>
          <w:color w:val="auto"/>
          <w:kern w:val="0"/>
          <w:szCs w:val="21"/>
          <w:highlight w:val="none"/>
        </w:rPr>
        <w:t>（8）应扣留的质量保证金；</w:t>
      </w:r>
    </w:p>
    <w:p w14:paraId="032BB6A5">
      <w:pPr>
        <w:pageBreakBefore w:val="0"/>
        <w:kinsoku/>
        <w:overflowPunct/>
        <w:topLinePunct w:val="0"/>
        <w:bidi w:val="0"/>
        <w:snapToGrid w:val="0"/>
        <w:spacing w:line="360" w:lineRule="auto"/>
        <w:ind w:firstLine="470"/>
        <w:jc w:val="left"/>
        <w:rPr>
          <w:rFonts w:ascii="宋体" w:hAnsi="宋体" w:cs="宋体"/>
          <w:color w:val="auto"/>
          <w:kern w:val="0"/>
          <w:szCs w:val="21"/>
          <w:highlight w:val="none"/>
        </w:rPr>
      </w:pPr>
      <w:r>
        <w:rPr>
          <w:rFonts w:hint="eastAsia" w:ascii="宋体" w:hAnsi="宋体" w:cs="宋体"/>
          <w:color w:val="auto"/>
          <w:kern w:val="0"/>
          <w:szCs w:val="21"/>
          <w:highlight w:val="none"/>
        </w:rPr>
        <w:t>（9）发包人应支付承包人的合同价款。</w:t>
      </w:r>
    </w:p>
    <w:p w14:paraId="5CFCAF7C">
      <w:pPr>
        <w:pageBreakBefore w:val="0"/>
        <w:kinsoku/>
        <w:overflowPunct/>
        <w:topLinePunct w:val="0"/>
        <w:bidi w:val="0"/>
        <w:snapToGrid w:val="0"/>
        <w:spacing w:line="360" w:lineRule="auto"/>
        <w:ind w:firstLine="470"/>
        <w:jc w:val="left"/>
        <w:rPr>
          <w:rFonts w:ascii="宋体" w:hAnsi="宋体" w:cs="宋体"/>
          <w:color w:val="auto"/>
          <w:szCs w:val="21"/>
          <w:highlight w:val="none"/>
        </w:rPr>
      </w:pPr>
      <w:r>
        <w:rPr>
          <w:rFonts w:hint="eastAsia" w:ascii="宋体" w:hAnsi="宋体" w:cs="宋体"/>
          <w:color w:val="auto"/>
          <w:kern w:val="0"/>
          <w:szCs w:val="21"/>
          <w:highlight w:val="none"/>
        </w:rPr>
        <w:t>（10）</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35B9177C">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17.5.1.1 </w:t>
      </w:r>
      <w:r>
        <w:rPr>
          <w:rFonts w:hint="eastAsia" w:ascii="宋体" w:hAnsi="宋体" w:cs="宋体"/>
          <w:color w:val="auto"/>
          <w:szCs w:val="21"/>
          <w:highlight w:val="none"/>
        </w:rPr>
        <w:t>完工</w:t>
      </w:r>
      <w:r>
        <w:rPr>
          <w:rFonts w:hint="eastAsia" w:ascii="宋体" w:hAnsi="宋体" w:cs="宋体"/>
          <w:color w:val="auto"/>
          <w:kern w:val="0"/>
          <w:szCs w:val="21"/>
          <w:highlight w:val="none"/>
        </w:rPr>
        <w:t>结算办法</w:t>
      </w:r>
    </w:p>
    <w:p w14:paraId="09262C54">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17.5.1.1.1计量原则</w:t>
      </w:r>
    </w:p>
    <w:p w14:paraId="1C63EBA3">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按照第17.1.2项〔计量方法〕约定执行。</w:t>
      </w:r>
    </w:p>
    <w:p w14:paraId="7BA0C2DC">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17.5.1.2计价原则</w:t>
      </w:r>
    </w:p>
    <w:p w14:paraId="70B94D61">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合同完工结算总价=完工结算合同价格+变更增减金额+现场签证增减金额±价格调整（如有）±索赔增减金额±奖励、罚金及违约金及其他费用</w:t>
      </w:r>
      <w:r>
        <w:rPr>
          <w:rFonts w:hint="eastAsia" w:ascii="宋体" w:hAnsi="宋体" w:cs="宋体"/>
          <w:color w:val="auto"/>
          <w:kern w:val="0"/>
          <w:szCs w:val="21"/>
          <w:highlight w:val="none"/>
        </w:rPr>
        <w:t>。</w:t>
      </w:r>
    </w:p>
    <w:p w14:paraId="487C9B58">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17.5.1.3</w:t>
      </w:r>
      <w:r>
        <w:rPr>
          <w:rFonts w:hint="eastAsia" w:ascii="宋体" w:hAnsi="宋体" w:cs="宋体"/>
          <w:color w:val="auto"/>
          <w:szCs w:val="21"/>
          <w:highlight w:val="none"/>
        </w:rPr>
        <w:t>完工</w:t>
      </w:r>
      <w:r>
        <w:rPr>
          <w:rFonts w:hint="eastAsia" w:ascii="宋体" w:hAnsi="宋体" w:cs="宋体"/>
          <w:color w:val="auto"/>
          <w:kern w:val="0"/>
          <w:szCs w:val="21"/>
          <w:highlight w:val="none"/>
        </w:rPr>
        <w:t>结算总价</w:t>
      </w:r>
    </w:p>
    <w:p w14:paraId="14EA0EE5">
      <w:pPr>
        <w:pageBreakBefore w:val="0"/>
        <w:tabs>
          <w:tab w:val="left" w:pos="711"/>
          <w:tab w:val="left" w:pos="2580"/>
        </w:tabs>
        <w:kinsoku/>
        <w:overflowPunct/>
        <w:topLinePunct w:val="0"/>
        <w:bidi w:val="0"/>
        <w:snapToGrid w:val="0"/>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发包人、审计单位、监理人、承包人根据有效资料共同确定</w:t>
      </w:r>
      <w:r>
        <w:rPr>
          <w:rFonts w:hint="eastAsia" w:ascii="宋体" w:hAnsi="宋体" w:cs="宋体"/>
          <w:color w:val="auto"/>
          <w:szCs w:val="21"/>
          <w:highlight w:val="none"/>
        </w:rPr>
        <w:t>完工</w:t>
      </w:r>
      <w:r>
        <w:rPr>
          <w:rFonts w:hint="eastAsia" w:ascii="宋体" w:hAnsi="宋体" w:cs="宋体"/>
          <w:color w:val="auto"/>
          <w:kern w:val="0"/>
          <w:szCs w:val="21"/>
          <w:highlight w:val="none"/>
        </w:rPr>
        <w:t>结算金额作为合同</w:t>
      </w:r>
      <w:r>
        <w:rPr>
          <w:rFonts w:hint="eastAsia" w:ascii="宋体" w:hAnsi="宋体" w:cs="宋体"/>
          <w:color w:val="auto"/>
          <w:szCs w:val="21"/>
          <w:highlight w:val="none"/>
        </w:rPr>
        <w:t>竣工（完工）</w:t>
      </w:r>
      <w:r>
        <w:rPr>
          <w:rFonts w:hint="eastAsia" w:ascii="宋体" w:hAnsi="宋体" w:cs="宋体"/>
          <w:color w:val="auto"/>
          <w:kern w:val="0"/>
          <w:szCs w:val="21"/>
          <w:highlight w:val="none"/>
        </w:rPr>
        <w:t>结算总价。</w:t>
      </w:r>
    </w:p>
    <w:p w14:paraId="380D9409">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17.5.2完工付款证书及支付时间</w:t>
      </w:r>
    </w:p>
    <w:p w14:paraId="7957376C">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监理人审核完工付款申请单的期限：</w:t>
      </w:r>
      <w:r>
        <w:rPr>
          <w:rFonts w:hint="eastAsia" w:ascii="宋体" w:hAnsi="宋体" w:cs="宋体"/>
          <w:color w:val="auto"/>
          <w:kern w:val="0"/>
          <w:szCs w:val="21"/>
          <w:highlight w:val="none"/>
          <w:u w:val="single"/>
        </w:rPr>
        <w:t>不超过14日</w:t>
      </w:r>
      <w:r>
        <w:rPr>
          <w:rFonts w:hint="eastAsia" w:ascii="宋体" w:hAnsi="宋体" w:cs="宋体"/>
          <w:color w:val="auto"/>
          <w:kern w:val="0"/>
          <w:szCs w:val="21"/>
          <w:highlight w:val="none"/>
        </w:rPr>
        <w:t>。</w:t>
      </w:r>
    </w:p>
    <w:p w14:paraId="751C7239">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发包人审核完工付款申请单的期限：</w:t>
      </w:r>
      <w:r>
        <w:rPr>
          <w:rFonts w:hint="eastAsia" w:ascii="宋体" w:hAnsi="宋体" w:cs="宋体"/>
          <w:color w:val="auto"/>
          <w:kern w:val="0"/>
          <w:szCs w:val="21"/>
          <w:highlight w:val="none"/>
          <w:u w:val="single"/>
        </w:rPr>
        <w:t>不超过56日</w:t>
      </w:r>
      <w:r>
        <w:rPr>
          <w:rFonts w:hint="eastAsia" w:ascii="宋体" w:hAnsi="宋体" w:cs="宋体"/>
          <w:color w:val="auto"/>
          <w:kern w:val="0"/>
          <w:szCs w:val="21"/>
          <w:highlight w:val="none"/>
        </w:rPr>
        <w:t>。</w:t>
      </w:r>
    </w:p>
    <w:p w14:paraId="741B4057">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发包人完成完工付款的期限：</w:t>
      </w:r>
      <w:r>
        <w:rPr>
          <w:rFonts w:hint="eastAsia" w:ascii="宋体" w:hAnsi="宋体" w:cs="宋体"/>
          <w:color w:val="auto"/>
          <w:kern w:val="0"/>
          <w:szCs w:val="21"/>
          <w:highlight w:val="none"/>
          <w:u w:val="single"/>
        </w:rPr>
        <w:t>完成完工付款申请单审核后28天内</w:t>
      </w:r>
      <w:r>
        <w:rPr>
          <w:rFonts w:hint="eastAsia" w:ascii="宋体" w:hAnsi="宋体" w:cs="宋体"/>
          <w:color w:val="auto"/>
          <w:kern w:val="0"/>
          <w:szCs w:val="21"/>
          <w:highlight w:val="none"/>
        </w:rPr>
        <w:t>。</w:t>
      </w:r>
    </w:p>
    <w:p w14:paraId="1CF6F38F">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关于完工付款证书异议部分复核的方式和程序：</w:t>
      </w:r>
      <w:r>
        <w:rPr>
          <w:rFonts w:hint="eastAsia" w:ascii="宋体" w:hAnsi="宋体" w:cs="宋体"/>
          <w:color w:val="auto"/>
          <w:kern w:val="0"/>
          <w:szCs w:val="21"/>
          <w:highlight w:val="none"/>
          <w:u w:val="single"/>
        </w:rPr>
        <w:t>按照第24条〔争议的解决〕约定处理</w:t>
      </w:r>
      <w:r>
        <w:rPr>
          <w:rFonts w:hint="eastAsia" w:ascii="宋体" w:hAnsi="宋体" w:cs="宋体"/>
          <w:color w:val="auto"/>
          <w:kern w:val="0"/>
          <w:szCs w:val="21"/>
          <w:highlight w:val="none"/>
        </w:rPr>
        <w:t>。</w:t>
      </w:r>
    </w:p>
    <w:p w14:paraId="41586CED">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bookmarkStart w:id="258" w:name="_Toc33183767"/>
      <w:bookmarkStart w:id="259" w:name="_Toc221951268"/>
      <w:r>
        <w:rPr>
          <w:rFonts w:hint="eastAsia" w:ascii="宋体" w:hAnsi="宋体" w:cs="宋体"/>
          <w:color w:val="auto"/>
          <w:szCs w:val="21"/>
          <w:highlight w:val="none"/>
        </w:rPr>
        <w:t>17.6  最终结清</w:t>
      </w:r>
      <w:bookmarkEnd w:id="258"/>
      <w:bookmarkEnd w:id="259"/>
    </w:p>
    <w:p w14:paraId="6EEA25C5">
      <w:pPr>
        <w:pageBreakBefore w:val="0"/>
        <w:kinsoku/>
        <w:overflowPunct/>
        <w:topLinePunct w:val="0"/>
        <w:bidi w:val="0"/>
        <w:spacing w:line="360" w:lineRule="auto"/>
        <w:ind w:right="248" w:firstLine="480"/>
        <w:rPr>
          <w:rFonts w:ascii="宋体" w:hAnsi="宋体" w:cs="宋体"/>
          <w:color w:val="auto"/>
          <w:szCs w:val="21"/>
          <w:highlight w:val="none"/>
        </w:rPr>
      </w:pPr>
      <w:bookmarkStart w:id="260" w:name="_Toc221951269"/>
      <w:r>
        <w:rPr>
          <w:rFonts w:hint="eastAsia" w:ascii="宋体" w:hAnsi="宋体" w:cs="宋体"/>
          <w:color w:val="auto"/>
          <w:szCs w:val="21"/>
          <w:highlight w:val="none"/>
        </w:rPr>
        <w:t>17.6 1  最终结清申请单</w:t>
      </w:r>
      <w:bookmarkEnd w:id="260"/>
    </w:p>
    <w:p w14:paraId="689BD6BF">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bookmarkStart w:id="261" w:name="_Toc221951270"/>
      <w:r>
        <w:rPr>
          <w:rFonts w:hint="eastAsia" w:ascii="宋体" w:hAnsi="宋体" w:cs="宋体"/>
          <w:color w:val="auto"/>
          <w:kern w:val="0"/>
          <w:szCs w:val="21"/>
          <w:highlight w:val="none"/>
        </w:rPr>
        <w:t>承包人提交最终结清申请单的份数：</w:t>
      </w:r>
      <w:r>
        <w:rPr>
          <w:rFonts w:hint="eastAsia" w:ascii="宋体" w:hAnsi="宋体" w:cs="宋体"/>
          <w:color w:val="auto"/>
          <w:kern w:val="0"/>
          <w:szCs w:val="21"/>
          <w:highlight w:val="none"/>
          <w:u w:val="single"/>
        </w:rPr>
        <w:t xml:space="preserve"> 四 份</w:t>
      </w:r>
      <w:r>
        <w:rPr>
          <w:rFonts w:hint="eastAsia" w:ascii="宋体" w:hAnsi="宋体" w:cs="宋体"/>
          <w:color w:val="auto"/>
          <w:kern w:val="0"/>
          <w:szCs w:val="21"/>
          <w:highlight w:val="none"/>
        </w:rPr>
        <w:t>。</w:t>
      </w:r>
    </w:p>
    <w:p w14:paraId="2FEA992B">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承包人提交最终结算申请单的期限：</w:t>
      </w:r>
      <w:r>
        <w:rPr>
          <w:rFonts w:hint="eastAsia" w:ascii="宋体" w:hAnsi="宋体" w:cs="宋体"/>
          <w:color w:val="auto"/>
          <w:kern w:val="0"/>
          <w:szCs w:val="21"/>
          <w:highlight w:val="none"/>
          <w:u w:val="single"/>
        </w:rPr>
        <w:t>缺陷责任期终止证书颁发后14天内</w:t>
      </w:r>
      <w:r>
        <w:rPr>
          <w:rFonts w:hint="eastAsia" w:ascii="宋体" w:hAnsi="宋体" w:cs="宋体"/>
          <w:color w:val="auto"/>
          <w:kern w:val="0"/>
          <w:szCs w:val="21"/>
          <w:highlight w:val="none"/>
        </w:rPr>
        <w:t>。</w:t>
      </w:r>
    </w:p>
    <w:p w14:paraId="217EB502">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17.6.2</w:t>
      </w:r>
      <w:r>
        <w:rPr>
          <w:rFonts w:hint="eastAsia" w:ascii="宋体" w:hAnsi="宋体" w:cs="宋体"/>
          <w:color w:val="auto"/>
          <w:kern w:val="0"/>
          <w:szCs w:val="21"/>
          <w:highlight w:val="none"/>
        </w:rPr>
        <w:t>最终结清证书和支付时间</w:t>
      </w:r>
    </w:p>
    <w:p w14:paraId="44B1CA0A">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（1）监理人完成最终结清申请单的审批并颁发最终结清证书的期限：</w:t>
      </w:r>
      <w:r>
        <w:rPr>
          <w:rFonts w:hint="eastAsia" w:ascii="宋体" w:hAnsi="宋体" w:cs="宋体"/>
          <w:color w:val="auto"/>
          <w:kern w:val="0"/>
          <w:szCs w:val="21"/>
          <w:highlight w:val="none"/>
          <w:u w:val="single"/>
        </w:rPr>
        <w:t>监理人收到承包人提交的最终结清申请单后的14天内，提出发包人应支付给承包人的价款送发包人审核并抄送承包人。发包人应在收到后28天内审核完毕，由监理人向承包人出具经发包人签认的最终结清证书</w:t>
      </w:r>
      <w:r>
        <w:rPr>
          <w:rFonts w:hint="eastAsia" w:ascii="宋体" w:hAnsi="宋体" w:cs="宋体"/>
          <w:color w:val="auto"/>
          <w:kern w:val="0"/>
          <w:szCs w:val="21"/>
          <w:highlight w:val="none"/>
        </w:rPr>
        <w:t>。</w:t>
      </w:r>
    </w:p>
    <w:p w14:paraId="4F025FD0">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（2）发包人付款的期限：</w:t>
      </w:r>
      <w:r>
        <w:rPr>
          <w:rFonts w:hint="eastAsia" w:ascii="宋体" w:hAnsi="宋体" w:cs="宋体"/>
          <w:color w:val="auto"/>
          <w:kern w:val="0"/>
          <w:szCs w:val="21"/>
          <w:highlight w:val="none"/>
          <w:u w:val="single"/>
        </w:rPr>
        <w:t>颁发最终结清证书的 28天内</w:t>
      </w:r>
      <w:r>
        <w:rPr>
          <w:rFonts w:hint="eastAsia" w:ascii="宋体" w:hAnsi="宋体" w:cs="宋体"/>
          <w:color w:val="auto"/>
          <w:kern w:val="0"/>
          <w:szCs w:val="21"/>
          <w:highlight w:val="none"/>
        </w:rPr>
        <w:t>。</w:t>
      </w:r>
    </w:p>
    <w:p w14:paraId="4A75AA83">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本款补充17.6.3项如下：</w:t>
      </w:r>
    </w:p>
    <w:p w14:paraId="10D9935D">
      <w:pPr>
        <w:keepNext/>
        <w:keepLines/>
        <w:pageBreakBefore w:val="0"/>
        <w:kinsoku/>
        <w:overflowPunct/>
        <w:topLinePunct w:val="0"/>
        <w:bidi w:val="0"/>
        <w:spacing w:line="360" w:lineRule="auto"/>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17.6.3逾期办理或不配合办理完工结算的处理</w:t>
      </w:r>
    </w:p>
    <w:p w14:paraId="130398A5">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有下列情形之一的，视为承包人放弃与发包人共同办理完工结算的权利，发包人有权会同审计单位、监理人根据有效资料共同确定完工结算金额。</w:t>
      </w:r>
    </w:p>
    <w:p w14:paraId="7D4F291D">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（1）承包人具备报送条件但逾期未报送完工结算资料，亦未获得发包人批准延期报送，经发包人两次书面催告仍未在限期内报送的。</w:t>
      </w:r>
    </w:p>
    <w:p w14:paraId="09BFF382">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承包人在接到监理人或发包人对完工结算申请单提出的审核意见后，未在限期内按监理人或发包人提出的合理要求补充资料和（或）修改完工结算资料，亦未获得发包人批准延期报送，经发包人两次书面催告仍未在限期内报送的。</w:t>
      </w:r>
    </w:p>
    <w:p w14:paraId="27BAA4A5">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（3）承包人不配合发包人、审计单位、监理人、发包人委托的工程造价咨询服务单位办理完工结算的，经发包人两次书面函告仍未改正的。</w:t>
      </w:r>
    </w:p>
    <w:p w14:paraId="5362EDB1">
      <w:pPr>
        <w:pageBreakBefore w:val="0"/>
        <w:kinsoku/>
        <w:overflowPunct/>
        <w:topLinePunct w:val="0"/>
        <w:bidi w:val="0"/>
        <w:spacing w:line="360" w:lineRule="auto"/>
        <w:ind w:right="248" w:firstLine="480"/>
        <w:rPr>
          <w:rFonts w:ascii="宋体" w:hAnsi="宋体" w:cs="宋体"/>
          <w:color w:val="auto"/>
          <w:szCs w:val="21"/>
          <w:highlight w:val="none"/>
        </w:rPr>
      </w:pPr>
      <w:r>
        <w:rPr>
          <w:rFonts w:hint="eastAsia" w:ascii="宋体" w:hAnsi="宋体" w:cs="宋体"/>
          <w:color w:val="auto"/>
          <w:kern w:val="0"/>
          <w:szCs w:val="21"/>
          <w:highlight w:val="none"/>
        </w:rPr>
        <w:t>发包人应在完工结算定案表确定后28天内，以书面函件形式将完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bookmarkEnd w:id="261"/>
    </w:p>
    <w:p w14:paraId="49DCD5B3">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bookmarkStart w:id="262" w:name="_Toc33183768"/>
      <w:r>
        <w:rPr>
          <w:rFonts w:hint="eastAsia" w:ascii="宋体" w:hAnsi="宋体" w:cs="宋体"/>
          <w:color w:val="auto"/>
          <w:szCs w:val="21"/>
          <w:highlight w:val="none"/>
        </w:rPr>
        <w:t>17.7  竣工财务决算</w:t>
      </w:r>
      <w:bookmarkEnd w:id="262"/>
    </w:p>
    <w:p w14:paraId="6E7060CD">
      <w:pPr>
        <w:pageBreakBefore w:val="0"/>
        <w:kinsoku/>
        <w:overflowPunct/>
        <w:topLinePunct w:val="0"/>
        <w:bidi w:val="0"/>
        <w:spacing w:line="360" w:lineRule="auto"/>
        <w:ind w:right="248" w:firstLine="480"/>
        <w:rPr>
          <w:rFonts w:hint="eastAsia"/>
          <w:color w:val="auto"/>
          <w:szCs w:val="21"/>
          <w:highlight w:val="none"/>
          <w:u w:val="single"/>
        </w:rPr>
      </w:pPr>
      <w:r>
        <w:rPr>
          <w:rFonts w:hint="eastAsia" w:ascii="宋体" w:hAnsi="宋体" w:cs="宋体"/>
          <w:color w:val="auto"/>
          <w:szCs w:val="21"/>
          <w:highlight w:val="none"/>
        </w:rPr>
        <w:t>承包人应为竣工财务决算编制提供的资料：</w:t>
      </w:r>
      <w:r>
        <w:rPr>
          <w:rFonts w:hint="eastAsia" w:ascii="宋体" w:hAnsi="宋体" w:cs="宋体"/>
          <w:color w:val="auto"/>
          <w:szCs w:val="21"/>
          <w:highlight w:val="none"/>
          <w:u w:val="single"/>
        </w:rPr>
        <w:t xml:space="preserve"> </w:t>
      </w:r>
      <w:r>
        <w:rPr>
          <w:rFonts w:hint="eastAsia"/>
          <w:color w:val="auto"/>
          <w:szCs w:val="21"/>
          <w:highlight w:val="none"/>
          <w:u w:val="single"/>
        </w:rPr>
        <w:t xml:space="preserve">竣工图、评定资料、质保资料、综合资料、施 </w:t>
      </w:r>
    </w:p>
    <w:p w14:paraId="764512BD">
      <w:pPr>
        <w:pStyle w:val="4"/>
        <w:pageBreakBefore w:val="0"/>
        <w:kinsoku/>
        <w:overflowPunct/>
        <w:topLinePunct w:val="0"/>
        <w:bidi w:val="0"/>
        <w:spacing w:line="360" w:lineRule="auto"/>
        <w:rPr>
          <w:color w:val="auto"/>
          <w:highlight w:val="none"/>
          <w:u w:val="single"/>
        </w:rPr>
      </w:pPr>
      <w:r>
        <w:rPr>
          <w:rFonts w:hint="eastAsia"/>
          <w:color w:val="auto"/>
          <w:highlight w:val="none"/>
          <w:u w:val="single"/>
        </w:rPr>
        <w:t>工日志及工程影像资料。</w:t>
      </w:r>
    </w:p>
    <w:p w14:paraId="152CD897">
      <w:pPr>
        <w:keepNext w:val="0"/>
        <w:keepLines w:val="0"/>
        <w:pageBreakBefore w:val="0"/>
        <w:kinsoku/>
        <w:wordWrap/>
        <w:overflowPunct/>
        <w:topLinePunct w:val="0"/>
        <w:autoSpaceDE/>
        <w:autoSpaceDN/>
        <w:bidi w:val="0"/>
        <w:adjustRightInd/>
        <w:snapToGrid w:val="0"/>
        <w:spacing w:line="360" w:lineRule="auto"/>
        <w:ind w:left="420" w:leftChars="200" w:firstLine="0" w:firstLineChars="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 xml:space="preserve"> 结算原则 </w:t>
      </w:r>
    </w:p>
    <w:p w14:paraId="2DDE05D9">
      <w:pPr>
        <w:pageBreakBefore w:val="0"/>
        <w:kinsoku/>
        <w:overflowPunct/>
        <w:topLinePunct w:val="0"/>
        <w:bidi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17.</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.1、</w:t>
      </w:r>
      <w:r>
        <w:rPr>
          <w:rFonts w:hint="eastAsia" w:ascii="宋体" w:hAnsi="宋体" w:cs="宋体"/>
          <w:color w:val="auto"/>
          <w:kern w:val="0"/>
          <w:szCs w:val="21"/>
          <w:highlight w:val="none"/>
          <w:lang w:eastAsia="zh-CN"/>
        </w:rPr>
        <w:t>工程主要材料及设备由发包人提供，材料及设备采购费用不计入本合同结算金额。</w:t>
      </w:r>
    </w:p>
    <w:p w14:paraId="0F5DFBFD">
      <w:pPr>
        <w:pageBreakBefore w:val="0"/>
        <w:kinsoku/>
        <w:overflowPunct/>
        <w:topLinePunct w:val="0"/>
        <w:bidi w:val="0"/>
        <w:snapToGrid w:val="0"/>
        <w:spacing w:line="360" w:lineRule="auto"/>
        <w:ind w:left="420" w:leftChars="200"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17.</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.2、投标工程量清单里未约定的子项按以下原则办理结算:</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(1)按渝水基</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2005</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 xml:space="preserve">56 号文颁发的《重庆市水利工程施工机械台时费定额》、渝水〔2016〕 </w:t>
      </w:r>
    </w:p>
    <w:p w14:paraId="7FFE7533">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 xml:space="preserve">151 号《关于水利工程营业税改增值税后计价依据调整的通知》、渝水〔2019〕55 号《关于重新 调整水利工程和水土保持工程计价依据中增值税税率的通知》、渝建〔2019〕143 号《重庆市住 房和城乡建设委员会关于适用增值税新税率调整建设工程计价依据的通知》、《重庆市水利建筑 工程预算定额》(2021 年版)、《重庆市水利工程施工机械台时费定额》(2021 年版)、《重庆 市市政工程计价定额》(CQSZDE-2018)及相关配套文件进行组价。 </w:t>
      </w:r>
    </w:p>
    <w:p w14:paraId="15C72728">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(2)材料设备价格: 缺项材料</w:t>
      </w:r>
      <w:r>
        <w:rPr>
          <w:rFonts w:hint="eastAsia" w:ascii="楷体_GB2312"/>
          <w:color w:val="auto"/>
          <w:szCs w:val="28"/>
          <w:highlight w:val="none"/>
        </w:rPr>
        <w:t>参照重庆市南川区住房和城乡建设委员会发布的《南川区2024年第三季度主要建筑材料价格信息》，缺项的参照</w:t>
      </w:r>
      <w:r>
        <w:rPr>
          <w:rFonts w:hint="eastAsia" w:ascii="楷体_GB2312" w:hAnsi="宋体"/>
          <w:color w:val="auto"/>
          <w:szCs w:val="28"/>
          <w:highlight w:val="none"/>
        </w:rPr>
        <w:t>2025年第</w:t>
      </w:r>
      <w:r>
        <w:rPr>
          <w:rFonts w:hint="eastAsia" w:ascii="楷体_GB2312" w:hAnsi="宋体"/>
          <w:color w:val="auto"/>
          <w:szCs w:val="28"/>
          <w:highlight w:val="none"/>
          <w:lang w:val="en-US" w:eastAsia="zh-CN"/>
        </w:rPr>
        <w:t>4</w:t>
      </w:r>
      <w:r>
        <w:rPr>
          <w:rFonts w:hint="eastAsia" w:ascii="楷体_GB2312" w:hAnsi="宋体"/>
          <w:color w:val="auto"/>
          <w:szCs w:val="28"/>
          <w:highlight w:val="none"/>
        </w:rPr>
        <w:t>期《重庆工程造价信息》</w:t>
      </w:r>
      <w:r>
        <w:rPr>
          <w:rFonts w:hint="eastAsia" w:ascii="宋体" w:hAnsi="宋体" w:cs="宋体"/>
          <w:color w:val="auto"/>
          <w:kern w:val="0"/>
          <w:szCs w:val="21"/>
          <w:highlight w:val="none"/>
        </w:rPr>
        <w:t>并结合市场价不含税价格及自身实力进行自主报价。</w:t>
      </w:r>
    </w:p>
    <w:p w14:paraId="5BEE536A">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 xml:space="preserve">工程量清单未约定子项新增所需材料、设备由中标人采购，但所采购的材料、设备必须符合 国家及重庆市规范标准及设计文件、招标文件要求，并提供相应合格证明资料 、质保书等(若有)， 并由监理方、招标人验收合格后方可用于施工，如果中标人采购的材料、设备未经监理方和招标 人验收直接用于施工，则招标人有权要求中标人无条件的更换至符合招标人要求，中标人不得延 误工期和提出任何费用补偿。 </w:t>
      </w:r>
    </w:p>
    <w:p w14:paraId="3649A73E">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(3)人工价格: </w:t>
      </w:r>
      <w:r>
        <w:rPr>
          <w:rFonts w:hint="eastAsia" w:ascii="宋体" w:hAnsi="宋体" w:cs="宋体"/>
          <w:color w:val="auto"/>
          <w:kern w:val="0"/>
          <w:szCs w:val="21"/>
          <w:highlight w:val="none"/>
          <w:lang w:eastAsia="zh-CN"/>
        </w:rPr>
        <w:t>建筑工程部分</w:t>
      </w:r>
      <w:r>
        <w:rPr>
          <w:rFonts w:hint="eastAsia" w:ascii="宋体" w:hAnsi="宋体" w:cs="宋体"/>
          <w:color w:val="auto"/>
          <w:kern w:val="0"/>
          <w:szCs w:val="21"/>
          <w:highlight w:val="none"/>
        </w:rPr>
        <w:t>按照重庆市水利工程造价站</w:t>
      </w:r>
      <w:r>
        <w:rPr>
          <w:rFonts w:hint="eastAsia" w:ascii="宋体" w:hAnsi="宋体" w:cs="宋体"/>
          <w:color w:val="auto"/>
          <w:kern w:val="0"/>
          <w:szCs w:val="21"/>
          <w:highlight w:val="none"/>
          <w:lang w:val="en-US" w:eastAsia="zh-CN"/>
        </w:rPr>
        <w:t>公布的</w:t>
      </w:r>
      <w:r>
        <w:rPr>
          <w:rFonts w:hint="eastAsia" w:ascii="宋体" w:hAnsi="宋体" w:cs="宋体"/>
          <w:color w:val="auto"/>
          <w:kern w:val="0"/>
          <w:szCs w:val="21"/>
          <w:highlight w:val="none"/>
        </w:rPr>
        <w:t>《重庆市水利工程20</w:t>
      </w:r>
      <w:r>
        <w:rPr>
          <w:rFonts w:hint="eastAsia" w:ascii="宋体" w:hAnsi="宋体" w:cs="宋体"/>
          <w:color w:val="auto"/>
          <w:kern w:val="0"/>
          <w:szCs w:val="21"/>
          <w:highlight w:val="none"/>
          <w:lang w:val="en-US" w:eastAsia="zh-CN"/>
        </w:rPr>
        <w:t>24</w:t>
      </w:r>
      <w:r>
        <w:rPr>
          <w:rFonts w:hint="eastAsia" w:ascii="宋体" w:hAnsi="宋体" w:cs="宋体"/>
          <w:color w:val="auto"/>
          <w:kern w:val="0"/>
          <w:szCs w:val="21"/>
          <w:highlight w:val="none"/>
        </w:rPr>
        <w:t>年第二期人工费价格信息的通知》中所发布的人工价格</w:t>
      </w:r>
      <w:r>
        <w:rPr>
          <w:rFonts w:hint="eastAsia" w:ascii="宋体" w:hAnsi="宋体" w:cs="宋体"/>
          <w:color w:val="auto"/>
          <w:kern w:val="0"/>
          <w:szCs w:val="21"/>
          <w:highlight w:val="none"/>
          <w:lang w:eastAsia="zh-CN"/>
        </w:rPr>
        <w:t>计算，</w:t>
      </w:r>
      <w:r>
        <w:rPr>
          <w:rFonts w:hint="eastAsia" w:ascii="宋体" w:hAnsi="宋体" w:cs="宋体"/>
          <w:color w:val="auto"/>
          <w:kern w:val="0"/>
          <w:szCs w:val="21"/>
          <w:highlight w:val="none"/>
        </w:rPr>
        <w:t>参照《重庆工程造价信息》2025年第1期渝西片区人工价格执行。</w:t>
      </w:r>
    </w:p>
    <w:p w14:paraId="6FA5D99A">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(4)安全生产费用:采用财政部安全监督总局关于印发《企业 安全生产费用提取和使用管 理办法》的通知(财企</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2012</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16 号)要求和重庆市水利局办公室文件《重庆市水利局办公室关于 进一步加强水利工程安全文明施工管理的通知》(渝水办建</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2021</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1 号)的规定,按建筑安装工程总造价的 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 xml:space="preserve">% 按实结算。如果安全生产施工综合评定结果为不合格，则不计取安全生产费。 </w:t>
      </w:r>
    </w:p>
    <w:p w14:paraId="2CE156C8">
      <w:pPr>
        <w:pageBreakBefore w:val="0"/>
        <w:kinsoku/>
        <w:overflowPunct/>
        <w:topLinePunct w:val="0"/>
        <w:bidi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(5)规费:按规定费率计算。</w:t>
      </w:r>
    </w:p>
    <w:p w14:paraId="5F83EA2B">
      <w:pPr>
        <w:pageBreakBefore w:val="0"/>
        <w:kinsoku/>
        <w:overflowPunct/>
        <w:topLinePunct w:val="0"/>
        <w:bidi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(6)税金:按规定费率计算。 </w:t>
      </w:r>
    </w:p>
    <w:p w14:paraId="76017CCD">
      <w:pPr>
        <w:pageBreakBefore w:val="0"/>
        <w:kinsoku/>
        <w:overflowPunct/>
        <w:topLinePunct w:val="0"/>
        <w:bidi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(7)增值税计税方法由招标人依据国家税法规定选择:一般计税法</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 xml:space="preserve"> </w:t>
      </w:r>
    </w:p>
    <w:p w14:paraId="550E4BE2">
      <w:pPr>
        <w:pStyle w:val="4"/>
        <w:pageBreakBefore w:val="0"/>
        <w:kinsoku/>
        <w:overflowPunct/>
        <w:topLinePunct w:val="0"/>
        <w:bidi w:val="0"/>
        <w:spacing w:line="360" w:lineRule="auto"/>
        <w:rPr>
          <w:rFonts w:hint="default"/>
          <w:color w:val="auto"/>
          <w:highlight w:val="none"/>
          <w:lang w:val="en-US" w:eastAsia="zh-CN"/>
        </w:rPr>
      </w:pPr>
      <w:r>
        <w:rPr>
          <w:rFonts w:hint="eastAsia" w:ascii="宋体" w:hAnsi="宋体" w:cs="宋体"/>
          <w:color w:val="auto"/>
          <w:kern w:val="0"/>
          <w:szCs w:val="21"/>
          <w:highlight w:val="none"/>
          <w:lang w:val="en-US" w:eastAsia="zh-CN"/>
        </w:rPr>
        <w:t xml:space="preserve">   （8）</w:t>
      </w:r>
      <w:r>
        <w:rPr>
          <w:rFonts w:hint="eastAsia" w:ascii="宋体" w:hAnsi="宋体" w:eastAsia="宋体" w:cs="宋体"/>
          <w:color w:val="auto"/>
          <w:sz w:val="21"/>
          <w:szCs w:val="21"/>
          <w:highlight w:val="none"/>
        </w:rPr>
        <w:t>本工程结算审</w:t>
      </w:r>
      <w:r>
        <w:rPr>
          <w:rFonts w:hint="eastAsia" w:ascii="宋体" w:hAnsi="宋体" w:cs="宋体"/>
          <w:color w:val="auto"/>
          <w:sz w:val="21"/>
          <w:szCs w:val="21"/>
          <w:highlight w:val="none"/>
          <w:lang w:eastAsia="zh-CN"/>
        </w:rPr>
        <w:t>计审</w:t>
      </w:r>
      <w:r>
        <w:rPr>
          <w:rFonts w:hint="eastAsia" w:ascii="宋体" w:hAnsi="宋体" w:eastAsia="宋体" w:cs="宋体"/>
          <w:color w:val="auto"/>
          <w:sz w:val="21"/>
          <w:szCs w:val="21"/>
          <w:highlight w:val="none"/>
        </w:rPr>
        <w:t>减率在</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%以内的审计费</w:t>
      </w:r>
      <w:r>
        <w:rPr>
          <w:rFonts w:hint="eastAsia" w:ascii="宋体" w:hAnsi="宋体" w:cs="宋体"/>
          <w:color w:val="auto"/>
          <w:sz w:val="21"/>
          <w:szCs w:val="21"/>
          <w:highlight w:val="none"/>
          <w:lang w:eastAsia="zh-CN"/>
        </w:rPr>
        <w:t>及审减效益费</w:t>
      </w:r>
      <w:r>
        <w:rPr>
          <w:rFonts w:hint="eastAsia" w:ascii="宋体" w:hAnsi="宋体" w:eastAsia="宋体" w:cs="宋体"/>
          <w:color w:val="auto"/>
          <w:sz w:val="21"/>
          <w:szCs w:val="21"/>
          <w:highlight w:val="none"/>
        </w:rPr>
        <w:t>由发包人承担，审减率超过</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eastAsia="zh-CN"/>
        </w:rPr>
        <w:t>工程结算审计审计费由发包人承担，全部</w:t>
      </w:r>
      <w:r>
        <w:rPr>
          <w:rFonts w:hint="eastAsia" w:ascii="宋体" w:hAnsi="宋体" w:eastAsia="宋体" w:cs="宋体"/>
          <w:color w:val="auto"/>
          <w:sz w:val="21"/>
          <w:szCs w:val="21"/>
          <w:highlight w:val="none"/>
        </w:rPr>
        <w:t>审减效益费由承包人承担。</w:t>
      </w:r>
    </w:p>
    <w:p w14:paraId="7B9DF843">
      <w:pPr>
        <w:pStyle w:val="2"/>
        <w:pageBreakBefore w:val="0"/>
        <w:kinsoku/>
        <w:overflowPunct/>
        <w:topLinePunct w:val="0"/>
        <w:bidi w:val="0"/>
        <w:spacing w:line="360" w:lineRule="auto"/>
        <w:rPr>
          <w:rFonts w:ascii="宋体" w:hAnsi="宋体" w:cs="宋体"/>
          <w:color w:val="auto"/>
          <w:sz w:val="21"/>
          <w:szCs w:val="21"/>
          <w:highlight w:val="none"/>
        </w:rPr>
      </w:pPr>
      <w:bookmarkStart w:id="263" w:name="_Toc222031043"/>
      <w:bookmarkStart w:id="264" w:name="_Toc221951271"/>
      <w:bookmarkStart w:id="265" w:name="_Toc222029541"/>
      <w:bookmarkStart w:id="266" w:name="_Toc222032710"/>
      <w:bookmarkStart w:id="267" w:name="_Toc229305399"/>
      <w:bookmarkStart w:id="268" w:name="_Toc222033892"/>
      <w:bookmarkStart w:id="269" w:name="_Toc33183769"/>
      <w:bookmarkStart w:id="270" w:name="_Toc59810421"/>
      <w:bookmarkStart w:id="271" w:name="_Toc3708"/>
      <w:bookmarkStart w:id="272" w:name="_Toc136350401"/>
      <w:r>
        <w:rPr>
          <w:rFonts w:hint="eastAsia" w:ascii="宋体" w:hAnsi="宋体" w:cs="宋体"/>
          <w:color w:val="auto"/>
          <w:sz w:val="21"/>
          <w:szCs w:val="21"/>
          <w:highlight w:val="none"/>
        </w:rPr>
        <w:t>18.竣工验收</w:t>
      </w:r>
      <w:bookmarkEnd w:id="263"/>
      <w:bookmarkEnd w:id="264"/>
      <w:bookmarkEnd w:id="265"/>
      <w:bookmarkEnd w:id="266"/>
      <w:bookmarkEnd w:id="267"/>
      <w:bookmarkEnd w:id="268"/>
      <w:r>
        <w:rPr>
          <w:rFonts w:hint="eastAsia" w:ascii="宋体" w:hAnsi="宋体" w:cs="宋体"/>
          <w:color w:val="auto"/>
          <w:sz w:val="21"/>
          <w:szCs w:val="21"/>
          <w:highlight w:val="none"/>
        </w:rPr>
        <w:t>（验收）</w:t>
      </w:r>
      <w:bookmarkEnd w:id="269"/>
      <w:bookmarkEnd w:id="270"/>
      <w:bookmarkEnd w:id="271"/>
      <w:bookmarkEnd w:id="272"/>
    </w:p>
    <w:p w14:paraId="2AF58F43">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bookmarkStart w:id="273" w:name="_Toc221951272"/>
      <w:bookmarkStart w:id="274" w:name="_Toc33183770"/>
      <w:r>
        <w:rPr>
          <w:rFonts w:hint="eastAsia" w:ascii="宋体" w:hAnsi="宋体" w:cs="宋体"/>
          <w:color w:val="auto"/>
          <w:szCs w:val="21"/>
          <w:highlight w:val="none"/>
        </w:rPr>
        <w:t xml:space="preserve">18.1 </w:t>
      </w:r>
      <w:bookmarkEnd w:id="273"/>
      <w:r>
        <w:rPr>
          <w:rFonts w:hint="eastAsia" w:ascii="宋体" w:hAnsi="宋体" w:cs="宋体"/>
          <w:color w:val="auto"/>
          <w:szCs w:val="21"/>
          <w:highlight w:val="none"/>
        </w:rPr>
        <w:t>验收工作分类</w:t>
      </w:r>
      <w:bookmarkEnd w:id="274"/>
    </w:p>
    <w:p w14:paraId="2B2A384D">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bookmarkStart w:id="275" w:name="_Toc221951274"/>
      <w:r>
        <w:rPr>
          <w:rFonts w:hint="eastAsia" w:ascii="宋体" w:hAnsi="宋体" w:cs="宋体"/>
          <w:color w:val="auto"/>
          <w:kern w:val="0"/>
          <w:szCs w:val="21"/>
          <w:highlight w:val="none"/>
        </w:rPr>
        <w:t>本款补充细化如下：</w:t>
      </w:r>
    </w:p>
    <w:p w14:paraId="0EF2B813">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法人验收包括：</w:t>
      </w:r>
      <w:r>
        <w:rPr>
          <w:rFonts w:hint="eastAsia" w:ascii="宋体" w:hAnsi="宋体" w:cs="宋体"/>
          <w:color w:val="auto"/>
          <w:kern w:val="0"/>
          <w:szCs w:val="21"/>
          <w:highlight w:val="none"/>
          <w:u w:val="single"/>
        </w:rPr>
        <w:t>分部工程验收、单位工程验收、完工验收</w:t>
      </w:r>
      <w:r>
        <w:rPr>
          <w:rFonts w:hint="eastAsia" w:ascii="宋体" w:hAnsi="宋体" w:cs="宋体"/>
          <w:color w:val="auto"/>
          <w:kern w:val="0"/>
          <w:szCs w:val="21"/>
          <w:highlight w:val="none"/>
        </w:rPr>
        <w:t>。</w:t>
      </w:r>
    </w:p>
    <w:p w14:paraId="4D48CA15">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政府验收包括：</w:t>
      </w:r>
      <w:r>
        <w:rPr>
          <w:rFonts w:hint="eastAsia" w:ascii="宋体" w:hAnsi="宋体" w:cs="宋体"/>
          <w:color w:val="auto"/>
          <w:kern w:val="0"/>
          <w:szCs w:val="21"/>
          <w:highlight w:val="none"/>
          <w:u w:val="single"/>
        </w:rPr>
        <w:t>专项验收（环境保护、移民安置、工程档案等）、阶段验收（枢纽工程导截流、水库下闸蓄水、引调排水工程通水、首末台机组启动等）、竣工验收。政府验收是指由有关人民政府、水行政主管部门或者其他有关部门组织进行的验收。</w:t>
      </w:r>
    </w:p>
    <w:p w14:paraId="69E485AB">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验收条件：</w:t>
      </w:r>
      <w:r>
        <w:rPr>
          <w:rFonts w:hint="eastAsia" w:ascii="宋体" w:hAnsi="宋体" w:cs="宋体"/>
          <w:color w:val="auto"/>
          <w:kern w:val="0"/>
          <w:szCs w:val="21"/>
          <w:highlight w:val="none"/>
          <w:u w:val="single"/>
        </w:rPr>
        <w:t>应符合国家有关规定及《水利水电建设工程验收规程》的要求和合同约定。承包人应按照规范规定准备验收资料、参加验收会议，按合同的约定配合发包人完成政府验收工作。</w:t>
      </w:r>
    </w:p>
    <w:p w14:paraId="65638669">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验收程序：</w:t>
      </w:r>
      <w:r>
        <w:rPr>
          <w:rFonts w:hint="eastAsia" w:ascii="宋体" w:hAnsi="宋体" w:cs="宋体"/>
          <w:color w:val="auto"/>
          <w:kern w:val="0"/>
          <w:szCs w:val="21"/>
          <w:highlight w:val="none"/>
          <w:u w:val="single"/>
        </w:rPr>
        <w:t>按渝水基〔2008〕47号文件和现行的验收规程执行。</w:t>
      </w:r>
    </w:p>
    <w:p w14:paraId="7660E3CE">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具体验收条件及程序如下：</w:t>
      </w:r>
    </w:p>
    <w:p w14:paraId="697F1DD4">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18.1.1合同工程完工验收条件及程序</w:t>
      </w:r>
    </w:p>
    <w:p w14:paraId="7C52D19A">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具备《水利水电建设工程验收规程》要求的合同完工验收条件的，承包人可以申请合同完工验收。承包人申请合同完工验收的，应当按照以下程序进行： </w:t>
      </w:r>
    </w:p>
    <w:p w14:paraId="1252E360">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承包人向监理人报送合同完工验收申请报告，监理人应在收到合同完工验收申请报告后14天内完成审查并报送发包人。监理人审查后认为尚不具备验收条件的，应通知承包人在合同完工验收前承包人还需完成的工作内容，承包人应在完成监理人通知的全部工作内容后，再次提交合同完工验收申请报告。</w:t>
      </w:r>
    </w:p>
    <w:p w14:paraId="51DA4663">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监理人审查后认为已具备合同完工验收条件的，应将竣工验收申请报告提交发包人，发包人应在收到经监理人审核的合同完工验收申请报告后28天内审批完毕并组织监理人、承包人、设计人等相关单位完成合同完工验收。</w:t>
      </w:r>
    </w:p>
    <w:p w14:paraId="07D68EEF">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（3）合同完工验收合格的，发包人应在验收合格后14天内向承包人签发工程移交证书。发包人无正当理由逾期不颁发工程移交证书的，自验收合格后第15天起视为已颁发工程移交证书。</w:t>
      </w:r>
    </w:p>
    <w:p w14:paraId="24ECC01B">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合同完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22FF1384">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（5）工程未经验收或验收不合格，发包人擅自使用的，应在转移占有工程后7天内向承包人颁发工程移交证书；发包人无正当理由逾期不颁发工程移交证书的，自转移占有后第15天起视为已颁发工程移交证书。</w:t>
      </w:r>
    </w:p>
    <w:p w14:paraId="644255D4">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发包人不按照本项约定组织合同完工验收、颁发工程移交证书的，每逾期一天，应以签约合同价为基数，</w:t>
      </w:r>
      <w:r>
        <w:rPr>
          <w:rFonts w:hint="eastAsia" w:ascii="宋体" w:hAnsi="宋体"/>
          <w:color w:val="auto"/>
          <w:szCs w:val="21"/>
          <w:highlight w:val="none"/>
          <w:u w:val="single"/>
        </w:rPr>
        <w:t>按照中国人民银行202</w:t>
      </w:r>
      <w:r>
        <w:rPr>
          <w:rFonts w:hint="eastAsia" w:ascii="宋体" w:hAnsi="宋体"/>
          <w:color w:val="auto"/>
          <w:szCs w:val="21"/>
          <w:highlight w:val="none"/>
          <w:u w:val="single"/>
          <w:lang w:val="en-US" w:eastAsia="zh-CN"/>
        </w:rPr>
        <w:t>4</w:t>
      </w:r>
      <w:r>
        <w:rPr>
          <w:rFonts w:hint="eastAsia" w:ascii="宋体" w:hAnsi="宋体"/>
          <w:color w:val="auto"/>
          <w:szCs w:val="21"/>
          <w:highlight w:val="none"/>
          <w:u w:val="single"/>
        </w:rPr>
        <w:t>年</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rPr>
        <w:t>月公布的5年期贷款市场报价利率</w:t>
      </w:r>
      <w:r>
        <w:rPr>
          <w:rFonts w:hint="eastAsia" w:ascii="宋体" w:hAnsi="宋体" w:cs="宋体"/>
          <w:color w:val="auto"/>
          <w:kern w:val="0"/>
          <w:szCs w:val="21"/>
          <w:highlight w:val="none"/>
        </w:rPr>
        <w:t>支付违约金。</w:t>
      </w:r>
    </w:p>
    <w:p w14:paraId="6F6F174E">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工程完工及竣工资料、完工及竣工验收程序的约定：</w:t>
      </w:r>
      <w:r>
        <w:rPr>
          <w:rFonts w:hint="eastAsia" w:ascii="宋体" w:hAnsi="宋体" w:cs="宋体"/>
          <w:color w:val="auto"/>
          <w:kern w:val="0"/>
          <w:szCs w:val="21"/>
          <w:highlight w:val="none"/>
          <w:u w:val="single"/>
        </w:rPr>
        <w:t>按照《水利水电建设工程验收规程》和《水利工程建设项目验收管理规定》执行</w:t>
      </w:r>
      <w:r>
        <w:rPr>
          <w:rFonts w:hint="eastAsia" w:ascii="宋体" w:hAnsi="宋体" w:cs="宋体"/>
          <w:color w:val="auto"/>
          <w:kern w:val="0"/>
          <w:szCs w:val="21"/>
          <w:highlight w:val="none"/>
        </w:rPr>
        <w:t>。</w:t>
      </w:r>
    </w:p>
    <w:p w14:paraId="45C9EEC0">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18.1.2完工日期的界定</w:t>
      </w:r>
    </w:p>
    <w:p w14:paraId="7FF37FC2">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工程</w:t>
      </w:r>
      <w:r>
        <w:rPr>
          <w:rFonts w:hint="eastAsia" w:ascii="宋体" w:hAnsi="宋体" w:cs="宋体"/>
          <w:color w:val="auto"/>
          <w:kern w:val="0"/>
          <w:szCs w:val="21"/>
          <w:highlight w:val="none"/>
          <w:u w:val="single"/>
          <w:lang w:eastAsia="zh-CN"/>
        </w:rPr>
        <w:t>按</w:t>
      </w:r>
      <w:r>
        <w:rPr>
          <w:rFonts w:hint="eastAsia" w:ascii="宋体" w:hAnsi="宋体" w:cs="宋体"/>
          <w:color w:val="auto"/>
          <w:kern w:val="0"/>
          <w:szCs w:val="21"/>
          <w:highlight w:val="none"/>
          <w:u w:val="single"/>
        </w:rPr>
        <w:t>合同完工验收合格的，以承包人提交合同完工验收申请报告之日为实际竣工日期，并在工程移交证书中载明；因发包人原因，未在监理人收到承包人提交的合同完工验收申请报告42天内完成合同完工验收，或完成合同完工验收不予签发工程移交证书的，以提交合同完工验收申请报告的日期为实际完工日期；工程未经合同完工验收，发包人擅自使用的，以转移占有工程之日为实际完工日期</w:t>
      </w:r>
      <w:r>
        <w:rPr>
          <w:rFonts w:hint="eastAsia" w:ascii="宋体" w:hAnsi="宋体" w:cs="宋体"/>
          <w:color w:val="auto"/>
          <w:kern w:val="0"/>
          <w:szCs w:val="21"/>
          <w:highlight w:val="none"/>
        </w:rPr>
        <w:t>。</w:t>
      </w:r>
    </w:p>
    <w:p w14:paraId="7ADDD984">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18.1.3拒绝接收全部或部分工程</w:t>
      </w:r>
    </w:p>
    <w:p w14:paraId="0C17D9B6">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对于合同完工验收不合格的工程，承包人完成整改后，应当重新进行合同完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r>
        <w:rPr>
          <w:rFonts w:hint="eastAsia" w:ascii="宋体" w:hAnsi="宋体" w:cs="宋体"/>
          <w:color w:val="auto"/>
          <w:kern w:val="0"/>
          <w:szCs w:val="21"/>
          <w:highlight w:val="none"/>
        </w:rPr>
        <w:t>。</w:t>
      </w:r>
    </w:p>
    <w:p w14:paraId="162A3A2F">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18.1.4移交、接收全部与部分工程</w:t>
      </w:r>
    </w:p>
    <w:p w14:paraId="5917EB8F">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承包人向发包人移交工程的期限：</w:t>
      </w:r>
      <w:r>
        <w:rPr>
          <w:rFonts w:hint="eastAsia" w:ascii="宋体" w:hAnsi="宋体" w:cs="宋体"/>
          <w:color w:val="auto"/>
          <w:kern w:val="0"/>
          <w:szCs w:val="21"/>
          <w:highlight w:val="none"/>
          <w:u w:val="single"/>
        </w:rPr>
        <w:t>颁发工程移交证书后7天内完成工程的移交</w:t>
      </w:r>
      <w:r>
        <w:rPr>
          <w:rFonts w:hint="eastAsia" w:ascii="宋体" w:hAnsi="宋体" w:cs="宋体"/>
          <w:color w:val="auto"/>
          <w:kern w:val="0"/>
          <w:szCs w:val="21"/>
          <w:highlight w:val="none"/>
        </w:rPr>
        <w:t>。</w:t>
      </w:r>
    </w:p>
    <w:p w14:paraId="0F1455AF">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发包人未按合同约定接收全部或部分工程的，违约金的计算方法为：</w:t>
      </w:r>
      <w:r>
        <w:rPr>
          <w:rFonts w:hint="eastAsia" w:ascii="宋体" w:hAnsi="宋体" w:cs="宋体"/>
          <w:color w:val="auto"/>
          <w:kern w:val="0"/>
          <w:szCs w:val="21"/>
          <w:highlight w:val="none"/>
          <w:u w:val="single"/>
        </w:rPr>
        <w:t>发包人自应当接收工程之日起承担工程照管、成品保护、保管等与工程有关的各项费用</w:t>
      </w:r>
      <w:r>
        <w:rPr>
          <w:rFonts w:hint="eastAsia" w:ascii="宋体" w:hAnsi="宋体" w:cs="宋体"/>
          <w:color w:val="auto"/>
          <w:kern w:val="0"/>
          <w:szCs w:val="21"/>
          <w:highlight w:val="none"/>
        </w:rPr>
        <w:t>。</w:t>
      </w:r>
    </w:p>
    <w:p w14:paraId="6C254BE9">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因承包人自身原因未按时移交工程的，违约金的计算方法为：</w:t>
      </w:r>
      <w:r>
        <w:rPr>
          <w:rFonts w:hint="eastAsia" w:ascii="宋体" w:hAnsi="宋体" w:cs="宋体"/>
          <w:color w:val="auto"/>
          <w:kern w:val="0"/>
          <w:szCs w:val="21"/>
          <w:highlight w:val="none"/>
          <w:u w:val="single"/>
        </w:rPr>
        <w:t>承包人应承担工程照管、成品保护、保管等与工程有关的各项费用，并按经审定结算金额的0.5‰/天支付违约金</w:t>
      </w:r>
      <w:r>
        <w:rPr>
          <w:rFonts w:hint="eastAsia" w:ascii="宋体" w:hAnsi="宋体" w:cs="宋体"/>
          <w:color w:val="auto"/>
          <w:kern w:val="0"/>
          <w:szCs w:val="21"/>
          <w:highlight w:val="none"/>
        </w:rPr>
        <w:t>。</w:t>
      </w:r>
    </w:p>
    <w:p w14:paraId="5552C764">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需要在施工期运行的单位工程或工程设备为：</w:t>
      </w:r>
      <w:r>
        <w:rPr>
          <w:rFonts w:hint="eastAsia" w:ascii="宋体" w:hAnsi="宋体" w:cs="宋体"/>
          <w:color w:val="auto"/>
          <w:kern w:val="0"/>
          <w:szCs w:val="21"/>
          <w:highlight w:val="none"/>
          <w:u w:val="single"/>
        </w:rPr>
        <w:t>根据工程项目划分后确定</w:t>
      </w:r>
      <w:r>
        <w:rPr>
          <w:rFonts w:hint="eastAsia" w:ascii="宋体" w:hAnsi="宋体" w:cs="宋体"/>
          <w:color w:val="auto"/>
          <w:kern w:val="0"/>
          <w:szCs w:val="21"/>
          <w:highlight w:val="none"/>
        </w:rPr>
        <w:t>。</w:t>
      </w:r>
    </w:p>
    <w:p w14:paraId="5763C534">
      <w:pPr>
        <w:keepNext/>
        <w:keepLines/>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3"/>
        <w:rPr>
          <w:rFonts w:ascii="宋体" w:hAnsi="宋体" w:cs="宋体"/>
          <w:color w:val="auto"/>
          <w:szCs w:val="21"/>
          <w:highlight w:val="none"/>
        </w:rPr>
      </w:pPr>
      <w:bookmarkStart w:id="276" w:name="_Toc33183771"/>
      <w:r>
        <w:rPr>
          <w:rFonts w:hint="eastAsia" w:ascii="宋体" w:hAnsi="宋体" w:cs="宋体"/>
          <w:color w:val="auto"/>
          <w:szCs w:val="21"/>
          <w:highlight w:val="none"/>
        </w:rPr>
        <w:t>18.2  分部工程验收</w:t>
      </w:r>
      <w:bookmarkEnd w:id="276"/>
    </w:p>
    <w:p w14:paraId="33EDA69D">
      <w:pPr>
        <w:pageBreakBefore w:val="0"/>
        <w:widowControl w:val="0"/>
        <w:kinsoku/>
        <w:wordWrap/>
        <w:overflowPunct/>
        <w:topLinePunct w:val="0"/>
        <w:autoSpaceDE/>
        <w:autoSpaceDN/>
        <w:bidi w:val="0"/>
        <w:adjustRightInd/>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18.2.2本工程由发包人主持的分部工程验收为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，其余由监理主持。</w:t>
      </w:r>
    </w:p>
    <w:p w14:paraId="5A94F802">
      <w:pPr>
        <w:keepNext/>
        <w:keepLines/>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3"/>
        <w:rPr>
          <w:rFonts w:ascii="宋体" w:hAnsi="宋体" w:cs="宋体"/>
          <w:color w:val="auto"/>
          <w:szCs w:val="21"/>
          <w:highlight w:val="none"/>
        </w:rPr>
      </w:pPr>
      <w:bookmarkStart w:id="277" w:name="_Toc33183772"/>
      <w:r>
        <w:rPr>
          <w:rFonts w:hint="eastAsia" w:ascii="宋体" w:hAnsi="宋体" w:cs="宋体"/>
          <w:color w:val="auto"/>
          <w:szCs w:val="21"/>
          <w:highlight w:val="none"/>
        </w:rPr>
        <w:t>18.3  单位工程验收</w:t>
      </w:r>
      <w:bookmarkEnd w:id="277"/>
    </w:p>
    <w:p w14:paraId="59291E06">
      <w:pPr>
        <w:pageBreakBefore w:val="0"/>
        <w:widowControl w:val="0"/>
        <w:kinsoku/>
        <w:wordWrap/>
        <w:overflowPunct/>
        <w:topLinePunct w:val="0"/>
        <w:autoSpaceDE/>
        <w:autoSpaceDN/>
        <w:bidi w:val="0"/>
        <w:adjustRightInd/>
        <w:spacing w:line="360" w:lineRule="auto"/>
        <w:ind w:right="248" w:firstLine="480"/>
        <w:textAlignment w:val="auto"/>
        <w:rPr>
          <w:rFonts w:ascii="宋体" w:hAnsi="宋体" w:cs="宋体"/>
          <w:color w:val="auto"/>
          <w:szCs w:val="21"/>
          <w:highlight w:val="none"/>
        </w:rPr>
      </w:pPr>
      <w:r>
        <w:rPr>
          <w:rFonts w:hint="eastAsia" w:ascii="宋体" w:hAnsi="宋体" w:cs="宋体"/>
          <w:color w:val="auto"/>
          <w:szCs w:val="21"/>
          <w:highlight w:val="none"/>
        </w:rPr>
        <w:t>18.3.4  提前投入使用的单位工程包括：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275"/>
    <w:p w14:paraId="47422238">
      <w:pPr>
        <w:keepNext/>
        <w:keepLines/>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3"/>
        <w:rPr>
          <w:rFonts w:ascii="宋体" w:hAnsi="宋体" w:cs="宋体"/>
          <w:color w:val="auto"/>
          <w:szCs w:val="21"/>
          <w:highlight w:val="none"/>
        </w:rPr>
      </w:pPr>
      <w:r>
        <w:rPr>
          <w:rFonts w:hint="eastAsia" w:ascii="宋体" w:hAnsi="宋体" w:cs="宋体"/>
          <w:color w:val="auto"/>
          <w:szCs w:val="21"/>
          <w:highlight w:val="none"/>
        </w:rPr>
        <w:t xml:space="preserve"> </w:t>
      </w:r>
      <w:bookmarkStart w:id="278" w:name="_Toc221951282"/>
      <w:bookmarkStart w:id="279" w:name="_Toc33183773"/>
      <w:r>
        <w:rPr>
          <w:rFonts w:hint="eastAsia" w:ascii="宋体" w:hAnsi="宋体" w:cs="宋体"/>
          <w:color w:val="auto"/>
          <w:szCs w:val="21"/>
          <w:highlight w:val="none"/>
        </w:rPr>
        <w:t xml:space="preserve">18.5  </w:t>
      </w:r>
      <w:bookmarkEnd w:id="278"/>
      <w:r>
        <w:rPr>
          <w:rFonts w:hint="eastAsia" w:ascii="宋体" w:hAnsi="宋体" w:cs="宋体"/>
          <w:color w:val="auto"/>
          <w:szCs w:val="21"/>
          <w:highlight w:val="none"/>
        </w:rPr>
        <w:t>阶段验收</w:t>
      </w:r>
      <w:bookmarkEnd w:id="279"/>
    </w:p>
    <w:p w14:paraId="00779C93">
      <w:pPr>
        <w:pageBreakBefore w:val="0"/>
        <w:widowControl w:val="0"/>
        <w:kinsoku/>
        <w:wordWrap/>
        <w:overflowPunct/>
        <w:topLinePunct w:val="0"/>
        <w:autoSpaceDE/>
        <w:autoSpaceDN/>
        <w:bidi w:val="0"/>
        <w:adjustRightInd/>
        <w:spacing w:line="360" w:lineRule="auto"/>
        <w:ind w:firstLine="315" w:firstLineChars="150"/>
        <w:textAlignment w:val="auto"/>
        <w:rPr>
          <w:rFonts w:ascii="宋体" w:hAnsi="宋体" w:cs="宋体"/>
          <w:color w:val="auto"/>
          <w:szCs w:val="21"/>
          <w:highlight w:val="none"/>
        </w:rPr>
      </w:pPr>
      <w:bookmarkStart w:id="280" w:name="_Toc221951283"/>
      <w:r>
        <w:rPr>
          <w:rFonts w:hint="eastAsia" w:ascii="宋体" w:hAnsi="宋体" w:cs="宋体"/>
          <w:color w:val="auto"/>
          <w:szCs w:val="21"/>
          <w:highlight w:val="none"/>
        </w:rPr>
        <w:t>18.5.1 本合同工程阶段验收类别包括：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bookmarkEnd w:id="280"/>
      <w:r>
        <w:rPr>
          <w:rFonts w:ascii="宋体" w:hAnsi="宋体" w:cs="宋体"/>
          <w:color w:val="auto"/>
          <w:szCs w:val="21"/>
          <w:highlight w:val="none"/>
        </w:rPr>
        <w:t xml:space="preserve">、 </w:t>
      </w:r>
      <w:bookmarkStart w:id="281" w:name="_Toc221951284"/>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bookmarkEnd w:id="281"/>
    </w:p>
    <w:p w14:paraId="05559CCE">
      <w:pPr>
        <w:keepNext/>
        <w:keepLines/>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3"/>
        <w:rPr>
          <w:rFonts w:ascii="宋体" w:hAnsi="宋体" w:cs="宋体"/>
          <w:color w:val="auto"/>
          <w:szCs w:val="21"/>
          <w:highlight w:val="none"/>
        </w:rPr>
      </w:pPr>
      <w:bookmarkStart w:id="282" w:name="_Toc221951285"/>
      <w:bookmarkStart w:id="283" w:name="_Toc33183774"/>
      <w:r>
        <w:rPr>
          <w:rFonts w:hint="eastAsia" w:ascii="宋体" w:hAnsi="宋体" w:cs="宋体"/>
          <w:color w:val="auto"/>
          <w:szCs w:val="21"/>
          <w:highlight w:val="none"/>
        </w:rPr>
        <w:t xml:space="preserve">18.6  </w:t>
      </w:r>
      <w:bookmarkEnd w:id="282"/>
      <w:r>
        <w:rPr>
          <w:rFonts w:hint="eastAsia" w:ascii="宋体" w:hAnsi="宋体" w:cs="宋体"/>
          <w:color w:val="auto"/>
          <w:szCs w:val="21"/>
          <w:highlight w:val="none"/>
        </w:rPr>
        <w:t>专项验收</w:t>
      </w:r>
      <w:bookmarkEnd w:id="283"/>
      <w:r>
        <w:rPr>
          <w:rFonts w:hint="eastAsia" w:ascii="宋体" w:hAnsi="宋体" w:cs="宋体"/>
          <w:color w:val="auto"/>
          <w:szCs w:val="21"/>
          <w:highlight w:val="none"/>
        </w:rPr>
        <w:t xml:space="preserve">   </w:t>
      </w:r>
    </w:p>
    <w:p w14:paraId="7D0A0F35">
      <w:pPr>
        <w:pageBreakBefore w:val="0"/>
        <w:widowControl w:val="0"/>
        <w:kinsoku/>
        <w:wordWrap/>
        <w:overflowPunct/>
        <w:topLinePunct w:val="0"/>
        <w:autoSpaceDE/>
        <w:autoSpaceDN/>
        <w:bidi w:val="0"/>
        <w:adjustRightInd/>
        <w:spacing w:line="360" w:lineRule="auto"/>
        <w:ind w:right="248" w:firstLine="480"/>
        <w:textAlignment w:val="auto"/>
        <w:rPr>
          <w:rFonts w:ascii="宋体" w:hAnsi="宋体" w:cs="宋体"/>
          <w:color w:val="auto"/>
          <w:szCs w:val="21"/>
          <w:highlight w:val="none"/>
        </w:rPr>
      </w:pPr>
      <w:bookmarkStart w:id="284" w:name="_Toc221951286"/>
      <w:r>
        <w:rPr>
          <w:rFonts w:hint="eastAsia" w:ascii="宋体" w:hAnsi="宋体" w:cs="宋体"/>
          <w:color w:val="auto"/>
          <w:szCs w:val="21"/>
          <w:highlight w:val="none"/>
        </w:rPr>
        <w:t xml:space="preserve">18.6.1 </w:t>
      </w:r>
      <w:bookmarkEnd w:id="284"/>
      <w:r>
        <w:rPr>
          <w:rFonts w:hint="eastAsia" w:ascii="宋体" w:hAnsi="宋体" w:cs="宋体"/>
          <w:color w:val="auto"/>
          <w:szCs w:val="21"/>
          <w:highlight w:val="none"/>
        </w:rPr>
        <w:t>本合同工程专项验收类别包括：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C34E492">
      <w:pPr>
        <w:keepNext/>
        <w:keepLines/>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3"/>
        <w:rPr>
          <w:rFonts w:ascii="宋体" w:hAnsi="宋体" w:cs="宋体"/>
          <w:color w:val="auto"/>
          <w:szCs w:val="21"/>
          <w:highlight w:val="none"/>
        </w:rPr>
      </w:pPr>
      <w:bookmarkStart w:id="285" w:name="_Toc221951289"/>
      <w:bookmarkStart w:id="286" w:name="_Toc33183775"/>
      <w:r>
        <w:rPr>
          <w:rFonts w:hint="eastAsia" w:ascii="宋体" w:hAnsi="宋体" w:cs="宋体"/>
          <w:color w:val="auto"/>
          <w:szCs w:val="21"/>
          <w:highlight w:val="none"/>
        </w:rPr>
        <w:t>18.7 竣工</w:t>
      </w:r>
      <w:bookmarkEnd w:id="285"/>
      <w:r>
        <w:rPr>
          <w:rFonts w:hint="eastAsia" w:ascii="宋体" w:hAnsi="宋体" w:cs="宋体"/>
          <w:color w:val="auto"/>
          <w:szCs w:val="21"/>
          <w:highlight w:val="none"/>
        </w:rPr>
        <w:t>验收</w:t>
      </w:r>
      <w:bookmarkEnd w:id="286"/>
    </w:p>
    <w:p w14:paraId="5943AA9A">
      <w:pPr>
        <w:pageBreakBefore w:val="0"/>
        <w:widowControl w:val="0"/>
        <w:kinsoku/>
        <w:wordWrap/>
        <w:overflowPunct/>
        <w:topLinePunct w:val="0"/>
        <w:autoSpaceDE/>
        <w:autoSpaceDN/>
        <w:bidi w:val="0"/>
        <w:adjustRightInd/>
        <w:spacing w:line="360" w:lineRule="auto"/>
        <w:ind w:firstLine="420" w:firstLineChars="200"/>
        <w:jc w:val="left"/>
        <w:textAlignment w:val="auto"/>
        <w:rPr>
          <w:rFonts w:ascii="宋体" w:hAnsi="宋体" w:cs="宋体"/>
          <w:color w:val="auto"/>
          <w:kern w:val="0"/>
          <w:szCs w:val="21"/>
          <w:highlight w:val="none"/>
        </w:rPr>
      </w:pPr>
      <w:bookmarkStart w:id="287" w:name="_Toc221951290"/>
      <w:r>
        <w:rPr>
          <w:rFonts w:hint="eastAsia" w:ascii="宋体" w:hAnsi="宋体" w:cs="宋体"/>
          <w:color w:val="auto"/>
          <w:kern w:val="0"/>
          <w:szCs w:val="21"/>
          <w:highlight w:val="none"/>
        </w:rPr>
        <w:t>本款竣工验收在水利工程中特指政府验收。</w:t>
      </w:r>
    </w:p>
    <w:p w14:paraId="3E8CEEAD">
      <w:pPr>
        <w:pageBreakBefore w:val="0"/>
        <w:widowControl w:val="0"/>
        <w:kinsoku/>
        <w:wordWrap/>
        <w:overflowPunct/>
        <w:topLinePunct w:val="0"/>
        <w:autoSpaceDE/>
        <w:autoSpaceDN/>
        <w:bidi w:val="0"/>
        <w:adjustRightInd/>
        <w:spacing w:line="360" w:lineRule="auto"/>
        <w:ind w:right="248"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18.7.3本工程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（需要/不需要）竣工验收技术鉴定</w:t>
      </w:r>
      <w:r>
        <w:rPr>
          <w:rFonts w:ascii="宋体" w:hAnsi="宋体" w:cs="宋体"/>
          <w:color w:val="auto"/>
          <w:szCs w:val="21"/>
          <w:highlight w:val="none"/>
        </w:rPr>
        <w:t>（蓄水安全鉴定）</w:t>
      </w:r>
      <w:r>
        <w:rPr>
          <w:rFonts w:hint="eastAsia" w:ascii="宋体" w:hAnsi="宋体" w:cs="宋体"/>
          <w:color w:val="auto"/>
          <w:szCs w:val="21"/>
          <w:highlight w:val="none"/>
        </w:rPr>
        <w:t>。</w:t>
      </w:r>
      <w:bookmarkEnd w:id="287"/>
    </w:p>
    <w:p w14:paraId="656EC250">
      <w:pPr>
        <w:keepNext/>
        <w:keepLines/>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3"/>
        <w:rPr>
          <w:rFonts w:ascii="宋体" w:hAnsi="宋体" w:cs="宋体"/>
          <w:color w:val="auto"/>
          <w:szCs w:val="21"/>
          <w:highlight w:val="none"/>
        </w:rPr>
      </w:pPr>
      <w:bookmarkStart w:id="288" w:name="_Toc33183776"/>
      <w:r>
        <w:rPr>
          <w:rFonts w:hint="eastAsia" w:ascii="宋体" w:hAnsi="宋体" w:cs="宋体"/>
          <w:color w:val="auto"/>
          <w:szCs w:val="21"/>
          <w:highlight w:val="none"/>
        </w:rPr>
        <w:t>18.8 施工期运行</w:t>
      </w:r>
      <w:bookmarkEnd w:id="288"/>
    </w:p>
    <w:p w14:paraId="5916A3E5">
      <w:pPr>
        <w:pageBreakBefore w:val="0"/>
        <w:widowControl w:val="0"/>
        <w:kinsoku/>
        <w:wordWrap/>
        <w:overflowPunct/>
        <w:topLinePunct w:val="0"/>
        <w:autoSpaceDE/>
        <w:autoSpaceDN/>
        <w:bidi w:val="0"/>
        <w:adjustRightInd/>
        <w:spacing w:line="360" w:lineRule="auto"/>
        <w:ind w:right="248"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18.8.1需要在施工期运行的单位工程或工程设备为：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2316B63">
      <w:pPr>
        <w:keepNext/>
        <w:keepLines/>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3"/>
        <w:rPr>
          <w:rFonts w:ascii="宋体" w:hAnsi="宋体" w:cs="宋体"/>
          <w:color w:val="auto"/>
          <w:szCs w:val="21"/>
          <w:highlight w:val="none"/>
        </w:rPr>
      </w:pPr>
      <w:bookmarkStart w:id="289" w:name="_Toc33183777"/>
      <w:r>
        <w:rPr>
          <w:rFonts w:hint="eastAsia" w:ascii="宋体" w:hAnsi="宋体" w:cs="宋体"/>
          <w:color w:val="auto"/>
          <w:szCs w:val="21"/>
          <w:highlight w:val="none"/>
        </w:rPr>
        <w:t>18.9 试运行</w:t>
      </w:r>
      <w:bookmarkEnd w:id="289"/>
    </w:p>
    <w:p w14:paraId="217EEF9A">
      <w:pPr>
        <w:pageBreakBefore w:val="0"/>
        <w:widowControl w:val="0"/>
        <w:kinsoku/>
        <w:wordWrap/>
        <w:overflowPunct/>
        <w:topLinePunct w:val="0"/>
        <w:autoSpaceDE/>
        <w:autoSpaceDN/>
        <w:bidi w:val="0"/>
        <w:adjustRightInd/>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18.9.1试运行的组织：</w:t>
      </w:r>
      <w:r>
        <w:rPr>
          <w:rFonts w:hint="eastAsia" w:ascii="宋体" w:hAnsi="宋体" w:cs="宋体"/>
          <w:color w:val="auto"/>
          <w:szCs w:val="21"/>
          <w:highlight w:val="none"/>
          <w:u w:val="single"/>
          <w:lang w:eastAsia="zh-CN"/>
        </w:rPr>
        <w:t>由发包人组织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；费用承担：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由承包人承担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AF433BD">
      <w:pPr>
        <w:pageBreakBefore w:val="0"/>
        <w:widowControl w:val="0"/>
        <w:kinsoku/>
        <w:wordWrap/>
        <w:overflowPunct/>
        <w:topLinePunct w:val="0"/>
        <w:autoSpaceDE/>
        <w:autoSpaceDN/>
        <w:bidi w:val="0"/>
        <w:adjustRightInd/>
        <w:spacing w:line="360" w:lineRule="auto"/>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本项细化以下内容：</w:t>
      </w:r>
    </w:p>
    <w:p w14:paraId="62894725">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工程试车内容：</w:t>
      </w:r>
      <w:r>
        <w:rPr>
          <w:rFonts w:hint="eastAsia" w:ascii="宋体" w:hAnsi="宋体" w:cs="宋体"/>
          <w:color w:val="auto"/>
          <w:kern w:val="0"/>
          <w:szCs w:val="21"/>
          <w:highlight w:val="none"/>
          <w:u w:val="single"/>
        </w:rPr>
        <w:t>按通用合同条款执行</w:t>
      </w:r>
      <w:r>
        <w:rPr>
          <w:rFonts w:hint="eastAsia" w:ascii="宋体" w:hAnsi="宋体" w:cs="宋体"/>
          <w:color w:val="auto"/>
          <w:kern w:val="0"/>
          <w:szCs w:val="21"/>
          <w:highlight w:val="none"/>
        </w:rPr>
        <w:t>。</w:t>
      </w:r>
    </w:p>
    <w:p w14:paraId="05763D99">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（1）单机无负荷试车费用由承包人承担</w:t>
      </w:r>
      <w:r>
        <w:rPr>
          <w:rFonts w:hint="eastAsia" w:ascii="宋体" w:hAnsi="宋体" w:cs="宋体"/>
          <w:color w:val="auto"/>
          <w:kern w:val="0"/>
          <w:szCs w:val="21"/>
          <w:highlight w:val="none"/>
        </w:rPr>
        <w:t>；</w:t>
      </w:r>
    </w:p>
    <w:p w14:paraId="6DF31D19">
      <w:pPr>
        <w:pageBreakBefore w:val="0"/>
        <w:kinsoku/>
        <w:overflowPunct/>
        <w:topLinePunct w:val="0"/>
        <w:bidi w:val="0"/>
        <w:spacing w:line="360" w:lineRule="auto"/>
        <w:ind w:firstLine="420" w:firstLineChars="200"/>
        <w:jc w:val="left"/>
        <w:rPr>
          <w:color w:val="auto"/>
          <w:highlight w:val="none"/>
        </w:rPr>
      </w:pPr>
      <w:r>
        <w:rPr>
          <w:rFonts w:hint="eastAsia" w:ascii="宋体" w:hAnsi="宋体" w:cs="宋体"/>
          <w:color w:val="auto"/>
          <w:kern w:val="0"/>
          <w:szCs w:val="21"/>
          <w:highlight w:val="none"/>
          <w:u w:val="single"/>
        </w:rPr>
        <w:t>（2）无负荷联动试车费用由发包人承担</w:t>
      </w:r>
      <w:r>
        <w:rPr>
          <w:rFonts w:hint="eastAsia" w:ascii="宋体" w:hAnsi="宋体" w:cs="宋体"/>
          <w:color w:val="auto"/>
          <w:kern w:val="0"/>
          <w:szCs w:val="21"/>
          <w:highlight w:val="none"/>
        </w:rPr>
        <w:t>。</w:t>
      </w:r>
    </w:p>
    <w:p w14:paraId="0AAD6EBA">
      <w:pPr>
        <w:keepNext/>
        <w:keepLines/>
        <w:pageBreakBefore w:val="0"/>
        <w:kinsoku/>
        <w:overflowPunct/>
        <w:topLinePunct w:val="0"/>
        <w:bidi w:val="0"/>
        <w:snapToGrid w:val="0"/>
        <w:spacing w:line="360" w:lineRule="auto"/>
        <w:ind w:firstLine="420" w:firstLineChars="200"/>
        <w:outlineLvl w:val="3"/>
        <w:rPr>
          <w:rFonts w:ascii="宋体" w:hAnsi="宋体" w:cs="宋体"/>
          <w:b/>
          <w:color w:val="auto"/>
          <w:szCs w:val="21"/>
          <w:highlight w:val="none"/>
        </w:rPr>
      </w:pPr>
      <w:bookmarkStart w:id="290" w:name="_Toc33183778"/>
      <w:r>
        <w:rPr>
          <w:rFonts w:hint="eastAsia" w:ascii="宋体" w:hAnsi="宋体" w:cs="宋体"/>
          <w:color w:val="auto"/>
          <w:szCs w:val="21"/>
          <w:highlight w:val="none"/>
        </w:rPr>
        <w:t>18.10 竣工（完工）清场</w:t>
      </w:r>
      <w:bookmarkEnd w:id="290"/>
    </w:p>
    <w:p w14:paraId="0E0BEA65">
      <w:pPr>
        <w:pageBreakBefore w:val="0"/>
        <w:kinsoku/>
        <w:overflowPunct/>
        <w:topLinePunct w:val="0"/>
        <w:bidi w:val="0"/>
        <w:spacing w:line="360" w:lineRule="auto"/>
        <w:ind w:right="248" w:firstLine="420" w:firstLineChars="200"/>
        <w:rPr>
          <w:rFonts w:ascii="宋体" w:hAnsi="宋体" w:cs="宋体"/>
          <w:color w:val="auto"/>
          <w:szCs w:val="21"/>
          <w:highlight w:val="none"/>
        </w:rPr>
      </w:pPr>
      <w:r>
        <w:rPr>
          <w:rFonts w:hint="eastAsia" w:ascii="宋体" w:hAnsi="宋体" w:cs="宋体"/>
          <w:color w:val="auto"/>
          <w:kern w:val="0"/>
          <w:szCs w:val="21"/>
          <w:highlight w:val="none"/>
        </w:rPr>
        <w:t>承包人完工退场的期限：</w:t>
      </w:r>
      <w:r>
        <w:rPr>
          <w:rFonts w:hint="eastAsia" w:ascii="宋体" w:hAnsi="宋体" w:cs="宋体"/>
          <w:color w:val="auto"/>
          <w:kern w:val="0"/>
          <w:szCs w:val="21"/>
          <w:highlight w:val="none"/>
          <w:u w:val="single"/>
        </w:rPr>
        <w:t>工程移交证书颁发后30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cs="宋体"/>
          <w:color w:val="auto"/>
          <w:kern w:val="0"/>
          <w:szCs w:val="21"/>
          <w:highlight w:val="none"/>
        </w:rPr>
        <w:t>。</w:t>
      </w:r>
    </w:p>
    <w:p w14:paraId="0E128638">
      <w:pPr>
        <w:pStyle w:val="2"/>
        <w:pageBreakBefore w:val="0"/>
        <w:kinsoku/>
        <w:overflowPunct/>
        <w:topLinePunct w:val="0"/>
        <w:bidi w:val="0"/>
        <w:spacing w:line="360" w:lineRule="auto"/>
        <w:rPr>
          <w:rFonts w:ascii="宋体" w:hAnsi="宋体" w:cs="宋体"/>
          <w:color w:val="auto"/>
          <w:sz w:val="21"/>
          <w:szCs w:val="21"/>
          <w:highlight w:val="none"/>
        </w:rPr>
      </w:pPr>
      <w:bookmarkStart w:id="291" w:name="_Toc2232"/>
      <w:bookmarkStart w:id="292" w:name="_Toc136350402"/>
      <w:bookmarkStart w:id="293" w:name="_Toc59810422"/>
      <w:bookmarkStart w:id="294" w:name="_Toc33183779"/>
      <w:r>
        <w:rPr>
          <w:rFonts w:hint="eastAsia" w:ascii="宋体" w:hAnsi="宋体" w:cs="宋体"/>
          <w:color w:val="auto"/>
          <w:sz w:val="21"/>
          <w:szCs w:val="21"/>
          <w:highlight w:val="none"/>
        </w:rPr>
        <w:t>19.缺陷责任与保修责任</w:t>
      </w:r>
      <w:bookmarkEnd w:id="291"/>
      <w:bookmarkEnd w:id="292"/>
      <w:bookmarkEnd w:id="293"/>
      <w:bookmarkEnd w:id="294"/>
    </w:p>
    <w:p w14:paraId="641B341D">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bookmarkStart w:id="295" w:name="_Toc33183780"/>
      <w:r>
        <w:rPr>
          <w:rFonts w:hint="eastAsia" w:ascii="宋体" w:hAnsi="宋体" w:cs="宋体"/>
          <w:color w:val="auto"/>
          <w:szCs w:val="21"/>
          <w:highlight w:val="none"/>
        </w:rPr>
        <w:t>19.1 缺陷责任期（工程质量保修期）的起算时间</w:t>
      </w:r>
      <w:bookmarkEnd w:id="295"/>
    </w:p>
    <w:p w14:paraId="4C163153">
      <w:pPr>
        <w:pageBreakBefore w:val="0"/>
        <w:kinsoku/>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本款补充19.1.1</w:t>
      </w:r>
      <w:r>
        <w:rPr>
          <w:rFonts w:hint="eastAsia" w:ascii="宋体" w:hAnsi="宋体"/>
          <w:color w:val="auto"/>
          <w:kern w:val="0"/>
          <w:szCs w:val="21"/>
          <w:highlight w:val="none"/>
        </w:rPr>
        <w:t>、19.1.2项如下：</w:t>
      </w:r>
    </w:p>
    <w:p w14:paraId="179829B4">
      <w:pPr>
        <w:pageBreakBefore w:val="0"/>
        <w:kinsoku/>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19.1.1 缺陷责任期的期限为 </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24  </w:t>
      </w:r>
      <w:r>
        <w:rPr>
          <w:rFonts w:hint="eastAsia" w:ascii="宋体" w:hAnsi="宋体" w:cs="宋体"/>
          <w:color w:val="auto"/>
          <w:kern w:val="0"/>
          <w:szCs w:val="21"/>
          <w:highlight w:val="none"/>
        </w:rPr>
        <w:t>月（最长不超过24个月）。在缺陷责任期内，承包人应尽快完成在完工验收证书中写明的未完成工作，并完成对本工程缺陷的修复或监理人指令的修补工作。</w:t>
      </w:r>
    </w:p>
    <w:p w14:paraId="2235C955">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19.1.2工程质量保修期及修复责任</w:t>
      </w:r>
    </w:p>
    <w:p w14:paraId="36E2F4DB">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工程质量保修期：按国家现行有关规定执行。</w:t>
      </w:r>
    </w:p>
    <w:p w14:paraId="44134727">
      <w:pPr>
        <w:pageBreakBefore w:val="0"/>
        <w:kinsoku/>
        <w:overflowPunct/>
        <w:topLinePunct w:val="0"/>
        <w:bidi w:val="0"/>
        <w:spacing w:line="360" w:lineRule="auto"/>
        <w:ind w:firstLine="409" w:firstLineChars="195"/>
        <w:jc w:val="left"/>
        <w:rPr>
          <w:rFonts w:ascii="宋体" w:hAnsi="宋体" w:cs="宋体"/>
          <w:color w:val="auto"/>
          <w:szCs w:val="21"/>
          <w:highlight w:val="none"/>
        </w:rPr>
      </w:pPr>
      <w:r>
        <w:rPr>
          <w:rFonts w:hint="eastAsia" w:ascii="宋体" w:hAnsi="宋体" w:cs="宋体"/>
          <w:color w:val="auto"/>
          <w:kern w:val="0"/>
          <w:szCs w:val="21"/>
          <w:highlight w:val="none"/>
        </w:rPr>
        <w:t>承包人收到保修通知并到达工程现场的合理时间：</w:t>
      </w:r>
      <w:r>
        <w:rPr>
          <w:rFonts w:hint="eastAsia" w:ascii="宋体" w:hAnsi="宋体" w:cs="宋体"/>
          <w:color w:val="auto"/>
          <w:kern w:val="0"/>
          <w:szCs w:val="21"/>
          <w:highlight w:val="none"/>
          <w:u w:val="single"/>
        </w:rPr>
        <w:t>48小时内,最长不能超过72小时</w:t>
      </w:r>
      <w:r>
        <w:rPr>
          <w:rFonts w:hint="eastAsia" w:ascii="宋体" w:hAnsi="宋体" w:cs="宋体"/>
          <w:color w:val="auto"/>
          <w:kern w:val="0"/>
          <w:szCs w:val="21"/>
          <w:highlight w:val="none"/>
        </w:rPr>
        <w:t>。</w:t>
      </w:r>
    </w:p>
    <w:p w14:paraId="18B6F3CB">
      <w:pPr>
        <w:pStyle w:val="2"/>
        <w:pageBreakBefore w:val="0"/>
        <w:kinsoku/>
        <w:overflowPunct/>
        <w:topLinePunct w:val="0"/>
        <w:bidi w:val="0"/>
        <w:spacing w:line="360" w:lineRule="auto"/>
        <w:rPr>
          <w:rFonts w:ascii="宋体" w:hAnsi="宋体" w:cs="宋体"/>
          <w:color w:val="auto"/>
          <w:sz w:val="21"/>
          <w:szCs w:val="21"/>
          <w:highlight w:val="none"/>
        </w:rPr>
      </w:pPr>
      <w:bookmarkStart w:id="296" w:name="_Toc33183781"/>
      <w:bookmarkStart w:id="297" w:name="_Toc221951299"/>
      <w:bookmarkStart w:id="298" w:name="_Toc136350403"/>
      <w:bookmarkStart w:id="299" w:name="_Toc222029542"/>
      <w:bookmarkStart w:id="300" w:name="_Toc222033893"/>
      <w:bookmarkStart w:id="301" w:name="_Toc20172"/>
      <w:bookmarkStart w:id="302" w:name="_Toc222032711"/>
      <w:bookmarkStart w:id="303" w:name="_Toc59810423"/>
      <w:bookmarkStart w:id="304" w:name="_Toc229305400"/>
      <w:bookmarkStart w:id="305" w:name="_Toc222031044"/>
      <w:r>
        <w:rPr>
          <w:rFonts w:hint="eastAsia" w:ascii="宋体" w:hAnsi="宋体" w:cs="宋体"/>
          <w:color w:val="auto"/>
          <w:sz w:val="21"/>
          <w:szCs w:val="21"/>
          <w:highlight w:val="none"/>
        </w:rPr>
        <w:t>20.保险</w:t>
      </w:r>
      <w:bookmarkEnd w:id="296"/>
      <w:bookmarkEnd w:id="297"/>
      <w:bookmarkEnd w:id="298"/>
      <w:bookmarkEnd w:id="299"/>
      <w:bookmarkEnd w:id="300"/>
      <w:bookmarkEnd w:id="301"/>
      <w:bookmarkEnd w:id="302"/>
      <w:bookmarkEnd w:id="303"/>
      <w:bookmarkEnd w:id="304"/>
      <w:bookmarkEnd w:id="305"/>
    </w:p>
    <w:p w14:paraId="2E4CDB77">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bookmarkStart w:id="306" w:name="_Toc221951321"/>
      <w:bookmarkStart w:id="307" w:name="_Toc33183782"/>
      <w:r>
        <w:rPr>
          <w:rFonts w:hint="eastAsia" w:ascii="宋体" w:hAnsi="宋体" w:cs="宋体"/>
          <w:color w:val="auto"/>
          <w:szCs w:val="21"/>
          <w:highlight w:val="none"/>
        </w:rPr>
        <w:t>20.1  工程保险</w:t>
      </w:r>
      <w:bookmarkEnd w:id="306"/>
      <w:bookmarkEnd w:id="307"/>
    </w:p>
    <w:p w14:paraId="1DC53419">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bookmarkStart w:id="308" w:name="_Toc221951323"/>
      <w:r>
        <w:rPr>
          <w:rFonts w:hint="eastAsia" w:ascii="宋体" w:hAnsi="宋体" w:cs="宋体"/>
          <w:color w:val="auto"/>
          <w:kern w:val="0"/>
          <w:szCs w:val="21"/>
          <w:highlight w:val="none"/>
        </w:rPr>
        <w:t>建筑工程一切险和（或）安装工程一切险投保人：</w:t>
      </w:r>
      <w:r>
        <w:rPr>
          <w:rFonts w:hint="eastAsia" w:ascii="宋体" w:hAnsi="宋体" w:cs="宋体"/>
          <w:color w:val="auto"/>
          <w:kern w:val="0"/>
          <w:szCs w:val="21"/>
          <w:highlight w:val="none"/>
          <w:u w:val="single"/>
        </w:rPr>
        <w:t>发包人</w:t>
      </w:r>
      <w:r>
        <w:rPr>
          <w:rFonts w:hint="eastAsia" w:ascii="宋体" w:hAnsi="宋体" w:cs="宋体"/>
          <w:color w:val="auto"/>
          <w:kern w:val="0"/>
          <w:szCs w:val="21"/>
          <w:highlight w:val="none"/>
        </w:rPr>
        <w:t>。</w:t>
      </w:r>
    </w:p>
    <w:p w14:paraId="6A913D97">
      <w:pPr>
        <w:pageBreakBefore w:val="0"/>
        <w:kinsoku/>
        <w:overflowPunct/>
        <w:topLinePunct w:val="0"/>
        <w:bidi w:val="0"/>
        <w:spacing w:line="360" w:lineRule="auto"/>
        <w:ind w:right="248" w:firstLine="480"/>
        <w:rPr>
          <w:rFonts w:ascii="宋体" w:hAnsi="宋体" w:cs="宋体"/>
          <w:color w:val="auto"/>
          <w:szCs w:val="21"/>
          <w:highlight w:val="none"/>
        </w:rPr>
      </w:pPr>
      <w:r>
        <w:rPr>
          <w:rFonts w:hint="eastAsia" w:ascii="宋体" w:hAnsi="宋体" w:cs="宋体"/>
          <w:color w:val="auto"/>
          <w:kern w:val="0"/>
          <w:szCs w:val="21"/>
          <w:highlight w:val="none"/>
        </w:rPr>
        <w:t>投保内容：</w:t>
      </w:r>
      <w:r>
        <w:rPr>
          <w:rFonts w:hint="eastAsia" w:ascii="宋体" w:hAnsi="宋体" w:cs="宋体"/>
          <w:color w:val="auto"/>
          <w:kern w:val="0"/>
          <w:szCs w:val="21"/>
          <w:highlight w:val="none"/>
          <w:u w:val="single"/>
        </w:rPr>
        <w:t>本合同工程</w:t>
      </w:r>
      <w:r>
        <w:rPr>
          <w:rFonts w:hint="eastAsia" w:ascii="宋体" w:hAnsi="宋体" w:cs="宋体"/>
          <w:color w:val="auto"/>
          <w:kern w:val="0"/>
          <w:szCs w:val="21"/>
          <w:highlight w:val="none"/>
        </w:rPr>
        <w:t>；</w:t>
      </w:r>
      <w:r>
        <w:rPr>
          <w:rFonts w:hint="eastAsia" w:ascii="宋体" w:hAnsi="宋体" w:cs="宋体"/>
          <w:color w:val="auto"/>
          <w:szCs w:val="21"/>
          <w:highlight w:val="none"/>
        </w:rPr>
        <w:t xml:space="preserve">                                                      </w:t>
      </w:r>
    </w:p>
    <w:p w14:paraId="7F1BD5A3">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保险金额、保险费率和保险期限：</w:t>
      </w:r>
      <w:r>
        <w:rPr>
          <w:rFonts w:hint="eastAsia" w:ascii="宋体" w:hAnsi="宋体" w:cs="宋体"/>
          <w:color w:val="auto"/>
          <w:kern w:val="0"/>
          <w:szCs w:val="21"/>
          <w:highlight w:val="none"/>
          <w:u w:val="single"/>
        </w:rPr>
        <w:t>保险期限为开工日起直至签发工程缺陷责任期证书止（即合同工期＋缺陷责任期）。保险金额、保险费率按国家有关规定执行</w:t>
      </w:r>
      <w:r>
        <w:rPr>
          <w:rFonts w:hint="eastAsia" w:ascii="宋体" w:hAnsi="宋体" w:cs="宋体"/>
          <w:color w:val="auto"/>
          <w:kern w:val="0"/>
          <w:szCs w:val="21"/>
          <w:highlight w:val="none"/>
        </w:rPr>
        <w:t>。</w:t>
      </w:r>
    </w:p>
    <w:p w14:paraId="090F2848">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承包人应以发包人和承包人的共同名义投保建筑工程一切险。发包人在接到保险单后，将按照保险单的费用直接向承包人支付。</w:t>
      </w:r>
    </w:p>
    <w:p w14:paraId="68799BF8">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 xml:space="preserve"> </w:t>
      </w:r>
      <w:bookmarkStart w:id="309" w:name="_Toc33183783"/>
      <w:r>
        <w:rPr>
          <w:rFonts w:hint="eastAsia" w:ascii="宋体" w:hAnsi="宋体" w:cs="宋体"/>
          <w:color w:val="auto"/>
          <w:szCs w:val="21"/>
          <w:highlight w:val="none"/>
        </w:rPr>
        <w:t>20.4  第三者责任险</w:t>
      </w:r>
      <w:bookmarkEnd w:id="308"/>
      <w:bookmarkEnd w:id="309"/>
    </w:p>
    <w:p w14:paraId="0DC7C6AC">
      <w:pPr>
        <w:pageBreakBefore w:val="0"/>
        <w:kinsoku/>
        <w:overflowPunct/>
        <w:topLinePunct w:val="0"/>
        <w:bidi w:val="0"/>
        <w:spacing w:line="360" w:lineRule="auto"/>
        <w:ind w:right="248" w:firstLine="480"/>
        <w:rPr>
          <w:rFonts w:ascii="宋体" w:hAnsi="宋体" w:cs="宋体"/>
          <w:color w:val="auto"/>
          <w:szCs w:val="21"/>
          <w:highlight w:val="none"/>
        </w:rPr>
      </w:pPr>
      <w:bookmarkStart w:id="310" w:name="_Toc221951325"/>
      <w:r>
        <w:rPr>
          <w:rFonts w:hint="eastAsia" w:ascii="宋体" w:hAnsi="宋体" w:cs="宋体"/>
          <w:color w:val="auto"/>
          <w:szCs w:val="21"/>
          <w:highlight w:val="none"/>
        </w:rPr>
        <w:t>20.4.2  第三者责任险保险费率：</w:t>
      </w:r>
      <w:r>
        <w:rPr>
          <w:rFonts w:hint="eastAsia" w:ascii="宋体" w:hAnsi="宋体" w:cs="宋体"/>
          <w:color w:val="auto"/>
          <w:kern w:val="0"/>
          <w:szCs w:val="21"/>
          <w:highlight w:val="none"/>
        </w:rPr>
        <w:t>由承包人按国家规定以承包人和发包人的共同名义投保；</w:t>
      </w:r>
      <w:r>
        <w:rPr>
          <w:rFonts w:hint="eastAsia" w:ascii="宋体" w:hAnsi="宋体" w:cs="宋体"/>
          <w:color w:val="auto"/>
          <w:szCs w:val="21"/>
          <w:highlight w:val="none"/>
        </w:rPr>
        <w:t xml:space="preserve">                                       </w:t>
      </w:r>
    </w:p>
    <w:p w14:paraId="472B7713">
      <w:pPr>
        <w:pageBreakBefore w:val="0"/>
        <w:kinsoku/>
        <w:overflowPunct/>
        <w:topLinePunct w:val="0"/>
        <w:bidi w:val="0"/>
        <w:spacing w:line="360" w:lineRule="auto"/>
        <w:ind w:right="248" w:firstLine="480"/>
        <w:rPr>
          <w:rFonts w:ascii="宋体" w:hAnsi="宋体" w:cs="宋体"/>
          <w:color w:val="auto"/>
          <w:szCs w:val="21"/>
          <w:highlight w:val="none"/>
        </w:rPr>
      </w:pPr>
      <w:r>
        <w:rPr>
          <w:rFonts w:hint="eastAsia" w:ascii="宋体" w:hAnsi="宋体" w:cs="宋体"/>
          <w:color w:val="auto"/>
          <w:szCs w:val="21"/>
          <w:highlight w:val="none"/>
        </w:rPr>
        <w:t>第三者责任险保险金额：</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按国家规定执行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12A3292">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bookmarkStart w:id="311" w:name="_Toc33183784"/>
      <w:r>
        <w:rPr>
          <w:rFonts w:hint="eastAsia" w:ascii="宋体" w:hAnsi="宋体" w:cs="宋体"/>
          <w:color w:val="auto"/>
          <w:szCs w:val="21"/>
          <w:highlight w:val="none"/>
        </w:rPr>
        <w:t>20.5  其他保险</w:t>
      </w:r>
      <w:bookmarkEnd w:id="310"/>
      <w:bookmarkEnd w:id="311"/>
    </w:p>
    <w:p w14:paraId="3628AE6B">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bookmarkStart w:id="312" w:name="_Toc221951327"/>
      <w:r>
        <w:rPr>
          <w:rFonts w:hint="eastAsia" w:ascii="宋体" w:hAnsi="宋体" w:cs="宋体"/>
          <w:color w:val="auto"/>
          <w:kern w:val="0"/>
          <w:szCs w:val="21"/>
          <w:highlight w:val="none"/>
        </w:rPr>
        <w:t>需要投保的其它内容：</w:t>
      </w:r>
      <w:r>
        <w:rPr>
          <w:rFonts w:hint="eastAsia" w:ascii="宋体" w:hAnsi="宋体" w:cs="宋体"/>
          <w:color w:val="auto"/>
          <w:kern w:val="0"/>
          <w:szCs w:val="21"/>
          <w:highlight w:val="none"/>
          <w:u w:val="single"/>
        </w:rPr>
        <w:t>承包人应为其采购的工程设备（电机、水泵、阀门、管材等）保险及整个施工期间为其现场机构雇用的全部人员投保人身意外伤害险并缴纳保险费。若项目存在分包，则分包人也须购买此项保险，保险费已包含在合同价款中</w:t>
      </w:r>
      <w:r>
        <w:rPr>
          <w:rFonts w:hint="eastAsia" w:ascii="宋体" w:hAnsi="宋体" w:cs="宋体"/>
          <w:color w:val="auto"/>
          <w:kern w:val="0"/>
          <w:szCs w:val="21"/>
          <w:highlight w:val="none"/>
        </w:rPr>
        <w:t>；</w:t>
      </w:r>
    </w:p>
    <w:p w14:paraId="65F2359F">
      <w:pPr>
        <w:pageBreakBefore w:val="0"/>
        <w:kinsoku/>
        <w:overflowPunct/>
        <w:topLinePunct w:val="0"/>
        <w:bidi w:val="0"/>
        <w:spacing w:line="360" w:lineRule="auto"/>
        <w:ind w:right="248" w:firstLine="480"/>
        <w:rPr>
          <w:rFonts w:ascii="宋体" w:hAnsi="宋体" w:cs="宋体"/>
          <w:color w:val="auto"/>
          <w:szCs w:val="21"/>
          <w:highlight w:val="none"/>
        </w:rPr>
      </w:pPr>
      <w:r>
        <w:rPr>
          <w:rFonts w:hint="eastAsia" w:ascii="宋体" w:hAnsi="宋体" w:cs="宋体"/>
          <w:color w:val="auto"/>
          <w:kern w:val="0"/>
          <w:szCs w:val="21"/>
          <w:highlight w:val="none"/>
        </w:rPr>
        <w:t>保险金额、保险费率和保险期限：</w:t>
      </w:r>
      <w:r>
        <w:rPr>
          <w:rFonts w:hint="eastAsia" w:ascii="宋体" w:hAnsi="宋体" w:cs="宋体"/>
          <w:color w:val="auto"/>
          <w:kern w:val="0"/>
          <w:szCs w:val="21"/>
          <w:highlight w:val="none"/>
          <w:u w:val="single"/>
        </w:rPr>
        <w:t>保险金额、保险费率按国家规定执行。保险期限为国家标准规定使用年限</w:t>
      </w:r>
      <w:r>
        <w:rPr>
          <w:rFonts w:hint="eastAsia" w:ascii="宋体" w:hAnsi="宋体" w:cs="宋体"/>
          <w:color w:val="auto"/>
          <w:kern w:val="0"/>
          <w:szCs w:val="21"/>
          <w:highlight w:val="none"/>
        </w:rPr>
        <w:t>。</w:t>
      </w:r>
    </w:p>
    <w:p w14:paraId="762ADD0E">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bookmarkStart w:id="313" w:name="_Toc33183785"/>
      <w:r>
        <w:rPr>
          <w:rFonts w:hint="eastAsia" w:ascii="宋体" w:hAnsi="宋体" w:cs="宋体"/>
          <w:color w:val="auto"/>
          <w:szCs w:val="21"/>
          <w:highlight w:val="none"/>
        </w:rPr>
        <w:t>20.6  对各项保险的一般要求</w:t>
      </w:r>
      <w:bookmarkEnd w:id="312"/>
      <w:bookmarkEnd w:id="313"/>
    </w:p>
    <w:p w14:paraId="70742CA2">
      <w:pPr>
        <w:pageBreakBefore w:val="0"/>
        <w:kinsoku/>
        <w:overflowPunct/>
        <w:topLinePunct w:val="0"/>
        <w:bidi w:val="0"/>
        <w:spacing w:line="360" w:lineRule="auto"/>
        <w:ind w:firstLine="525" w:firstLineChars="250"/>
        <w:rPr>
          <w:rFonts w:ascii="宋体" w:hAnsi="宋体" w:cs="宋体"/>
          <w:color w:val="auto"/>
          <w:szCs w:val="21"/>
          <w:highlight w:val="none"/>
        </w:rPr>
      </w:pPr>
      <w:bookmarkStart w:id="314" w:name="_Toc221951328"/>
      <w:r>
        <w:rPr>
          <w:rFonts w:hint="eastAsia" w:ascii="宋体" w:hAnsi="宋体" w:cs="宋体"/>
          <w:color w:val="auto"/>
          <w:szCs w:val="21"/>
          <w:highlight w:val="none"/>
        </w:rPr>
        <w:t>20.6.1  保险凭证</w:t>
      </w:r>
      <w:bookmarkEnd w:id="314"/>
    </w:p>
    <w:p w14:paraId="5E519848">
      <w:pPr>
        <w:pageBreakBefore w:val="0"/>
        <w:kinsoku/>
        <w:overflowPunct/>
        <w:topLinePunct w:val="0"/>
        <w:bidi w:val="0"/>
        <w:spacing w:line="360" w:lineRule="auto"/>
        <w:ind w:right="248" w:firstLine="480"/>
        <w:rPr>
          <w:rFonts w:ascii="宋体" w:hAnsi="宋体" w:cs="宋体"/>
          <w:color w:val="auto"/>
          <w:szCs w:val="21"/>
          <w:highlight w:val="none"/>
        </w:rPr>
      </w:pPr>
      <w:bookmarkStart w:id="315" w:name="_Toc221951329"/>
      <w:r>
        <w:rPr>
          <w:rFonts w:hint="eastAsia" w:ascii="宋体" w:hAnsi="宋体" w:cs="宋体"/>
          <w:color w:val="auto"/>
          <w:szCs w:val="21"/>
          <w:highlight w:val="none"/>
        </w:rPr>
        <w:t>承包人提交保险凭证的期限：</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第一次进度款拨付之前</w:t>
      </w:r>
      <w:r>
        <w:rPr>
          <w:rFonts w:hint="eastAsia" w:ascii="宋体" w:hAnsi="宋体" w:cs="宋体"/>
          <w:color w:val="auto"/>
          <w:szCs w:val="21"/>
          <w:highlight w:val="none"/>
          <w:u w:val="single"/>
        </w:rPr>
        <w:t xml:space="preserve">  </w:t>
      </w:r>
      <w:bookmarkEnd w:id="315"/>
      <w:r>
        <w:rPr>
          <w:rFonts w:hint="eastAsia" w:ascii="宋体" w:hAnsi="宋体" w:cs="宋体"/>
          <w:color w:val="auto"/>
          <w:szCs w:val="21"/>
          <w:highlight w:val="none"/>
        </w:rPr>
        <w:t>；</w:t>
      </w:r>
    </w:p>
    <w:p w14:paraId="00FA9F14">
      <w:pPr>
        <w:pageBreakBefore w:val="0"/>
        <w:kinsoku/>
        <w:overflowPunct/>
        <w:topLinePunct w:val="0"/>
        <w:bidi w:val="0"/>
        <w:spacing w:line="360" w:lineRule="auto"/>
        <w:ind w:right="248" w:firstLine="480"/>
        <w:rPr>
          <w:rFonts w:ascii="宋体" w:hAnsi="宋体" w:cs="宋体"/>
          <w:color w:val="auto"/>
          <w:szCs w:val="21"/>
          <w:highlight w:val="none"/>
        </w:rPr>
      </w:pPr>
      <w:bookmarkStart w:id="316" w:name="_Toc221951330"/>
      <w:r>
        <w:rPr>
          <w:rFonts w:hint="eastAsia" w:ascii="宋体" w:hAnsi="宋体" w:cs="宋体"/>
          <w:color w:val="auto"/>
          <w:szCs w:val="21"/>
          <w:highlight w:val="none"/>
        </w:rPr>
        <w:t>保险条件：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bookmarkEnd w:id="316"/>
    </w:p>
    <w:p w14:paraId="23FBC008">
      <w:pPr>
        <w:pageBreakBefore w:val="0"/>
        <w:kinsoku/>
        <w:overflowPunct/>
        <w:topLinePunct w:val="0"/>
        <w:bidi w:val="0"/>
        <w:spacing w:line="360" w:lineRule="auto"/>
        <w:ind w:right="248" w:firstLine="480"/>
        <w:rPr>
          <w:rFonts w:ascii="宋体" w:hAnsi="宋体" w:cs="宋体"/>
          <w:color w:val="auto"/>
          <w:szCs w:val="21"/>
          <w:highlight w:val="none"/>
        </w:rPr>
      </w:pPr>
      <w:bookmarkStart w:id="317" w:name="_Toc221951331"/>
      <w:r>
        <w:rPr>
          <w:rFonts w:hint="eastAsia" w:ascii="宋体" w:hAnsi="宋体" w:cs="宋体"/>
          <w:color w:val="auto"/>
          <w:szCs w:val="21"/>
          <w:highlight w:val="none"/>
        </w:rPr>
        <w:t>20.6.4  保险金不足的补偿</w:t>
      </w:r>
      <w:bookmarkEnd w:id="317"/>
    </w:p>
    <w:p w14:paraId="6C1AAC56">
      <w:pPr>
        <w:pageBreakBefore w:val="0"/>
        <w:kinsoku/>
        <w:overflowPunct/>
        <w:topLinePunct w:val="0"/>
        <w:bidi w:val="0"/>
        <w:spacing w:line="360" w:lineRule="auto"/>
        <w:ind w:right="248" w:firstLine="420" w:firstLineChars="200"/>
        <w:rPr>
          <w:rFonts w:ascii="宋体" w:hAnsi="宋体" w:cs="宋体"/>
          <w:color w:val="auto"/>
          <w:szCs w:val="21"/>
          <w:highlight w:val="none"/>
          <w:u w:val="none"/>
        </w:rPr>
      </w:pPr>
      <w:bookmarkStart w:id="318" w:name="_Toc221951332"/>
      <w:r>
        <w:rPr>
          <w:rFonts w:hint="eastAsia" w:ascii="宋体" w:hAnsi="宋体" w:cs="宋体"/>
          <w:color w:val="auto"/>
          <w:szCs w:val="21"/>
          <w:highlight w:val="none"/>
        </w:rPr>
        <w:t>承包人负责补偿的范围与金额：</w:t>
      </w:r>
      <w:bookmarkEnd w:id="318"/>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保险金不足以补偿损失的（包括免赔额和超过赔偿限额的部分），应由投保人按合同约定负责补偿</w:t>
      </w:r>
      <w:r>
        <w:rPr>
          <w:rFonts w:hint="eastAsia" w:ascii="宋体" w:hAnsi="宋体" w:cs="宋体"/>
          <w:color w:val="auto"/>
          <w:kern w:val="0"/>
          <w:szCs w:val="21"/>
          <w:highlight w:val="none"/>
          <w:u w:val="none"/>
        </w:rPr>
        <w:t>。</w:t>
      </w:r>
      <w:r>
        <w:rPr>
          <w:rFonts w:hint="eastAsia" w:ascii="宋体" w:hAnsi="宋体" w:cs="宋体"/>
          <w:color w:val="auto"/>
          <w:szCs w:val="21"/>
          <w:highlight w:val="none"/>
          <w:u w:val="none"/>
        </w:rPr>
        <w:t xml:space="preserve"> </w:t>
      </w:r>
    </w:p>
    <w:p w14:paraId="01AE6C10">
      <w:pPr>
        <w:keepNext w:val="0"/>
        <w:keepLines w:val="0"/>
        <w:pageBreakBefore w:val="0"/>
        <w:widowControl w:val="0"/>
        <w:kinsoku/>
        <w:wordWrap/>
        <w:overflowPunct/>
        <w:topLinePunct w:val="0"/>
        <w:autoSpaceDE/>
        <w:autoSpaceDN/>
        <w:bidi w:val="0"/>
        <w:adjustRightInd/>
        <w:snapToGrid/>
        <w:spacing w:line="360" w:lineRule="auto"/>
        <w:ind w:left="479" w:leftChars="228" w:right="249" w:firstLine="0" w:firstLineChars="0"/>
        <w:textAlignment w:val="auto"/>
        <w:rPr>
          <w:rFonts w:hint="eastAsia" w:ascii="宋体" w:hAnsi="宋体" w:cs="宋体"/>
          <w:color w:val="auto"/>
          <w:kern w:val="0"/>
          <w:szCs w:val="21"/>
          <w:highlight w:val="none"/>
          <w:u w:val="single"/>
        </w:rPr>
      </w:pPr>
      <w:r>
        <w:rPr>
          <w:rFonts w:hint="eastAsia" w:ascii="宋体" w:hAnsi="宋体" w:cs="宋体"/>
          <w:color w:val="auto"/>
          <w:szCs w:val="21"/>
          <w:highlight w:val="none"/>
        </w:rPr>
        <w:t>发包人负责补偿的范围与金额：</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保险金不足以补偿损失的（包括免赔额和超过赔偿限额的</w:t>
      </w:r>
    </w:p>
    <w:p w14:paraId="5A317941">
      <w:pPr>
        <w:keepNext w:val="0"/>
        <w:keepLines w:val="0"/>
        <w:pageBreakBefore w:val="0"/>
        <w:widowControl w:val="0"/>
        <w:kinsoku/>
        <w:wordWrap/>
        <w:overflowPunct/>
        <w:topLinePunct w:val="0"/>
        <w:autoSpaceDE/>
        <w:autoSpaceDN/>
        <w:bidi w:val="0"/>
        <w:adjustRightInd/>
        <w:snapToGrid/>
        <w:spacing w:line="360" w:lineRule="auto"/>
        <w:ind w:right="249"/>
        <w:textAlignment w:val="auto"/>
        <w:rPr>
          <w:rFonts w:ascii="宋体" w:hAnsi="宋体" w:cs="宋体"/>
          <w:color w:val="auto"/>
          <w:szCs w:val="21"/>
          <w:highlight w:val="none"/>
          <w:u w:val="single"/>
        </w:rPr>
      </w:pPr>
      <w:r>
        <w:rPr>
          <w:rFonts w:hint="eastAsia" w:ascii="宋体" w:hAnsi="宋体" w:cs="宋体"/>
          <w:color w:val="auto"/>
          <w:kern w:val="0"/>
          <w:szCs w:val="21"/>
          <w:highlight w:val="none"/>
          <w:u w:val="single"/>
        </w:rPr>
        <w:t>部分），应由投保人按合同约定负责补偿</w:t>
      </w:r>
      <w:r>
        <w:rPr>
          <w:rFonts w:hint="eastAsia" w:ascii="宋体" w:hAnsi="宋体" w:cs="宋体"/>
          <w:color w:val="auto"/>
          <w:kern w:val="0"/>
          <w:szCs w:val="21"/>
          <w:highlight w:val="none"/>
          <w:u w:val="none"/>
        </w:rPr>
        <w:t>。</w:t>
      </w:r>
      <w:r>
        <w:rPr>
          <w:rFonts w:hint="eastAsia" w:ascii="宋体" w:hAnsi="宋体" w:cs="宋体"/>
          <w:color w:val="auto"/>
          <w:szCs w:val="21"/>
          <w:highlight w:val="none"/>
        </w:rPr>
        <w:t xml:space="preserve">                                                                                                                                                                                                                                                                                                                                                                                                                                                                                                                                                                                                                                                                                                                                                                                                                                                                                                                                                                                                                                                                                                                                                                                                                                                                                                                                                                                                                                                                                                                                                                                                                                                                                                                                                                                                                                                                                                                                                                                                                                          </w:t>
      </w:r>
      <w:r>
        <w:rPr>
          <w:rFonts w:hint="eastAsia" w:ascii="宋体" w:hAnsi="宋体" w:cs="宋体"/>
          <w:b/>
          <w:color w:val="auto"/>
          <w:szCs w:val="21"/>
          <w:highlight w:val="none"/>
        </w:rPr>
        <w:t xml:space="preserve"> </w:t>
      </w:r>
    </w:p>
    <w:p w14:paraId="2C8BFCF3">
      <w:pPr>
        <w:pageBreakBefore w:val="0"/>
        <w:kinsoku/>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bookmarkStart w:id="319" w:name="_Toc28325"/>
      <w:bookmarkStart w:id="320" w:name="_Toc33183786"/>
      <w:bookmarkStart w:id="321" w:name="_Toc136350404"/>
      <w:bookmarkStart w:id="322" w:name="_Toc59810424"/>
      <w:bookmarkStart w:id="323" w:name="_Toc221951334"/>
      <w:bookmarkStart w:id="324" w:name="_Toc222033894"/>
      <w:bookmarkStart w:id="325" w:name="_Toc222031045"/>
      <w:bookmarkStart w:id="326" w:name="_Toc222032712"/>
      <w:bookmarkStart w:id="327" w:name="_Toc222029543"/>
      <w:bookmarkStart w:id="328" w:name="_Toc229305401"/>
      <w:r>
        <w:rPr>
          <w:rFonts w:hint="eastAsia" w:ascii="宋体" w:hAnsi="宋体" w:eastAsia="宋体" w:cs="宋体"/>
          <w:b/>
          <w:bCs/>
          <w:color w:val="auto"/>
          <w:kern w:val="0"/>
          <w:szCs w:val="21"/>
          <w:highlight w:val="none"/>
        </w:rPr>
        <w:t>21.不可抗力</w:t>
      </w:r>
      <w:bookmarkEnd w:id="319"/>
      <w:bookmarkEnd w:id="320"/>
      <w:bookmarkEnd w:id="321"/>
      <w:bookmarkEnd w:id="322"/>
    </w:p>
    <w:p w14:paraId="555B00CE">
      <w:pPr>
        <w:pageBreakBefore w:val="0"/>
        <w:kinsoku/>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bookmarkStart w:id="329" w:name="_Toc33183787"/>
      <w:r>
        <w:rPr>
          <w:rFonts w:hint="eastAsia" w:ascii="宋体" w:hAnsi="宋体" w:eastAsia="宋体" w:cs="宋体"/>
          <w:color w:val="auto"/>
          <w:kern w:val="0"/>
          <w:szCs w:val="21"/>
          <w:highlight w:val="none"/>
        </w:rPr>
        <w:t>21.1 不可抗力的确认</w:t>
      </w:r>
      <w:bookmarkEnd w:id="329"/>
    </w:p>
    <w:p w14:paraId="4E7F2A1B">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除通用合同条款约定的不可抗力事件之外，视为不可抗力的其他情形：</w:t>
      </w:r>
    </w:p>
    <w:p w14:paraId="4BCA10A2">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（1）洪水、火山爆发、山崩、山体滑坡、泥石流、龙卷风、隧道内不可预测的突发性地质灾害等自然灾害；</w:t>
      </w:r>
    </w:p>
    <w:p w14:paraId="4327174E">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（2）骚乱、戒严、封锁、禁运、恐怖行为等社会行为，但承包人或其分包人派遣与雇佣的人员由于合同工程施工原因引起的除外；</w:t>
      </w:r>
    </w:p>
    <w:p w14:paraId="6E25167A">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（3）不能合理预见的重大交通阻滞、停运、交通事故、瘟疫，非双方责任引起的火灾、爆炸、船舶撞击等情形；</w:t>
      </w:r>
    </w:p>
    <w:p w14:paraId="4F566D8F">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（4）化学或放射性污染或核辐射；</w:t>
      </w:r>
    </w:p>
    <w:p w14:paraId="0EFB972E">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（5）环保治理等政府行为导致项目停工的。</w:t>
      </w:r>
    </w:p>
    <w:p w14:paraId="34855787">
      <w:pPr>
        <w:pageBreakBefore w:val="0"/>
        <w:kinsoku/>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（6）</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5D6859CE">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bookmarkStart w:id="330" w:name="_Toc33183788"/>
      <w:r>
        <w:rPr>
          <w:rFonts w:hint="eastAsia" w:ascii="宋体" w:hAnsi="宋体" w:cs="宋体"/>
          <w:color w:val="auto"/>
          <w:szCs w:val="21"/>
          <w:highlight w:val="none"/>
        </w:rPr>
        <w:t>21.3 不可抗力后果及其处理</w:t>
      </w:r>
      <w:bookmarkEnd w:id="330"/>
    </w:p>
    <w:p w14:paraId="6D28C10A">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本款补充细化21.3.1项如下：</w:t>
      </w:r>
    </w:p>
    <w:p w14:paraId="6F7E1EBF">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21.3.1不可抗力造成损害的责任</w:t>
      </w:r>
    </w:p>
    <w:p w14:paraId="1261C90E">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不可抗力引起的后果及造成的损失由合同当事人按照法律规定及合同约定各自承担。不可抗力发生前已完成的工程应当按照合同约定进行计量支付。</w:t>
      </w:r>
    </w:p>
    <w:p w14:paraId="2EF31AFB">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不可抗力导致的人员伤亡、财产损失、费用增加和（或）工期延误等后果，由合同当事人按以下原则承担：</w:t>
      </w:r>
    </w:p>
    <w:p w14:paraId="66D110EE">
      <w:pPr>
        <w:pageBreakBefore w:val="0"/>
        <w:kinsoku/>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（1）永久工程、已运至施工现场的施工材料和工程设备的损坏，以及因工程损坏造成的第三方人员伤亡和财产损失由发包人承担；</w:t>
      </w:r>
    </w:p>
    <w:p w14:paraId="1979309D">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（2）承包人施工设备的损坏由承包人承担；</w:t>
      </w:r>
    </w:p>
    <w:p w14:paraId="7DB3A33C">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（3）发包人和承包人承担各自人员伤亡和财产的损失；</w:t>
      </w:r>
    </w:p>
    <w:p w14:paraId="6594DB5B">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（4）因不可抗力影响承包人履行合同约定的义务，已经引起或将引起工期延误的，应当顺延工期，由此导致承包人停工的费用损失由发包人和承包人合理共担，停工期间必须支付的工人工资由发包人承担；</w:t>
      </w:r>
    </w:p>
    <w:p w14:paraId="4910F043">
      <w:pPr>
        <w:pageBreakBefore w:val="0"/>
        <w:kinsoku/>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（5）因不可抗力引起或将引起工期延误，发包人要求赶工的，由此增加的赶工费用由发包人承担；</w:t>
      </w:r>
    </w:p>
    <w:p w14:paraId="0FEB330D">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（6）承包人在停工期间按照发包人要求照管、清理和修复工程的费用由发包人承担；</w:t>
      </w:r>
    </w:p>
    <w:p w14:paraId="5209100A">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（7）不可抗力事件发生后，合同当事人均应采取措施尽量避免和减少损失的扩大，任何一方当事人没有采取有效措施导致损失扩大的，应对扩大的损失承担责任。</w:t>
      </w:r>
    </w:p>
    <w:p w14:paraId="5A3EC97B">
      <w:pPr>
        <w:pStyle w:val="4"/>
        <w:pageBreakBefore w:val="0"/>
        <w:kinsoku/>
        <w:overflowPunct/>
        <w:topLinePunct w:val="0"/>
        <w:bidi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21.3.4 因不可抗力解除合同</w:t>
      </w:r>
    </w:p>
    <w:p w14:paraId="47028D9D">
      <w:pPr>
        <w:pStyle w:val="4"/>
        <w:pageBreakBefore w:val="0"/>
        <w:kinsoku/>
        <w:overflowPunct/>
        <w:topLinePunct w:val="0"/>
        <w:bidi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合同解除后，发包人应在商定或确定发包人应支付款项后28天内完成款项的支付。</w:t>
      </w:r>
    </w:p>
    <w:p w14:paraId="39EDF328">
      <w:pPr>
        <w:pStyle w:val="4"/>
        <w:pageBreakBefore w:val="0"/>
        <w:kinsoku/>
        <w:overflowPunct/>
        <w:topLinePunct w:val="0"/>
        <w:bidi w:val="0"/>
        <w:spacing w:line="360" w:lineRule="auto"/>
        <w:ind w:firstLine="422" w:firstLineChars="200"/>
        <w:rPr>
          <w:rFonts w:hint="eastAsia" w:ascii="宋体" w:hAnsi="宋体" w:eastAsia="宋体" w:cs="宋体"/>
          <w:b/>
          <w:bCs/>
          <w:color w:val="auto"/>
          <w:kern w:val="0"/>
          <w:szCs w:val="21"/>
          <w:highlight w:val="none"/>
        </w:rPr>
      </w:pPr>
      <w:bookmarkStart w:id="331" w:name="_Toc33183789"/>
      <w:bookmarkStart w:id="332" w:name="_Toc18319"/>
      <w:bookmarkStart w:id="333" w:name="_Toc136350405"/>
      <w:bookmarkStart w:id="334" w:name="_Toc59810425"/>
      <w:r>
        <w:rPr>
          <w:rFonts w:hint="eastAsia" w:ascii="宋体" w:hAnsi="宋体" w:eastAsia="宋体" w:cs="宋体"/>
          <w:b/>
          <w:bCs/>
          <w:color w:val="auto"/>
          <w:kern w:val="0"/>
          <w:szCs w:val="21"/>
          <w:highlight w:val="none"/>
        </w:rPr>
        <w:t>22. 违约</w:t>
      </w:r>
      <w:bookmarkEnd w:id="331"/>
      <w:bookmarkEnd w:id="332"/>
      <w:bookmarkEnd w:id="333"/>
      <w:bookmarkEnd w:id="334"/>
    </w:p>
    <w:p w14:paraId="4AEE7D75">
      <w:pPr>
        <w:pStyle w:val="4"/>
        <w:pageBreakBefore w:val="0"/>
        <w:kinsoku/>
        <w:overflowPunct/>
        <w:topLinePunct w:val="0"/>
        <w:bidi w:val="0"/>
        <w:spacing w:line="360" w:lineRule="auto"/>
        <w:ind w:firstLine="420" w:firstLineChars="200"/>
        <w:rPr>
          <w:rFonts w:hint="eastAsia" w:ascii="宋体" w:hAnsi="宋体" w:eastAsia="宋体" w:cs="宋体"/>
          <w:color w:val="auto"/>
          <w:kern w:val="0"/>
          <w:szCs w:val="21"/>
          <w:highlight w:val="none"/>
        </w:rPr>
      </w:pPr>
      <w:bookmarkStart w:id="335" w:name="_Toc33183790"/>
      <w:r>
        <w:rPr>
          <w:rFonts w:hint="eastAsia" w:ascii="宋体" w:hAnsi="宋体" w:eastAsia="宋体" w:cs="宋体"/>
          <w:color w:val="auto"/>
          <w:kern w:val="0"/>
          <w:szCs w:val="21"/>
          <w:highlight w:val="none"/>
        </w:rPr>
        <w:t>22.1 承包人违约</w:t>
      </w:r>
      <w:bookmarkEnd w:id="335"/>
    </w:p>
    <w:p w14:paraId="1E847173">
      <w:pPr>
        <w:pStyle w:val="4"/>
        <w:pageBreakBefore w:val="0"/>
        <w:kinsoku/>
        <w:overflowPunct/>
        <w:topLinePunct w:val="0"/>
        <w:bidi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22.1.1 承包人违约的情形</w:t>
      </w:r>
    </w:p>
    <w:p w14:paraId="563FF139">
      <w:pPr>
        <w:pStyle w:val="4"/>
        <w:pageBreakBefore w:val="0"/>
        <w:kinsoku/>
        <w:overflowPunct/>
        <w:topLinePunct w:val="0"/>
        <w:bidi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除通用合同条款约定外，承包人违约的其他情形：</w:t>
      </w:r>
    </w:p>
    <w:p w14:paraId="02A16A10">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（1）承包人未按合同约定提交履约担保、低价风险担保或质量保证金的；</w:t>
      </w:r>
    </w:p>
    <w:p w14:paraId="201CF9D6">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（2）承包人未能按期开工的；</w:t>
      </w:r>
    </w:p>
    <w:p w14:paraId="1CC1EDA1">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（3）承包人未按投标文件或监理人的要求及时配备称职的主要管理人员的，或承包人未按经审定的施工组织设计配备或更换关键施工设备的；</w:t>
      </w:r>
    </w:p>
    <w:p w14:paraId="060768B2">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（4）承包人有安全问题或有违反安全管理规章制度情况的；</w:t>
      </w:r>
    </w:p>
    <w:p w14:paraId="0D75F328">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（5）承包人在缺陷责任期及保修期内，未能在合理期限对工程缺陷进行修复，或拒绝按发包人要求进行修复的；</w:t>
      </w:r>
    </w:p>
    <w:p w14:paraId="77682F83">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（6）承包人拖欠其工人或所雇人员工资或报酬，导致其工人或所雇人员向有关部门投诉、控告、检举或以聚集等方式讨要工资或报酬的；</w:t>
      </w:r>
    </w:p>
    <w:p w14:paraId="200C5789">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（7）承包人不配合发包人、监理人及发包人委托的工程造价咨询服务单位结算审核或承包人其他原因导致未按期完成工程竣（完）工结算的；</w:t>
      </w:r>
    </w:p>
    <w:p w14:paraId="4CFDCE36">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（8）承包人违反合同约定进行转包或违法分包的；</w:t>
      </w:r>
    </w:p>
    <w:p w14:paraId="13AEB363">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（9）承包人未按合同约定移交全部或部分工作的；</w:t>
      </w:r>
    </w:p>
    <w:p w14:paraId="056026C6">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u w:val="none"/>
        </w:rPr>
      </w:pPr>
      <w:r>
        <w:rPr>
          <w:rFonts w:hint="eastAsia" w:ascii="宋体" w:hAnsi="宋体" w:cs="宋体"/>
          <w:color w:val="auto"/>
          <w:kern w:val="0"/>
          <w:szCs w:val="21"/>
          <w:highlight w:val="none"/>
          <w:u w:val="none"/>
        </w:rPr>
        <w:t>（10）承包人未按合同约定购买保险的；</w:t>
      </w:r>
    </w:p>
    <w:p w14:paraId="476E15A0">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（11）项目经理若有以下情形，属于承包人违约：</w:t>
      </w:r>
    </w:p>
    <w:p w14:paraId="32A2E920">
      <w:pPr>
        <w:pStyle w:val="12"/>
        <w:pageBreakBefore w:val="0"/>
        <w:kinsoku/>
        <w:overflowPunct/>
        <w:topLinePunct w:val="0"/>
        <w:bidi w:val="0"/>
        <w:snapToGrid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1）每月在施工现场的天数少于约定天数的；</w:t>
      </w:r>
    </w:p>
    <w:p w14:paraId="3A36FEF9">
      <w:pPr>
        <w:pStyle w:val="12"/>
        <w:pageBreakBefore w:val="0"/>
        <w:kinsoku/>
        <w:overflowPunct/>
        <w:topLinePunct w:val="0"/>
        <w:bidi w:val="0"/>
        <w:snapToGrid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2）承包人未提交项目经理劳动合同和社会保险证明的；</w:t>
      </w:r>
    </w:p>
    <w:p w14:paraId="2DCBBD2E">
      <w:pPr>
        <w:pStyle w:val="12"/>
        <w:pageBreakBefore w:val="0"/>
        <w:kinsoku/>
        <w:overflowPunct/>
        <w:topLinePunct w:val="0"/>
        <w:bidi w:val="0"/>
        <w:snapToGrid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3）未经批准，擅自离开施工现场（超过约定时间）的；</w:t>
      </w:r>
    </w:p>
    <w:p w14:paraId="40A5BEB9">
      <w:pPr>
        <w:pStyle w:val="12"/>
        <w:pageBreakBefore w:val="0"/>
        <w:kinsoku/>
        <w:overflowPunct/>
        <w:topLinePunct w:val="0"/>
        <w:bidi w:val="0"/>
        <w:snapToGrid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4）未经批准，擅自变更项目经理的；</w:t>
      </w:r>
    </w:p>
    <w:p w14:paraId="70993BD4">
      <w:pPr>
        <w:pStyle w:val="12"/>
        <w:pageBreakBefore w:val="0"/>
        <w:kinsoku/>
        <w:overflowPunct/>
        <w:topLinePunct w:val="0"/>
        <w:bidi w:val="0"/>
        <w:snapToGrid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5）发包人有正当理由认为项目经理不称职/不履职，且承包人在约定时间内不予更换的；</w:t>
      </w:r>
    </w:p>
    <w:p w14:paraId="6C11FB88">
      <w:pPr>
        <w:pStyle w:val="12"/>
        <w:pageBreakBefore w:val="0"/>
        <w:kinsoku/>
        <w:overflowPunct/>
        <w:topLinePunct w:val="0"/>
        <w:bidi w:val="0"/>
        <w:snapToGrid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6）其他双方约定的情形。</w:t>
      </w:r>
    </w:p>
    <w:p w14:paraId="361937B7">
      <w:pPr>
        <w:pageBreakBefore w:val="0"/>
        <w:kinsoku/>
        <w:overflowPunct/>
        <w:topLinePunct w:val="0"/>
        <w:bidi w:val="0"/>
        <w:snapToGrid w:val="0"/>
        <w:spacing w:line="360" w:lineRule="auto"/>
        <w:ind w:left="480"/>
        <w:jc w:val="left"/>
        <w:rPr>
          <w:rFonts w:ascii="宋体" w:hAnsi="宋体" w:cs="宋体"/>
          <w:color w:val="auto"/>
          <w:kern w:val="0"/>
          <w:szCs w:val="21"/>
          <w:highlight w:val="none"/>
        </w:rPr>
      </w:pPr>
      <w:r>
        <w:rPr>
          <w:rFonts w:hint="eastAsia" w:ascii="宋体" w:hAnsi="宋体" w:cs="宋体"/>
          <w:color w:val="auto"/>
          <w:kern w:val="0"/>
          <w:szCs w:val="21"/>
          <w:highlight w:val="none"/>
        </w:rPr>
        <w:t>（12）技术负责人若有以下情形，属于承包人违约：</w:t>
      </w:r>
    </w:p>
    <w:p w14:paraId="0E77A315">
      <w:pPr>
        <w:pStyle w:val="12"/>
        <w:pageBreakBefore w:val="0"/>
        <w:kinsoku/>
        <w:overflowPunct/>
        <w:topLinePunct w:val="0"/>
        <w:bidi w:val="0"/>
        <w:snapToGrid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1）每月在施工现场的天数少于约定天数的；</w:t>
      </w:r>
    </w:p>
    <w:p w14:paraId="4A6243E6">
      <w:pPr>
        <w:pStyle w:val="12"/>
        <w:pageBreakBefore w:val="0"/>
        <w:kinsoku/>
        <w:overflowPunct/>
        <w:topLinePunct w:val="0"/>
        <w:bidi w:val="0"/>
        <w:snapToGrid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2）承包人未提交项目经理劳动合同和社会保险证明的；</w:t>
      </w:r>
    </w:p>
    <w:p w14:paraId="2ED08251">
      <w:pPr>
        <w:pStyle w:val="12"/>
        <w:pageBreakBefore w:val="0"/>
        <w:kinsoku/>
        <w:overflowPunct/>
        <w:topLinePunct w:val="0"/>
        <w:bidi w:val="0"/>
        <w:snapToGrid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3）未经批准，擅自离开施工现场（超过约定时间）的；</w:t>
      </w:r>
    </w:p>
    <w:p w14:paraId="64CFD1E6">
      <w:pPr>
        <w:pStyle w:val="12"/>
        <w:pageBreakBefore w:val="0"/>
        <w:kinsoku/>
        <w:overflowPunct/>
        <w:topLinePunct w:val="0"/>
        <w:bidi w:val="0"/>
        <w:snapToGrid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4）未经批准，擅自变更技术负责人的；</w:t>
      </w:r>
    </w:p>
    <w:p w14:paraId="35345B5D">
      <w:pPr>
        <w:pStyle w:val="12"/>
        <w:pageBreakBefore w:val="0"/>
        <w:kinsoku/>
        <w:overflowPunct/>
        <w:topLinePunct w:val="0"/>
        <w:bidi w:val="0"/>
        <w:snapToGrid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5）发包人有正当理由认为技术负责人不称职/不履职，且承包人在约定时间内不予更换的；</w:t>
      </w:r>
    </w:p>
    <w:p w14:paraId="5E68C841">
      <w:pPr>
        <w:pStyle w:val="12"/>
        <w:pageBreakBefore w:val="0"/>
        <w:kinsoku/>
        <w:overflowPunct/>
        <w:topLinePunct w:val="0"/>
        <w:bidi w:val="0"/>
        <w:snapToGrid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6）其他双方约定的情形。</w:t>
      </w:r>
    </w:p>
    <w:p w14:paraId="76D0524E">
      <w:pPr>
        <w:pageBreakBefore w:val="0"/>
        <w:kinsoku/>
        <w:overflowPunct/>
        <w:topLinePunct w:val="0"/>
        <w:bidi w:val="0"/>
        <w:snapToGrid w:val="0"/>
        <w:spacing w:line="360" w:lineRule="auto"/>
        <w:ind w:left="480"/>
        <w:jc w:val="left"/>
        <w:rPr>
          <w:rFonts w:ascii="宋体" w:hAnsi="宋体" w:cs="宋体"/>
          <w:color w:val="auto"/>
          <w:kern w:val="0"/>
          <w:szCs w:val="21"/>
          <w:highlight w:val="none"/>
        </w:rPr>
      </w:pPr>
      <w:r>
        <w:rPr>
          <w:rFonts w:hint="eastAsia" w:ascii="宋体" w:hAnsi="宋体" w:cs="宋体"/>
          <w:color w:val="auto"/>
          <w:kern w:val="0"/>
          <w:szCs w:val="21"/>
          <w:highlight w:val="none"/>
        </w:rPr>
        <w:t>（13）主要施工管理人员若有以下情形，属于承包人违约：</w:t>
      </w:r>
    </w:p>
    <w:p w14:paraId="57524AC9">
      <w:pPr>
        <w:pStyle w:val="12"/>
        <w:pageBreakBefore w:val="0"/>
        <w:kinsoku/>
        <w:overflowPunct/>
        <w:topLinePunct w:val="0"/>
        <w:bidi w:val="0"/>
        <w:snapToGrid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1）承包人未提交项目经理劳动合同和社会保险证明的；</w:t>
      </w:r>
    </w:p>
    <w:p w14:paraId="030501B0">
      <w:pPr>
        <w:pStyle w:val="12"/>
        <w:pageBreakBefore w:val="0"/>
        <w:kinsoku/>
        <w:overflowPunct/>
        <w:topLinePunct w:val="0"/>
        <w:bidi w:val="0"/>
        <w:snapToGrid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2）未经批准，擅自离开施工现场（超过约定时间）的；</w:t>
      </w:r>
    </w:p>
    <w:p w14:paraId="76363FF1">
      <w:pPr>
        <w:pStyle w:val="12"/>
        <w:pageBreakBefore w:val="0"/>
        <w:kinsoku/>
        <w:overflowPunct/>
        <w:topLinePunct w:val="0"/>
        <w:bidi w:val="0"/>
        <w:snapToGrid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3）未经批准，擅自变更主要施工管理人员的；</w:t>
      </w:r>
    </w:p>
    <w:p w14:paraId="2DBEFED5">
      <w:pPr>
        <w:pStyle w:val="12"/>
        <w:pageBreakBefore w:val="0"/>
        <w:kinsoku/>
        <w:overflowPunct/>
        <w:topLinePunct w:val="0"/>
        <w:bidi w:val="0"/>
        <w:snapToGrid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4）发包人有正当理由认为主要施工管理人员不称职/不履职，且承包人在约定时间内不予更换的；</w:t>
      </w:r>
    </w:p>
    <w:p w14:paraId="5396FF21">
      <w:pPr>
        <w:pStyle w:val="12"/>
        <w:pageBreakBefore w:val="0"/>
        <w:kinsoku/>
        <w:overflowPunct/>
        <w:topLinePunct w:val="0"/>
        <w:bidi w:val="0"/>
        <w:snapToGrid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5）其他双方约定的情形。</w:t>
      </w:r>
    </w:p>
    <w:p w14:paraId="52E2964F">
      <w:pPr>
        <w:pageBreakBefore w:val="0"/>
        <w:kinsoku/>
        <w:overflowPunct/>
        <w:topLinePunct w:val="0"/>
        <w:bidi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22.1.2对承包人违约的处理</w:t>
      </w:r>
    </w:p>
    <w:p w14:paraId="2B4E4C53">
      <w:pPr>
        <w:pageBreakBefore w:val="0"/>
        <w:kinsoku/>
        <w:overflowPunct/>
        <w:topLinePunct w:val="0"/>
        <w:bidi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承包人违约责任的承担方式和计算方法：</w:t>
      </w:r>
    </w:p>
    <w:p w14:paraId="5725C968">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（1）承包人未按合同约定提交履约担保、低价风险担保、质量保证金的违约责任：承包人应支付违约金,违约金的计算方法：每延误1天，承包人按</w:t>
      </w:r>
      <w:r>
        <w:rPr>
          <w:rFonts w:hint="eastAsia" w:ascii="宋体" w:hAnsi="宋体" w:cs="宋体"/>
          <w:color w:val="auto"/>
          <w:kern w:val="0"/>
          <w:szCs w:val="21"/>
          <w:highlight w:val="none"/>
          <w:u w:val="single"/>
        </w:rPr>
        <w:t xml:space="preserve"> 5000元/天</w:t>
      </w:r>
      <w:r>
        <w:rPr>
          <w:rFonts w:hint="eastAsia" w:ascii="宋体" w:hAnsi="宋体" w:cs="宋体"/>
          <w:color w:val="auto"/>
          <w:kern w:val="0"/>
          <w:szCs w:val="21"/>
          <w:highlight w:val="none"/>
        </w:rPr>
        <w:t>计算违约金，累计违约金上限：</w:t>
      </w:r>
      <w:r>
        <w:rPr>
          <w:rFonts w:hint="eastAsia" w:ascii="宋体" w:hAnsi="宋体" w:cs="宋体"/>
          <w:color w:val="auto"/>
          <w:kern w:val="0"/>
          <w:szCs w:val="21"/>
          <w:highlight w:val="none"/>
          <w:u w:val="single"/>
        </w:rPr>
        <w:t xml:space="preserve"> 10</w:t>
      </w:r>
      <w:r>
        <w:rPr>
          <w:rFonts w:hint="eastAsia" w:ascii="宋体" w:hAnsi="宋体" w:cs="宋体"/>
          <w:color w:val="auto"/>
          <w:kern w:val="0"/>
          <w:szCs w:val="21"/>
          <w:highlight w:val="none"/>
        </w:rPr>
        <w:t>万元（不超过签约合同价的3%）。</w:t>
      </w:r>
    </w:p>
    <w:p w14:paraId="1E1F4112">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（2）承包人违反合同约定进行转包或违法分包的违约责任：按照违反合同约定进行转包和（或）违法分包相应转包和（或）分包合同的合同金额的</w:t>
      </w:r>
      <w:r>
        <w:rPr>
          <w:rFonts w:hint="eastAsia" w:ascii="宋体" w:hAnsi="宋体" w:cs="宋体"/>
          <w:color w:val="auto"/>
          <w:kern w:val="0"/>
          <w:szCs w:val="21"/>
          <w:highlight w:val="none"/>
          <w:u w:val="single"/>
        </w:rPr>
        <w:t xml:space="preserve"> 5%</w:t>
      </w:r>
      <w:r>
        <w:rPr>
          <w:rFonts w:hint="eastAsia" w:ascii="宋体" w:hAnsi="宋体" w:cs="宋体"/>
          <w:color w:val="auto"/>
          <w:kern w:val="0"/>
          <w:szCs w:val="21"/>
          <w:highlight w:val="none"/>
        </w:rPr>
        <w:t>支付违约金，违法转/分包商应在7天内撤离出场。</w:t>
      </w:r>
    </w:p>
    <w:p w14:paraId="75B2BB4A">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（3）承包人违反合同约定采购和使用不合格的材料和工程设备的违约责任：按照违反合同约定采购和使用不合格的材料和（或）工程设备相应合同金额的</w:t>
      </w:r>
      <w:r>
        <w:rPr>
          <w:rFonts w:hint="eastAsia" w:ascii="宋体" w:hAnsi="宋体" w:cs="宋体"/>
          <w:color w:val="auto"/>
          <w:kern w:val="0"/>
          <w:szCs w:val="21"/>
          <w:highlight w:val="none"/>
          <w:u w:val="single"/>
          <w:lang w:val="en-US" w:eastAsia="zh-CN"/>
        </w:rPr>
        <w:t>10</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支付违约金。</w:t>
      </w:r>
    </w:p>
    <w:p w14:paraId="5ED82F51">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宋体"/>
          <w:color w:val="auto"/>
          <w:kern w:val="0"/>
          <w:szCs w:val="21"/>
          <w:highlight w:val="none"/>
          <w:u w:val="single"/>
        </w:rPr>
        <w:t>10%</w:t>
      </w:r>
      <w:r>
        <w:rPr>
          <w:rFonts w:hint="eastAsia" w:ascii="宋体" w:hAnsi="宋体" w:cs="宋体"/>
          <w:color w:val="auto"/>
          <w:kern w:val="0"/>
          <w:szCs w:val="21"/>
          <w:highlight w:val="none"/>
        </w:rPr>
        <w:t>支付违约金。</w:t>
      </w:r>
    </w:p>
    <w:p w14:paraId="0A358218">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宋体"/>
          <w:color w:val="auto"/>
          <w:kern w:val="0"/>
          <w:szCs w:val="21"/>
          <w:highlight w:val="none"/>
          <w:u w:val="single"/>
          <w:lang w:val="en-US" w:eastAsia="zh-CN"/>
        </w:rPr>
        <w:t>3</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支付违约金。</w:t>
      </w:r>
    </w:p>
    <w:p w14:paraId="62DD3C6F">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（6）因承包人原因造成工期延误的违约承担方式和计算方法：由承包人承担由此增加的费用，由此导致工期延误的，工期不予顺延；逾期交工违约金的计算方法：每延误1天，承包人按</w:t>
      </w:r>
      <w:r>
        <w:rPr>
          <w:rFonts w:hint="eastAsia" w:ascii="宋体" w:hAnsi="宋体" w:cs="宋体"/>
          <w:color w:val="auto"/>
          <w:kern w:val="0"/>
          <w:szCs w:val="21"/>
          <w:highlight w:val="none"/>
          <w:u w:val="single"/>
        </w:rPr>
        <w:t xml:space="preserve"> 5000元/天</w:t>
      </w:r>
      <w:r>
        <w:rPr>
          <w:rFonts w:hint="eastAsia" w:ascii="宋体" w:hAnsi="宋体" w:cs="宋体"/>
          <w:color w:val="auto"/>
          <w:kern w:val="0"/>
          <w:szCs w:val="21"/>
          <w:highlight w:val="none"/>
        </w:rPr>
        <w:t>计算逾期交工违约金，累计违约金上限：</w:t>
      </w:r>
      <w:r>
        <w:rPr>
          <w:rFonts w:hint="eastAsia" w:ascii="宋体" w:hAnsi="宋体" w:cs="宋体"/>
          <w:color w:val="auto"/>
          <w:kern w:val="0"/>
          <w:szCs w:val="21"/>
          <w:highlight w:val="none"/>
          <w:u w:val="single"/>
        </w:rPr>
        <w:t xml:space="preserve">  1</w:t>
      </w:r>
      <w:r>
        <w:rPr>
          <w:rFonts w:hint="eastAsia" w:ascii="宋体" w:hAnsi="宋体" w:cs="宋体"/>
          <w:color w:val="auto"/>
          <w:kern w:val="0"/>
          <w:szCs w:val="21"/>
          <w:highlight w:val="none"/>
          <w:u w:val="single"/>
          <w:lang w:val="en-US" w:eastAsia="zh-CN"/>
        </w:rPr>
        <w:t>0</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万元（不超过签约合同价的3</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%）；承包人支付逾期交工违约金后，不免除承包人继续完成工程及修补缺陷的义务。</w:t>
      </w:r>
    </w:p>
    <w:p w14:paraId="67ED37B2">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（7）承包人在缺陷责任期及保修期内，未能在合理期限对工程缺陷进行修复，或拒绝按发包人要求进行修复的违约责任：按照发包人修复缺陷费用的</w:t>
      </w:r>
      <w:r>
        <w:rPr>
          <w:rFonts w:hint="eastAsia" w:ascii="宋体" w:hAnsi="宋体" w:cs="宋体"/>
          <w:color w:val="auto"/>
          <w:kern w:val="0"/>
          <w:szCs w:val="21"/>
          <w:highlight w:val="none"/>
          <w:u w:val="single"/>
        </w:rPr>
        <w:t>2%</w:t>
      </w:r>
      <w:r>
        <w:rPr>
          <w:rFonts w:hint="eastAsia" w:ascii="宋体" w:hAnsi="宋体" w:cs="宋体"/>
          <w:color w:val="auto"/>
          <w:kern w:val="0"/>
          <w:szCs w:val="21"/>
          <w:highlight w:val="none"/>
        </w:rPr>
        <w:t>支付违约金。</w:t>
      </w:r>
    </w:p>
    <w:p w14:paraId="2F31CBE7">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（8）承包人明确表示或者以其行为表明不履行合同主要义务的违约责任：按签约合同价的</w:t>
      </w:r>
      <w:r>
        <w:rPr>
          <w:rFonts w:hint="eastAsia" w:ascii="宋体" w:hAnsi="宋体" w:cs="宋体"/>
          <w:color w:val="auto"/>
          <w:kern w:val="0"/>
          <w:szCs w:val="21"/>
          <w:highlight w:val="none"/>
          <w:u w:val="single"/>
        </w:rPr>
        <w:t>10%</w:t>
      </w:r>
      <w:r>
        <w:rPr>
          <w:rFonts w:hint="eastAsia" w:ascii="宋体" w:hAnsi="宋体" w:cs="宋体"/>
          <w:color w:val="auto"/>
          <w:kern w:val="0"/>
          <w:szCs w:val="21"/>
          <w:highlight w:val="none"/>
        </w:rPr>
        <w:t>支付违约金。</w:t>
      </w:r>
    </w:p>
    <w:p w14:paraId="24451182">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（9）承包人未能按照合同约定履行其他义务的违约责任：按</w:t>
      </w:r>
      <w:r>
        <w:rPr>
          <w:rFonts w:hint="eastAsia" w:ascii="宋体" w:hAnsi="宋体" w:cs="宋体"/>
          <w:color w:val="auto"/>
          <w:kern w:val="0"/>
          <w:szCs w:val="21"/>
          <w:highlight w:val="none"/>
          <w:u w:val="single"/>
        </w:rPr>
        <w:t>500元/次</w:t>
      </w:r>
      <w:r>
        <w:rPr>
          <w:rFonts w:hint="eastAsia" w:ascii="宋体" w:hAnsi="宋体" w:cs="宋体"/>
          <w:color w:val="auto"/>
          <w:kern w:val="0"/>
          <w:szCs w:val="21"/>
          <w:highlight w:val="none"/>
        </w:rPr>
        <w:t>支付违约金。</w:t>
      </w:r>
    </w:p>
    <w:p w14:paraId="2AB40F9F">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（10）承包人未能按期开工的违约责任：按合同价</w:t>
      </w:r>
      <w:r>
        <w:rPr>
          <w:rFonts w:hint="eastAsia" w:ascii="宋体" w:hAnsi="宋体" w:cs="宋体"/>
          <w:color w:val="auto"/>
          <w:kern w:val="0"/>
          <w:szCs w:val="21"/>
          <w:highlight w:val="none"/>
          <w:u w:val="single"/>
        </w:rPr>
        <w:t>0.2‰</w:t>
      </w:r>
      <w:r>
        <w:rPr>
          <w:rFonts w:hint="eastAsia" w:ascii="宋体" w:hAnsi="宋体" w:cs="宋体"/>
          <w:color w:val="auto"/>
          <w:kern w:val="0"/>
          <w:szCs w:val="21"/>
          <w:highlight w:val="none"/>
        </w:rPr>
        <w:t>/天支付违约金，本项违约金累计限额为签约合同价的</w:t>
      </w:r>
      <w:r>
        <w:rPr>
          <w:rFonts w:hint="eastAsia" w:ascii="宋体" w:hAnsi="宋体" w:cs="宋体"/>
          <w:color w:val="auto"/>
          <w:kern w:val="0"/>
          <w:szCs w:val="21"/>
          <w:highlight w:val="none"/>
          <w:u w:val="single"/>
        </w:rPr>
        <w:t xml:space="preserve"> 1 %</w:t>
      </w:r>
      <w:r>
        <w:rPr>
          <w:rFonts w:hint="eastAsia" w:ascii="宋体" w:hAnsi="宋体" w:cs="宋体"/>
          <w:color w:val="auto"/>
          <w:kern w:val="0"/>
          <w:szCs w:val="21"/>
          <w:highlight w:val="none"/>
        </w:rPr>
        <w:t>。</w:t>
      </w:r>
    </w:p>
    <w:p w14:paraId="12A63694">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（11）承包人未按经审定的施工组织设计配备或更换关键施工设备的违约责任：按</w:t>
      </w:r>
      <w:r>
        <w:rPr>
          <w:rFonts w:hint="eastAsia" w:ascii="宋体" w:hAnsi="宋体" w:cs="宋体"/>
          <w:color w:val="auto"/>
          <w:kern w:val="0"/>
          <w:szCs w:val="21"/>
          <w:highlight w:val="none"/>
          <w:u w:val="single"/>
        </w:rPr>
        <w:t>5000元/台·次</w:t>
      </w:r>
      <w:r>
        <w:rPr>
          <w:rFonts w:hint="eastAsia" w:ascii="宋体" w:hAnsi="宋体" w:cs="宋体"/>
          <w:color w:val="auto"/>
          <w:kern w:val="0"/>
          <w:szCs w:val="21"/>
          <w:highlight w:val="none"/>
        </w:rPr>
        <w:t>支付违约金。</w:t>
      </w:r>
    </w:p>
    <w:p w14:paraId="05913242">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（12）承包人有安全问题或有违反规章制度情况的违约责任：根据具体情节，按签约合同价的</w:t>
      </w:r>
      <w:r>
        <w:rPr>
          <w:rFonts w:hint="eastAsia" w:ascii="宋体" w:hAnsi="宋体" w:cs="宋体"/>
          <w:color w:val="auto"/>
          <w:kern w:val="0"/>
          <w:szCs w:val="21"/>
          <w:highlight w:val="none"/>
          <w:u w:val="single"/>
        </w:rPr>
        <w:t>0.5‰～4‰/次</w:t>
      </w:r>
      <w:r>
        <w:rPr>
          <w:rFonts w:hint="eastAsia" w:ascii="宋体" w:hAnsi="宋体" w:cs="宋体"/>
          <w:color w:val="auto"/>
          <w:kern w:val="0"/>
          <w:szCs w:val="21"/>
          <w:highlight w:val="none"/>
        </w:rPr>
        <w:t>支付违约金（累计不超过签约合同价的</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w:t>
      </w:r>
    </w:p>
    <w:p w14:paraId="34BC11A1">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cs="宋体"/>
          <w:color w:val="auto"/>
          <w:kern w:val="0"/>
          <w:szCs w:val="21"/>
          <w:highlight w:val="none"/>
          <w:u w:val="single"/>
        </w:rPr>
        <w:t>50000元/次</w:t>
      </w:r>
      <w:r>
        <w:rPr>
          <w:rFonts w:hint="eastAsia" w:ascii="宋体" w:hAnsi="宋体" w:cs="宋体"/>
          <w:color w:val="auto"/>
          <w:kern w:val="0"/>
          <w:szCs w:val="21"/>
          <w:highlight w:val="none"/>
        </w:rPr>
        <w:t>支付违约金。</w:t>
      </w:r>
    </w:p>
    <w:p w14:paraId="528544A1">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（14）承包人不配合发包人、监理人及发包人委托的工程造价咨询服务单位结算审核的违约责任：根据具体情节，按</w:t>
      </w:r>
      <w:r>
        <w:rPr>
          <w:rFonts w:hint="eastAsia" w:ascii="宋体" w:hAnsi="宋体" w:cs="宋体"/>
          <w:color w:val="auto"/>
          <w:kern w:val="0"/>
          <w:szCs w:val="21"/>
          <w:highlight w:val="none"/>
          <w:u w:val="single"/>
        </w:rPr>
        <w:t>10000元/次</w:t>
      </w:r>
      <w:r>
        <w:rPr>
          <w:rFonts w:hint="eastAsia" w:ascii="宋体" w:hAnsi="宋体" w:cs="宋体"/>
          <w:color w:val="auto"/>
          <w:kern w:val="0"/>
          <w:szCs w:val="21"/>
          <w:highlight w:val="none"/>
        </w:rPr>
        <w:t>支付违约金；因承包人原因未按约定期限完成工程完工结算的责任：由承包人自行承担由此增加的费用，且每延误一天，按</w:t>
      </w:r>
      <w:r>
        <w:rPr>
          <w:rFonts w:hint="eastAsia" w:ascii="宋体" w:hAnsi="宋体" w:cs="宋体"/>
          <w:color w:val="auto"/>
          <w:kern w:val="0"/>
          <w:szCs w:val="21"/>
          <w:highlight w:val="none"/>
          <w:u w:val="single"/>
        </w:rPr>
        <w:t>500</w:t>
      </w:r>
      <w:r>
        <w:rPr>
          <w:rFonts w:hint="eastAsia" w:ascii="宋体" w:hAnsi="宋体" w:cs="宋体"/>
          <w:color w:val="auto"/>
          <w:kern w:val="0"/>
          <w:szCs w:val="21"/>
          <w:highlight w:val="none"/>
        </w:rPr>
        <w:t>元/天支付违约金。</w:t>
      </w:r>
    </w:p>
    <w:p w14:paraId="652021C0">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（15）承包人未按合同约定移交全部和部分工程的违约责任：由承包人承担工程照管、成品保护、保管等与工程有关的各种费用，并按结算金额或违约部分结算金额的</w:t>
      </w:r>
      <w:r>
        <w:rPr>
          <w:rFonts w:hint="eastAsia" w:ascii="宋体" w:hAnsi="宋体" w:cs="宋体"/>
          <w:color w:val="auto"/>
          <w:kern w:val="0"/>
          <w:szCs w:val="21"/>
          <w:highlight w:val="none"/>
          <w:u w:val="single"/>
        </w:rPr>
        <w:t>0.5‰</w:t>
      </w:r>
      <w:r>
        <w:rPr>
          <w:rFonts w:hint="eastAsia" w:ascii="宋体" w:hAnsi="宋体" w:cs="宋体"/>
          <w:color w:val="auto"/>
          <w:kern w:val="0"/>
          <w:szCs w:val="21"/>
          <w:highlight w:val="none"/>
        </w:rPr>
        <w:t>支付违约金。</w:t>
      </w:r>
    </w:p>
    <w:p w14:paraId="17D97248">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（16）承包人未按合同约定购买保险的违约责任</w:t>
      </w:r>
      <w:r>
        <w:rPr>
          <w:rFonts w:hint="eastAsia" w:ascii="宋体" w:hAnsi="宋体" w:cs="宋体"/>
          <w:color w:val="auto"/>
          <w:szCs w:val="21"/>
          <w:highlight w:val="none"/>
        </w:rPr>
        <w:t>：除按20.6.4项约定执行外，</w:t>
      </w:r>
      <w:r>
        <w:rPr>
          <w:rFonts w:hint="eastAsia" w:ascii="宋体" w:hAnsi="宋体" w:cs="宋体"/>
          <w:color w:val="auto"/>
          <w:kern w:val="0"/>
          <w:szCs w:val="21"/>
          <w:highlight w:val="none"/>
        </w:rPr>
        <w:t>每延迟1天，按</w:t>
      </w:r>
      <w:r>
        <w:rPr>
          <w:rFonts w:hint="eastAsia" w:ascii="宋体" w:hAnsi="宋体" w:cs="宋体"/>
          <w:color w:val="auto"/>
          <w:kern w:val="0"/>
          <w:szCs w:val="21"/>
          <w:highlight w:val="none"/>
          <w:u w:val="single"/>
        </w:rPr>
        <w:t>500</w:t>
      </w:r>
      <w:r>
        <w:rPr>
          <w:rFonts w:hint="eastAsia" w:ascii="宋体" w:hAnsi="宋体" w:cs="宋体"/>
          <w:color w:val="auto"/>
          <w:kern w:val="0"/>
          <w:szCs w:val="21"/>
          <w:highlight w:val="none"/>
        </w:rPr>
        <w:t>元/天支付违约金。</w:t>
      </w:r>
    </w:p>
    <w:p w14:paraId="68610BDF">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（17）发生第22.1.1条（11）、22.1.1条（12）、22.1.1条（13）违约情形的违约责任：除承担由此增加的费用和工期延误的责任，承包人应向发包人支付违约金：</w:t>
      </w:r>
    </w:p>
    <w:p w14:paraId="16E2B186">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1）项目经理违约承担方式和计算方法：对于第22.1.1条（11）的六种情形，每发现一次，根据具体情节，按</w:t>
      </w:r>
      <w:r>
        <w:rPr>
          <w:rFonts w:hint="eastAsia" w:ascii="宋体" w:hAnsi="宋体" w:cs="宋体"/>
          <w:color w:val="auto"/>
          <w:kern w:val="0"/>
          <w:szCs w:val="21"/>
          <w:highlight w:val="none"/>
          <w:u w:val="single"/>
        </w:rPr>
        <w:t>1000元/天·次</w:t>
      </w:r>
      <w:r>
        <w:rPr>
          <w:rFonts w:hint="eastAsia" w:ascii="宋体" w:hAnsi="宋体" w:cs="宋体"/>
          <w:color w:val="auto"/>
          <w:kern w:val="0"/>
          <w:szCs w:val="21"/>
          <w:highlight w:val="none"/>
        </w:rPr>
        <w:t>计算违约金；擅自更换项目经理的，按签约合同价的</w:t>
      </w:r>
      <w:r>
        <w:rPr>
          <w:rFonts w:hint="eastAsia" w:ascii="宋体" w:hAnsi="宋体" w:cs="宋体"/>
          <w:color w:val="auto"/>
          <w:kern w:val="0"/>
          <w:szCs w:val="21"/>
          <w:highlight w:val="none"/>
          <w:u w:val="single"/>
        </w:rPr>
        <w:t>（0.5～3）%/人·次</w:t>
      </w:r>
      <w:r>
        <w:rPr>
          <w:rFonts w:hint="eastAsia" w:ascii="宋体" w:hAnsi="宋体" w:cs="宋体"/>
          <w:color w:val="auto"/>
          <w:kern w:val="0"/>
          <w:szCs w:val="21"/>
          <w:highlight w:val="none"/>
        </w:rPr>
        <w:t>支付违约金，每次不低于20万，累计不超过200万。</w:t>
      </w:r>
    </w:p>
    <w:p w14:paraId="66D009B0">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2）主要技术负责人违约承担方式和计算方法：对于第22.1.1条（12）的六种情形，每发现一次，根据具体情节，按</w:t>
      </w:r>
      <w:r>
        <w:rPr>
          <w:rFonts w:hint="eastAsia" w:ascii="宋体" w:hAnsi="宋体" w:cs="宋体"/>
          <w:color w:val="auto"/>
          <w:kern w:val="0"/>
          <w:szCs w:val="21"/>
          <w:highlight w:val="none"/>
          <w:u w:val="single"/>
        </w:rPr>
        <w:t>1000</w:t>
      </w:r>
      <w:r>
        <w:rPr>
          <w:rFonts w:hint="eastAsia" w:ascii="宋体" w:hAnsi="宋体" w:cs="宋体"/>
          <w:color w:val="auto"/>
          <w:kern w:val="0"/>
          <w:szCs w:val="21"/>
          <w:highlight w:val="none"/>
        </w:rPr>
        <w:t>元/天·次计算违约金；擅自更换主要技术负责人的，按签约合同价的</w:t>
      </w:r>
      <w:r>
        <w:rPr>
          <w:rFonts w:hint="eastAsia" w:ascii="宋体" w:hAnsi="宋体" w:cs="宋体"/>
          <w:color w:val="auto"/>
          <w:kern w:val="0"/>
          <w:szCs w:val="21"/>
          <w:highlight w:val="none"/>
          <w:u w:val="single"/>
        </w:rPr>
        <w:t>（0.5～2）%</w:t>
      </w:r>
      <w:r>
        <w:rPr>
          <w:rFonts w:hint="eastAsia" w:ascii="宋体" w:hAnsi="宋体" w:cs="宋体"/>
          <w:color w:val="auto"/>
          <w:kern w:val="0"/>
          <w:szCs w:val="21"/>
          <w:highlight w:val="none"/>
        </w:rPr>
        <w:t>/人·次支付违约金，每次不低于10万，累计不超过100万。</w:t>
      </w:r>
    </w:p>
    <w:p w14:paraId="51329B2C">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3）主要施工管理人违约承担方式和计算方法：对于第22.1.1条（13）的五种情形，每发现一次，根据具体情节，按</w:t>
      </w:r>
      <w:r>
        <w:rPr>
          <w:rFonts w:hint="eastAsia" w:ascii="宋体" w:hAnsi="宋体" w:cs="宋体"/>
          <w:color w:val="auto"/>
          <w:kern w:val="0"/>
          <w:szCs w:val="21"/>
          <w:highlight w:val="none"/>
          <w:u w:val="single"/>
        </w:rPr>
        <w:t>500</w:t>
      </w:r>
      <w:r>
        <w:rPr>
          <w:rFonts w:hint="eastAsia" w:ascii="宋体" w:hAnsi="宋体" w:cs="宋体"/>
          <w:color w:val="auto"/>
          <w:kern w:val="0"/>
          <w:szCs w:val="21"/>
          <w:highlight w:val="none"/>
        </w:rPr>
        <w:t>元/天·次计算违约金；擅自更换主要技术负责人的，按签约合同价的</w:t>
      </w:r>
      <w:r>
        <w:rPr>
          <w:rFonts w:hint="eastAsia" w:ascii="宋体" w:hAnsi="宋体" w:cs="宋体"/>
          <w:color w:val="auto"/>
          <w:kern w:val="0"/>
          <w:szCs w:val="21"/>
          <w:highlight w:val="none"/>
          <w:u w:val="single"/>
        </w:rPr>
        <w:t>（0.5～1）%</w:t>
      </w:r>
      <w:r>
        <w:rPr>
          <w:rFonts w:hint="eastAsia" w:ascii="宋体" w:hAnsi="宋体" w:cs="宋体"/>
          <w:color w:val="auto"/>
          <w:kern w:val="0"/>
          <w:szCs w:val="21"/>
          <w:highlight w:val="none"/>
        </w:rPr>
        <w:t>/人·次支付违约金，累计不超过50万。</w:t>
      </w:r>
    </w:p>
    <w:p w14:paraId="3E124293">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（18）合同另有约定的，按照其约定。</w:t>
      </w:r>
    </w:p>
    <w:p w14:paraId="47BA812D">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22.1.2条（1）承担违约责任；并从应付或到期应付给承包人的任何款项中或采用其他方法，扣除该违约金或用于补足履约担保被提起后的补足金额。</w:t>
      </w:r>
    </w:p>
    <w:p w14:paraId="36D4E37C">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承包人必须及时纠正违约行为，满足合同要求，自行承担纠正违约行为的费用或损失，工期不予顺延，并承担由此给发包人造成的经济损失。</w:t>
      </w:r>
    </w:p>
    <w:p w14:paraId="7F2409E6">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承包人承担承包范围的工程质量、安全、环保责任，因承包人原因引起的质量、安全、环保等事故由承包人承担相应的法律后果。</w:t>
      </w:r>
    </w:p>
    <w:p w14:paraId="1CC6A554">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22.1.3 因承包人违约解除合同</w:t>
      </w:r>
    </w:p>
    <w:p w14:paraId="412CCB8E">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因承包人违约并致使合同目的不能实现的，发包人有权解除合同：</w:t>
      </w:r>
    </w:p>
    <w:p w14:paraId="09787AE7">
      <w:pPr>
        <w:pStyle w:val="12"/>
        <w:pageBreakBefore w:val="0"/>
        <w:kinsoku/>
        <w:overflowPunct/>
        <w:topLinePunct w:val="0"/>
        <w:bidi w:val="0"/>
        <w:spacing w:line="360" w:lineRule="auto"/>
        <w:ind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（1）未按合同约定延迟提供履约担保、低价风险担保、质量保证金超过14天的；</w:t>
      </w:r>
    </w:p>
    <w:p w14:paraId="7FC77659">
      <w:pPr>
        <w:pStyle w:val="12"/>
        <w:pageBreakBefore w:val="0"/>
        <w:kinsoku/>
        <w:overflowPunct/>
        <w:topLinePunct w:val="0"/>
        <w:bidi w:val="0"/>
        <w:spacing w:line="360" w:lineRule="auto"/>
        <w:ind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（2）未按合同约定购买保险且经催告后超过56天的；</w:t>
      </w:r>
    </w:p>
    <w:p w14:paraId="014B5BBE">
      <w:pPr>
        <w:pStyle w:val="12"/>
        <w:pageBreakBefore w:val="0"/>
        <w:kinsoku/>
        <w:overflowPunct/>
        <w:topLinePunct w:val="0"/>
        <w:bidi w:val="0"/>
        <w:spacing w:line="360" w:lineRule="auto"/>
        <w:ind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（3）因承包人原因导致开工时间累计延误超过56天的；</w:t>
      </w:r>
    </w:p>
    <w:p w14:paraId="1922326C">
      <w:pPr>
        <w:pStyle w:val="12"/>
        <w:pageBreakBefore w:val="0"/>
        <w:kinsoku/>
        <w:overflowPunct/>
        <w:topLinePunct w:val="0"/>
        <w:bidi w:val="0"/>
        <w:spacing w:line="360" w:lineRule="auto"/>
        <w:ind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（4）因承包人原因导致工期延误超过90天的；</w:t>
      </w:r>
    </w:p>
    <w:p w14:paraId="1A332690">
      <w:pPr>
        <w:pStyle w:val="12"/>
        <w:pageBreakBefore w:val="0"/>
        <w:kinsoku/>
        <w:overflowPunct/>
        <w:topLinePunct w:val="0"/>
        <w:bidi w:val="0"/>
        <w:spacing w:line="360" w:lineRule="auto"/>
        <w:ind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（5）发生22.1.2（13）目的情形2次的；</w:t>
      </w:r>
    </w:p>
    <w:p w14:paraId="43C90E24">
      <w:pPr>
        <w:pStyle w:val="12"/>
        <w:pageBreakBefore w:val="0"/>
        <w:kinsoku/>
        <w:overflowPunct/>
        <w:topLinePunct w:val="0"/>
        <w:bidi w:val="0"/>
        <w:spacing w:line="360" w:lineRule="auto"/>
        <w:ind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（6）发生第25.1款〔退出机制〕约定的情形的；</w:t>
      </w:r>
    </w:p>
    <w:p w14:paraId="6053689F">
      <w:pPr>
        <w:pStyle w:val="12"/>
        <w:pageBreakBefore w:val="0"/>
        <w:kinsoku/>
        <w:overflowPunct/>
        <w:topLinePunct w:val="0"/>
        <w:bidi w:val="0"/>
        <w:spacing w:line="360" w:lineRule="auto"/>
        <w:ind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（7）监理人发出整改通知后，承包人在监理人限定的期限内仍不纠正违约行为的；</w:t>
      </w:r>
    </w:p>
    <w:p w14:paraId="637888A7">
      <w:pPr>
        <w:pStyle w:val="12"/>
        <w:pageBreakBefore w:val="0"/>
        <w:kinsoku/>
        <w:overflowPunct/>
        <w:topLinePunct w:val="0"/>
        <w:bidi w:val="0"/>
        <w:spacing w:line="360" w:lineRule="auto"/>
        <w:ind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（8）发包人进入清算或者严重资不抵债且无法履行合同的；</w:t>
      </w:r>
    </w:p>
    <w:p w14:paraId="48CD6E47">
      <w:pPr>
        <w:pStyle w:val="12"/>
        <w:pageBreakBefore w:val="0"/>
        <w:kinsoku/>
        <w:overflowPunct/>
        <w:topLinePunct w:val="0"/>
        <w:bidi w:val="0"/>
        <w:spacing w:line="360" w:lineRule="auto"/>
        <w:ind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（9）违反适用法律而被相关政府部门依法吊销营业执照、责令停业、清算或宣布破产、责令关闭的；</w:t>
      </w:r>
    </w:p>
    <w:p w14:paraId="61A33683">
      <w:pPr>
        <w:pStyle w:val="12"/>
        <w:pageBreakBefore w:val="0"/>
        <w:kinsoku/>
        <w:overflowPunct/>
        <w:topLinePunct w:val="0"/>
        <w:bidi w:val="0"/>
        <w:spacing w:line="360" w:lineRule="auto"/>
        <w:ind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（10）承包人未履行合同项下的义务构成对合同的实质性违约，并且在收到发包人要求说明其违约并予以补救的通知后56天内仍未能补救该实质性违约的；</w:t>
      </w:r>
    </w:p>
    <w:p w14:paraId="298F194D">
      <w:pPr>
        <w:pStyle w:val="12"/>
        <w:pageBreakBefore w:val="0"/>
        <w:kinsoku/>
        <w:overflowPunct/>
        <w:topLinePunct w:val="0"/>
        <w:bidi w:val="0"/>
        <w:spacing w:line="360" w:lineRule="auto"/>
        <w:ind w:firstLineChars="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（11）合同约定其他情况的，发包人有权解除合同的。</w:t>
      </w:r>
    </w:p>
    <w:p w14:paraId="7C98E237">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22.1.4因承包人违约解除合同后的处理</w:t>
      </w:r>
    </w:p>
    <w:p w14:paraId="1D364BFA">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因承包人违约导致合同解除的，合同当事人应在合同解除后56天内并按以下约定完成估价、付款和清算：</w:t>
      </w:r>
    </w:p>
    <w:p w14:paraId="0DA9F23B">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5</w:t>
      </w:r>
      <w:r>
        <w:rPr>
          <w:rFonts w:hint="eastAsia" w:ascii="宋体" w:hAnsi="宋体" w:cs="宋体"/>
          <w:color w:val="auto"/>
          <w:kern w:val="0"/>
          <w:szCs w:val="21"/>
          <w:highlight w:val="none"/>
        </w:rPr>
        <w:t>）合同解除后，承包人应按照发包人要求和监理人的指示完成现场的清理和撤离。</w:t>
      </w:r>
    </w:p>
    <w:p w14:paraId="78BBDE3F">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因承包人违约解除合同的，发包人有权暂停对承包人的付款，查清各项付款和已扣款项。发包人和承包人未能就合同解除后的清算和款项支付达成一致的，按照第24条〔争议的解决〕的约定处理。</w:t>
      </w:r>
    </w:p>
    <w:p w14:paraId="326EB752">
      <w:pPr>
        <w:pageBreakBefore w:val="0"/>
        <w:kinsoku/>
        <w:overflowPunct/>
        <w:topLinePunct w:val="0"/>
        <w:bidi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p w14:paraId="7B1A2CE5">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bookmarkStart w:id="336" w:name="_Toc33183791"/>
      <w:r>
        <w:rPr>
          <w:rFonts w:hint="eastAsia" w:ascii="宋体" w:hAnsi="宋体" w:cs="宋体"/>
          <w:color w:val="auto"/>
          <w:szCs w:val="21"/>
          <w:highlight w:val="none"/>
        </w:rPr>
        <w:t>22.2 发包人违约</w:t>
      </w:r>
      <w:bookmarkEnd w:id="336"/>
    </w:p>
    <w:p w14:paraId="1AAF3910">
      <w:pPr>
        <w:pageBreakBefore w:val="0"/>
        <w:kinsoku/>
        <w:overflowPunct/>
        <w:topLinePunct w:val="0"/>
        <w:bidi w:val="0"/>
        <w:snapToGrid w:val="0"/>
        <w:spacing w:line="360" w:lineRule="auto"/>
        <w:ind w:firstLine="420"/>
        <w:jc w:val="left"/>
        <w:rPr>
          <w:rFonts w:ascii="宋体" w:hAnsi="宋体" w:cs="宋体"/>
          <w:color w:val="auto"/>
          <w:szCs w:val="21"/>
          <w:highlight w:val="none"/>
        </w:rPr>
      </w:pPr>
      <w:bookmarkStart w:id="337" w:name="_Toc33183792"/>
      <w:r>
        <w:rPr>
          <w:rFonts w:hint="eastAsia" w:ascii="宋体" w:hAnsi="宋体" w:cs="宋体"/>
          <w:color w:val="auto"/>
          <w:szCs w:val="21"/>
          <w:highlight w:val="none"/>
        </w:rPr>
        <w:t>22.2.1 发包人违约的情形</w:t>
      </w:r>
      <w:bookmarkEnd w:id="337"/>
    </w:p>
    <w:p w14:paraId="1879AD59">
      <w:pPr>
        <w:pageBreakBefore w:val="0"/>
        <w:kinsoku/>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除通用合同条款约定外，发包人违约的其他情形：</w:t>
      </w:r>
    </w:p>
    <w:p w14:paraId="22873EDA">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（1）根据专用合同条款第11.3款发包人的工期延误；</w:t>
      </w:r>
    </w:p>
    <w:p w14:paraId="7482658E">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（2）因发包人原因未能及时办理完毕合同约定的许可、批准或备案的；</w:t>
      </w:r>
    </w:p>
    <w:p w14:paraId="45FCCFAF">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（3）因监理人未能按合同约定发出指示、指示延误或发出了错误指示而导致承包人费用增加和（或）工期延误的；</w:t>
      </w:r>
    </w:p>
    <w:p w14:paraId="1F16BD5F">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（4）根据第13.5.3条发包人或监理人要求重新检查的，经检查证明工程质量符合合同要求的，并由此产生增加的费用和（或）延误的工期的；</w:t>
      </w:r>
    </w:p>
    <w:p w14:paraId="7FD772E2">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（5）因发包人原因造成工程质量未达到合同约定标准的；</w:t>
      </w:r>
    </w:p>
    <w:p w14:paraId="002D4E54">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（6）由于发包人原因对承包人造成的人员人身伤亡和财产损失的；</w:t>
      </w:r>
    </w:p>
    <w:p w14:paraId="6E5BCA7E">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（7）因发包人原因导致工程无法按期办理竣工验收和竣工结算的；</w:t>
      </w:r>
    </w:p>
    <w:p w14:paraId="76AF512F">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（8）发包人无正当理由未按约定退还履约担保、低价风险担保或质量保证金的；</w:t>
      </w:r>
    </w:p>
    <w:p w14:paraId="501221D4">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（9）发包人不当提取履约担保、低价风险担保或质量保证金的；</w:t>
      </w:r>
    </w:p>
    <w:p w14:paraId="42640E3E">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（10）发包人未按合同约定接收全部或部分工作的；</w:t>
      </w:r>
    </w:p>
    <w:p w14:paraId="77C3E9B5">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u w:val="none"/>
        </w:rPr>
      </w:pPr>
      <w:r>
        <w:rPr>
          <w:rFonts w:hint="eastAsia" w:ascii="宋体" w:hAnsi="宋体" w:cs="宋体"/>
          <w:color w:val="auto"/>
          <w:kern w:val="0"/>
          <w:szCs w:val="21"/>
          <w:highlight w:val="none"/>
          <w:u w:val="none"/>
        </w:rPr>
        <w:t>（11）发包人未按合同约定办理保险的；</w:t>
      </w:r>
    </w:p>
    <w:p w14:paraId="79F3F301">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u w:val="none"/>
        </w:rPr>
      </w:pPr>
      <w:r>
        <w:rPr>
          <w:rFonts w:hint="eastAsia" w:ascii="宋体" w:hAnsi="宋体" w:cs="宋体"/>
          <w:color w:val="auto"/>
          <w:kern w:val="0"/>
          <w:szCs w:val="21"/>
          <w:highlight w:val="none"/>
          <w:u w:val="none"/>
        </w:rPr>
        <w:t>（12）其他：</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none"/>
        </w:rPr>
        <w:t xml:space="preserve"> 。</w:t>
      </w:r>
    </w:p>
    <w:p w14:paraId="41CCDECC">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22.2.3 发包人违约解除合同</w:t>
      </w:r>
    </w:p>
    <w:p w14:paraId="50996A4C">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因发包人违约并致使合同目的不能实现的，承包人有权解除合同：</w:t>
      </w:r>
    </w:p>
    <w:p w14:paraId="35CA32A7">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（1）因发包人原因延迟支付合同价款超过180天的；</w:t>
      </w:r>
    </w:p>
    <w:p w14:paraId="2C282CA0">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（2）因发包人原因导致工期延误超过90天的；</w:t>
      </w:r>
    </w:p>
    <w:p w14:paraId="650EBB44">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（3）因发包人第22.2.6（5）违约情形导致暂停施工满56天，且发包人仍未纠正其违约行为的；</w:t>
      </w:r>
    </w:p>
    <w:p w14:paraId="60DC1CC6">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（4）其他未履行合同项下的义务构成对合同的实质性违约，并且在收到承包人要求说明其违约并予以补救的通知后56天内仍未补救该实质性违约的。</w:t>
      </w:r>
    </w:p>
    <w:p w14:paraId="2E1D7ACF">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22.2.4解除合同后的付款</w:t>
      </w:r>
    </w:p>
    <w:p w14:paraId="15A97FB0">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承包人按照本款约定解除合同的，发包人应在解除合同后28天内支付下列款项，并解除履约担保、低价风险担保：</w:t>
      </w:r>
    </w:p>
    <w:p w14:paraId="15145092">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（1）合同解除前所完成工作的价款；</w:t>
      </w:r>
    </w:p>
    <w:p w14:paraId="4DB468A9">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（2）承包人为工程施工订购并已付款的材料、工程设备和其他物品的价款；</w:t>
      </w:r>
    </w:p>
    <w:p w14:paraId="0BAB3B17">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（3）承包人撤离施工现场以及遣散承包人人员的款项；</w:t>
      </w:r>
    </w:p>
    <w:p w14:paraId="783A07FC">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（4）按照合同约定在合同解除前应支付的违约金；</w:t>
      </w:r>
    </w:p>
    <w:p w14:paraId="393AB8D8">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（5）按照合同约定应当支付给承包人的其他款项；</w:t>
      </w:r>
    </w:p>
    <w:p w14:paraId="120F07B8">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（6）按照合同约定应退还的质量保证金；</w:t>
      </w:r>
    </w:p>
    <w:p w14:paraId="3454B730">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（7）因解除合同给承包人造成的损失。</w:t>
      </w:r>
    </w:p>
    <w:p w14:paraId="296D1DD2">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合同当事人未能就解除合同后的结清达成一致的，按照第20条〔争议解决〕的约定处理。</w:t>
      </w:r>
    </w:p>
    <w:p w14:paraId="67213A8A">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承包人应妥善做好已完工程和与工程有关的已购材料、工程设备的保护和移交工作，并将施工设备和人员撤出施工现场，发包人应为承包人撤出提供必要条件。</w:t>
      </w:r>
    </w:p>
    <w:p w14:paraId="26566B18">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22.2.6发包人违约的责任</w:t>
      </w:r>
    </w:p>
    <w:p w14:paraId="1A01DE1C">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（1）因发包人原因未能及时办理完毕前述许可、批准或备案的违约责任：由发包人承担由此增加的费用和（或）顺延工期，并支付合理利润，具体索赔程序按照第23条〔索赔〕约定执行。</w:t>
      </w:r>
    </w:p>
    <w:p w14:paraId="356767C1">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因监理人未能按合同约定发出指示、指示延误或发出了错误指示而导致承包人费用增加和（或）工期延误的，由发包人承担由此增加的费用和（或）顺延工期，并支付合理利润，具体索赔程序按照第23条〔索赔〕约定执行。</w:t>
      </w:r>
    </w:p>
    <w:p w14:paraId="7819C536">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（3）因发包人原因导致工期延误的违约责任：由发包人承担由此增加的费用和（或）顺延工期，并支付合理利润，具体索赔程序按照第23条〔索赔〕约定执行。</w:t>
      </w:r>
    </w:p>
    <w:p w14:paraId="0269B564">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（4）因发包人原因未能在计划开工日期前7天内下达开工通知的违约责任：由发包人承担由此增加的费用和（或）顺延工期，并支付合理利润，具体索赔程序按照第23条〔索赔〕约定执行。</w:t>
      </w:r>
    </w:p>
    <w:p w14:paraId="3CE7AA2E">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（5）根据第13.5.3项发包人或监理人要求重新检查的，经检查证明工程质量符合合同要求的，由发包人承担由此增加的费用和（或）顺延工期，并支付合理利润，具体索赔程序按照第23条〔索赔〕约定执行。</w:t>
      </w:r>
    </w:p>
    <w:p w14:paraId="42045AB8">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（6）因发包人原因未按合同约定支付合同价款的违约责任：发包人应向承包人支付违约金，自应当支付之日起28天后开始计算违约金，计算公式：</w:t>
      </w:r>
      <w:r>
        <w:rPr>
          <w:rFonts w:hint="eastAsia" w:ascii="宋体" w:hAnsi="宋体" w:cs="宋体"/>
          <w:color w:val="auto"/>
          <w:kern w:val="0"/>
          <w:szCs w:val="21"/>
          <w:highlight w:val="none"/>
          <w:u w:val="single"/>
        </w:rPr>
        <w:t>违约金=应付未付金额×中国人民银行202</w:t>
      </w:r>
      <w:r>
        <w:rPr>
          <w:rFonts w:hint="eastAsia" w:ascii="宋体" w:hAnsi="宋体" w:cs="宋体"/>
          <w:color w:val="auto"/>
          <w:kern w:val="0"/>
          <w:szCs w:val="21"/>
          <w:highlight w:val="none"/>
          <w:u w:val="single"/>
          <w:lang w:val="en-US" w:eastAsia="zh-CN"/>
        </w:rPr>
        <w:t>4</w:t>
      </w:r>
      <w:r>
        <w:rPr>
          <w:rFonts w:hint="eastAsia" w:ascii="宋体" w:hAnsi="宋体" w:cs="宋体"/>
          <w:color w:val="auto"/>
          <w:kern w:val="0"/>
          <w:szCs w:val="21"/>
          <w:highlight w:val="none"/>
          <w:u w:val="single"/>
        </w:rPr>
        <w:t>年</w:t>
      </w:r>
      <w:r>
        <w:rPr>
          <w:rFonts w:hint="eastAsia" w:ascii="宋体" w:hAnsi="宋体" w:cs="宋体"/>
          <w:color w:val="auto"/>
          <w:kern w:val="0"/>
          <w:szCs w:val="21"/>
          <w:highlight w:val="none"/>
          <w:u w:val="single"/>
          <w:lang w:val="en-US" w:eastAsia="zh-CN"/>
        </w:rPr>
        <w:t>3</w:t>
      </w:r>
      <w:r>
        <w:rPr>
          <w:rFonts w:hint="eastAsia" w:ascii="宋体" w:hAnsi="宋体" w:cs="宋体"/>
          <w:color w:val="auto"/>
          <w:kern w:val="0"/>
          <w:szCs w:val="21"/>
          <w:highlight w:val="none"/>
          <w:u w:val="single"/>
        </w:rPr>
        <w:t xml:space="preserve"> 月公布的5年期贷款市场报价利率/360天×逾期天数</w:t>
      </w:r>
      <w:r>
        <w:rPr>
          <w:rFonts w:hint="eastAsia" w:ascii="宋体" w:hAnsi="宋体" w:cs="宋体"/>
          <w:color w:val="auto"/>
          <w:szCs w:val="21"/>
          <w:highlight w:val="none"/>
          <w:u w:val="single"/>
        </w:rPr>
        <w:t>（自第29天起计算）</w:t>
      </w:r>
      <w:r>
        <w:rPr>
          <w:rFonts w:hint="eastAsia" w:ascii="宋体" w:hAnsi="宋体" w:cs="宋体"/>
          <w:color w:val="auto"/>
          <w:kern w:val="0"/>
          <w:szCs w:val="21"/>
          <w:highlight w:val="none"/>
          <w:u w:val="single"/>
        </w:rPr>
        <w:t>；逾期天数超过56天的，超过部分天数按上述利率的两倍计算并支付违约金。</w:t>
      </w:r>
    </w:p>
    <w:p w14:paraId="20958D65">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（7）发包人违反合同约定，自行实施或转由他人实施被取消的合同工作内容的违约责任：由发包人承担由此给承包人造成的实际损失并支付合理利润。</w:t>
      </w:r>
    </w:p>
    <w:p w14:paraId="6A3C1746">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发包人提供的材料、工程设备的规格、数量或质量不符合合同约定，或因发包人原因导致交货日期延误或交货地点变更等情况的违约责任：由发包人承担由此增加的费用和（或）顺延工期，并支付合理利润，具体索赔程序按照第23条〔索赔〕约定执行。</w:t>
      </w:r>
    </w:p>
    <w:p w14:paraId="07E824DC">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（9）因发包人原因造成工程质量未达到合同约定标准的，由发包人承担由此增加的费用和（或）延误的工期，并支付合理利润。</w:t>
      </w:r>
    </w:p>
    <w:p w14:paraId="4716F090">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（10）因发包人违反合同约定造成暂停施工的违约责任：由发包人承担由此增加的费用和（或）顺延工期，并支付合理利润，具体索赔程序按照第23条〔索赔〕约定执行。</w:t>
      </w:r>
    </w:p>
    <w:p w14:paraId="2A823BDD">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（11）发包人无正当理由没有在约定期限内发出复工指示，导致承包人无法复工的违约责任：由发包人承担由此增加的费用和（或）顺延工期，并支付合理利润，具体索赔程序按照第23条〔索赔〕约定执行。</w:t>
      </w:r>
    </w:p>
    <w:p w14:paraId="167C230A">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（12）因发包人原因导致工程无法按期办理竣工验收和竣工结算的违约责任：由发包人承担由此增加的费用和（或）顺延工期，并支付合理利润，具体索赔程序按照第23条〔索赔〕约定执行。</w:t>
      </w:r>
    </w:p>
    <w:p w14:paraId="3D257495">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（13）</w:t>
      </w:r>
      <w:r>
        <w:rPr>
          <w:rFonts w:hint="eastAsia" w:ascii="宋体" w:hAnsi="宋体" w:cs="宋体"/>
          <w:color w:val="auto"/>
          <w:kern w:val="0"/>
          <w:szCs w:val="21"/>
          <w:highlight w:val="none"/>
        </w:rPr>
        <w:t>发包人无正当理由未按约定退还履约担保、低价风险担保或质量保证金的违约责任：发包人应向承包人支付违约金，自应当退还之日起28天后开始计算违约金，</w:t>
      </w:r>
      <w:r>
        <w:rPr>
          <w:rFonts w:hint="eastAsia" w:ascii="宋体" w:hAnsi="宋体" w:cs="宋体"/>
          <w:color w:val="auto"/>
          <w:kern w:val="0"/>
          <w:szCs w:val="21"/>
          <w:highlight w:val="none"/>
          <w:u w:val="single"/>
        </w:rPr>
        <w:t>计算公式：违约金=应退未退担保金额×中国人民银行202</w:t>
      </w:r>
      <w:r>
        <w:rPr>
          <w:rFonts w:hint="eastAsia" w:ascii="宋体" w:hAnsi="宋体" w:cs="宋体"/>
          <w:color w:val="auto"/>
          <w:kern w:val="0"/>
          <w:szCs w:val="21"/>
          <w:highlight w:val="none"/>
          <w:u w:val="single"/>
          <w:lang w:val="en-US" w:eastAsia="zh-CN"/>
        </w:rPr>
        <w:t>4</w:t>
      </w:r>
      <w:r>
        <w:rPr>
          <w:rFonts w:hint="eastAsia" w:ascii="宋体" w:hAnsi="宋体" w:cs="宋体"/>
          <w:color w:val="auto"/>
          <w:kern w:val="0"/>
          <w:szCs w:val="21"/>
          <w:highlight w:val="none"/>
          <w:u w:val="single"/>
        </w:rPr>
        <w:t>年</w:t>
      </w:r>
      <w:r>
        <w:rPr>
          <w:rFonts w:hint="eastAsia" w:ascii="宋体" w:hAnsi="宋体" w:cs="宋体"/>
          <w:color w:val="auto"/>
          <w:kern w:val="0"/>
          <w:szCs w:val="21"/>
          <w:highlight w:val="none"/>
          <w:u w:val="single"/>
          <w:lang w:val="en-US" w:eastAsia="zh-CN"/>
        </w:rPr>
        <w:t>3</w:t>
      </w:r>
      <w:r>
        <w:rPr>
          <w:rFonts w:hint="eastAsia" w:ascii="宋体" w:hAnsi="宋体" w:cs="宋体"/>
          <w:color w:val="auto"/>
          <w:kern w:val="0"/>
          <w:szCs w:val="21"/>
          <w:highlight w:val="none"/>
          <w:u w:val="single"/>
        </w:rPr>
        <w:t>月公布的5年期贷款市场报价利率/360天×逾期天数</w:t>
      </w:r>
      <w:r>
        <w:rPr>
          <w:rFonts w:hint="eastAsia" w:ascii="宋体" w:hAnsi="宋体" w:cs="宋体"/>
          <w:color w:val="auto"/>
          <w:szCs w:val="21"/>
          <w:highlight w:val="none"/>
          <w:u w:val="single"/>
        </w:rPr>
        <w:t>（自第29天起计算）</w:t>
      </w:r>
      <w:r>
        <w:rPr>
          <w:rFonts w:hint="eastAsia" w:ascii="宋体" w:hAnsi="宋体" w:cs="宋体"/>
          <w:color w:val="auto"/>
          <w:kern w:val="0"/>
          <w:szCs w:val="21"/>
          <w:highlight w:val="none"/>
        </w:rPr>
        <w:t>。</w:t>
      </w:r>
    </w:p>
    <w:p w14:paraId="377F0D87">
      <w:pPr>
        <w:pageBreakBefore w:val="0"/>
        <w:kinsoku/>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（14）发包人不当提取履约担保、低价风险担保或质量保证金的，应及时予以退还，若不当提取超过28天的，应承担违约责任：发包人应向承包人支付违约金，</w:t>
      </w:r>
      <w:r>
        <w:rPr>
          <w:rFonts w:hint="eastAsia" w:ascii="宋体" w:hAnsi="宋体" w:cs="宋体"/>
          <w:color w:val="auto"/>
          <w:szCs w:val="21"/>
          <w:highlight w:val="none"/>
          <w:u w:val="single"/>
        </w:rPr>
        <w:t>计算公式：违约金=不当提取的担保金额×中国人民银行202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月公布的5年期贷款市场报价利率/360天×逾期天数（自第29天起计算）</w:t>
      </w:r>
      <w:r>
        <w:rPr>
          <w:rFonts w:hint="eastAsia" w:ascii="宋体" w:hAnsi="宋体" w:cs="宋体"/>
          <w:color w:val="auto"/>
          <w:szCs w:val="21"/>
          <w:highlight w:val="none"/>
        </w:rPr>
        <w:t>。</w:t>
      </w:r>
    </w:p>
    <w:p w14:paraId="0383DC3F">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（15）发包人未按合同约定接收全部或部分工作的违约责任：由发包人承担自应当接收工程之日起的工程照管、成品保护、保管等与工程有关的各项费用。</w:t>
      </w:r>
    </w:p>
    <w:p w14:paraId="39CE67F1">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（16）由于发包人原因对承包人造成的人员人身伤亡和财产损失的，由发包人负责赔偿，并承担由此增加的费用和（或）延误的工期，并支付合理利润。</w:t>
      </w:r>
    </w:p>
    <w:p w14:paraId="194B7EF9">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（17）发包人未按合同约定办理保险的违约责任：除按18.6.1项约定执行外，每延迟1天，按500元/天支付违约金。</w:t>
      </w:r>
    </w:p>
    <w:p w14:paraId="13D0F176">
      <w:pPr>
        <w:pageBreakBefore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（18）其他：</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2ECF8112">
      <w:pPr>
        <w:pageBreakBefore w:val="0"/>
        <w:kinsoku/>
        <w:overflowPunct/>
        <w:topLinePunct w:val="0"/>
        <w:bidi w:val="0"/>
        <w:snapToGrid w:val="0"/>
        <w:spacing w:line="360" w:lineRule="auto"/>
        <w:ind w:firstLine="420" w:firstLineChars="200"/>
        <w:jc w:val="left"/>
        <w:rPr>
          <w:color w:val="auto"/>
          <w:highlight w:val="none"/>
        </w:rPr>
      </w:pPr>
      <w:r>
        <w:rPr>
          <w:rFonts w:hint="eastAsia" w:ascii="宋体" w:hAnsi="宋体" w:cs="宋体"/>
          <w:color w:val="auto"/>
          <w:kern w:val="0"/>
          <w:szCs w:val="21"/>
          <w:highlight w:val="none"/>
        </w:rPr>
        <w:t>发包人发生除第22.2.1项（7）以外的违约情况时，承包人可向发包人发出通知，要求发包人采取有效措施纠正违约行为。发包人收到承包人通知后的28天内仍不履行合同义务，承包人有权暂停施工，并通知监理人。</w:t>
      </w:r>
    </w:p>
    <w:p w14:paraId="635B4174">
      <w:pPr>
        <w:pStyle w:val="2"/>
        <w:pageBreakBefore w:val="0"/>
        <w:kinsoku/>
        <w:overflowPunct/>
        <w:topLinePunct w:val="0"/>
        <w:bidi w:val="0"/>
        <w:spacing w:line="360" w:lineRule="auto"/>
        <w:rPr>
          <w:rFonts w:ascii="宋体" w:hAnsi="宋体" w:cs="宋体"/>
          <w:color w:val="auto"/>
          <w:sz w:val="21"/>
          <w:szCs w:val="21"/>
          <w:highlight w:val="none"/>
        </w:rPr>
      </w:pPr>
      <w:bookmarkStart w:id="338" w:name="_Toc59810426"/>
      <w:bookmarkStart w:id="339" w:name="_Toc10084"/>
      <w:bookmarkStart w:id="340" w:name="_Toc136350406"/>
      <w:bookmarkStart w:id="341" w:name="_Toc33183793"/>
      <w:r>
        <w:rPr>
          <w:rFonts w:hint="eastAsia" w:ascii="宋体" w:hAnsi="宋体" w:cs="宋体"/>
          <w:color w:val="auto"/>
          <w:sz w:val="21"/>
          <w:szCs w:val="21"/>
          <w:highlight w:val="none"/>
        </w:rPr>
        <w:t>23. 索赔</w:t>
      </w:r>
      <w:bookmarkEnd w:id="338"/>
      <w:bookmarkEnd w:id="339"/>
      <w:bookmarkEnd w:id="340"/>
      <w:bookmarkEnd w:id="341"/>
    </w:p>
    <w:p w14:paraId="6FB3551A">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bookmarkStart w:id="342" w:name="_Toc33183794"/>
      <w:r>
        <w:rPr>
          <w:rFonts w:hint="eastAsia" w:ascii="宋体" w:hAnsi="宋体" w:cs="宋体"/>
          <w:color w:val="auto"/>
          <w:szCs w:val="21"/>
          <w:highlight w:val="none"/>
        </w:rPr>
        <w:t>23.1 承包人索赔的提出</w:t>
      </w:r>
      <w:bookmarkEnd w:id="342"/>
    </w:p>
    <w:p w14:paraId="5DFCA166">
      <w:pPr>
        <w:pageBreakBefore w:val="0"/>
        <w:kinsoku/>
        <w:overflowPunct/>
        <w:topLinePunct w:val="0"/>
        <w:autoSpaceDE w:val="0"/>
        <w:autoSpaceDN w:val="0"/>
        <w:bidi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根据合同约定，承包人认为有权得到追加付款和（或）延长工期的，应按以下程序向发包人提出索赔：</w:t>
      </w:r>
    </w:p>
    <w:p w14:paraId="5FB99C78">
      <w:pPr>
        <w:pageBreakBefore w:val="0"/>
        <w:kinsoku/>
        <w:overflowPunct/>
        <w:topLinePunct w:val="0"/>
        <w:autoSpaceDE w:val="0"/>
        <w:autoSpaceDN w:val="0"/>
        <w:bidi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（1）承包人应在索赔事件发生后28天内，向监理人递交索赔意向通知书，并说明发生索赔事件的事由；承包人未在前述28天内发出索赔意向通知书的，丧失要求追加付款和（或）延长工期的权利；</w:t>
      </w:r>
    </w:p>
    <w:p w14:paraId="20DE6D89">
      <w:pPr>
        <w:pageBreakBefore w:val="0"/>
        <w:kinsoku/>
        <w:overflowPunct/>
        <w:topLinePunct w:val="0"/>
        <w:autoSpaceDE w:val="0"/>
        <w:autoSpaceDN w:val="0"/>
        <w:bidi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（2）承包人应在发出索赔意向通知书后28天内，向监理人正式递交索赔报告；索赔报告应详细说明索赔理由以及要求追加的付款金额和（或）延长的工期，并附必要的记录和证明材料；</w:t>
      </w:r>
    </w:p>
    <w:p w14:paraId="2E209794">
      <w:pPr>
        <w:pageBreakBefore w:val="0"/>
        <w:kinsoku/>
        <w:overflowPunct/>
        <w:topLinePunct w:val="0"/>
        <w:autoSpaceDE w:val="0"/>
        <w:autoSpaceDN w:val="0"/>
        <w:bidi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（3）索赔事件具有持续影响的，承包人应按监理人要求的合理时间间隔继续递交延续索赔通知，说明持续影响的实际情况和记录，列出累计的追加付款金额和（或）工期延长天数；</w:t>
      </w:r>
    </w:p>
    <w:p w14:paraId="7D8FE735">
      <w:pPr>
        <w:pageBreakBefore w:val="0"/>
        <w:kinsoku/>
        <w:overflowPunct/>
        <w:topLinePunct w:val="0"/>
        <w:autoSpaceDE w:val="0"/>
        <w:autoSpaceDN w:val="0"/>
        <w:bidi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（4）在索赔事件影响结束后28天内，承包人应向监理人递交最终索赔报告，说明最终要求索赔的追加付款金额和（或）延长的工期，并附必要的记录和证明材料。</w:t>
      </w:r>
    </w:p>
    <w:p w14:paraId="1FB2858E">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bookmarkStart w:id="343" w:name="_Toc33183795"/>
      <w:r>
        <w:rPr>
          <w:rFonts w:hint="eastAsia" w:ascii="宋体" w:hAnsi="宋体" w:cs="宋体"/>
          <w:color w:val="auto"/>
          <w:szCs w:val="21"/>
          <w:highlight w:val="none"/>
        </w:rPr>
        <w:t>23.2 承包人索赔处理程序</w:t>
      </w:r>
      <w:bookmarkEnd w:id="343"/>
    </w:p>
    <w:p w14:paraId="5D3FD11B">
      <w:pPr>
        <w:pageBreakBefore w:val="0"/>
        <w:kinsoku/>
        <w:overflowPunct/>
        <w:topLinePunct w:val="0"/>
        <w:autoSpaceDE w:val="0"/>
        <w:autoSpaceDN w:val="0"/>
        <w:bidi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对承包人索赔的处理程序：</w:t>
      </w:r>
    </w:p>
    <w:p w14:paraId="7CC6DDFF">
      <w:pPr>
        <w:pageBreakBefore w:val="0"/>
        <w:kinsoku/>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rPr>
        <w:t>监理人应按3.5目商定或确定追加的付款和（或）延长的工期，并在收到上述索赔通知书或有关索赔的进一步证明材料后的28天内，将索赔处理结果报发包人批准后答复承包人。如果承包人提出的索赔要求未能遵守23.1（2）～（4）项的规定，则承包人只限于索赔由监理人按当时记录予以核</w:t>
      </w:r>
      <w:r>
        <w:rPr>
          <w:rFonts w:hint="eastAsia" w:ascii="宋体" w:hAnsi="宋体" w:eastAsia="宋体" w:cs="宋体"/>
          <w:color w:val="auto"/>
          <w:kern w:val="0"/>
          <w:szCs w:val="21"/>
          <w:highlight w:val="none"/>
        </w:rPr>
        <w:t>实的那部分款额和（或）工期延长天数。</w:t>
      </w:r>
    </w:p>
    <w:p w14:paraId="374F576D">
      <w:pPr>
        <w:pageBreakBefore w:val="0"/>
        <w:kinsoku/>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23.3 承包人/发包人提出索赔的期限</w:t>
      </w:r>
    </w:p>
    <w:p w14:paraId="55FE26A3">
      <w:pPr>
        <w:pageBreakBefore w:val="0"/>
        <w:kinsoku/>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任一索赔事件发生后28天内，承包人/发包人未向对方发出索赔意向通知书的，视为其已放弃索赔权，无权再就该索赔事项提出任何索赔。</w:t>
      </w:r>
    </w:p>
    <w:p w14:paraId="47F9658E">
      <w:pPr>
        <w:pageBreakBefore w:val="0"/>
        <w:kinsoku/>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bookmarkStart w:id="344" w:name="_Toc33183796"/>
      <w:r>
        <w:rPr>
          <w:rFonts w:hint="eastAsia" w:ascii="宋体" w:hAnsi="宋体" w:eastAsia="宋体" w:cs="宋体"/>
          <w:color w:val="auto"/>
          <w:kern w:val="0"/>
          <w:szCs w:val="21"/>
          <w:highlight w:val="none"/>
        </w:rPr>
        <w:t>23.4 发包人的索赔</w:t>
      </w:r>
      <w:bookmarkEnd w:id="344"/>
    </w:p>
    <w:p w14:paraId="40466AB1">
      <w:pPr>
        <w:pageBreakBefore w:val="0"/>
        <w:kinsoku/>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根据合同约定，发包人认为有权得到赔付金额和（或）延长缺陷责任期的，监理人应向承包人发出通知并附有详细的证明。</w:t>
      </w:r>
    </w:p>
    <w:p w14:paraId="76ECA18B">
      <w:pPr>
        <w:pStyle w:val="4"/>
        <w:pageBreakBefore w:val="0"/>
        <w:kinsoku/>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通过监理人向承包人正式递交最终索赔报告。</w:t>
      </w:r>
    </w:p>
    <w:p w14:paraId="4C7BC8BF">
      <w:pPr>
        <w:pageBreakBefore w:val="0"/>
        <w:kinsoku/>
        <w:overflowPunct/>
        <w:topLinePunct w:val="0"/>
        <w:autoSpaceDE w:val="0"/>
        <w:autoSpaceDN w:val="0"/>
        <w:bidi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对发包人索赔的处理如下：</w:t>
      </w:r>
    </w:p>
    <w:p w14:paraId="530B6B82">
      <w:pPr>
        <w:pageBreakBefore w:val="0"/>
        <w:kinsoku/>
        <w:overflowPunct/>
        <w:topLinePunct w:val="0"/>
        <w:autoSpaceDE w:val="0"/>
        <w:autoSpaceDN w:val="0"/>
        <w:bidi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（1）承包人收到发包人提交的索赔报告后，应及时审查索赔报告的内容、查验发包人证明材料；</w:t>
      </w:r>
    </w:p>
    <w:p w14:paraId="22FFC4DE">
      <w:pPr>
        <w:pageBreakBefore w:val="0"/>
        <w:kinsoku/>
        <w:overflowPunct/>
        <w:topLinePunct w:val="0"/>
        <w:autoSpaceDE w:val="0"/>
        <w:autoSpaceDN w:val="0"/>
        <w:bidi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14:paraId="08FDEC6B">
      <w:pPr>
        <w:pageBreakBefore w:val="0"/>
        <w:kinsoku/>
        <w:overflowPunct/>
        <w:topLinePunct w:val="0"/>
        <w:autoSpaceDE w:val="0"/>
        <w:autoSpaceDN w:val="0"/>
        <w:bidi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（3）承包人接受索赔处理结果的，发包人可从应支付给承包人的合同价款中扣除赔付的金额或延长缺陷责任期；发包人不接受索赔处理结果的，按第24条〔争议的解决〕约定处理。</w:t>
      </w:r>
      <w:bookmarkStart w:id="345" w:name="_Toc19547"/>
      <w:bookmarkStart w:id="346" w:name="_Toc59810427"/>
      <w:bookmarkStart w:id="347" w:name="_Toc33183797"/>
      <w:bookmarkStart w:id="348" w:name="_Toc136350407"/>
    </w:p>
    <w:p w14:paraId="526B3E1D">
      <w:pPr>
        <w:pageBreakBefore w:val="0"/>
        <w:kinsoku/>
        <w:overflowPunct/>
        <w:topLinePunct w:val="0"/>
        <w:autoSpaceDE w:val="0"/>
        <w:autoSpaceDN w:val="0"/>
        <w:bidi w:val="0"/>
        <w:adjustRightInd w:val="0"/>
        <w:snapToGrid w:val="0"/>
        <w:spacing w:line="360" w:lineRule="auto"/>
        <w:ind w:firstLine="422" w:firstLineChars="200"/>
        <w:jc w:val="left"/>
        <w:rPr>
          <w:rFonts w:ascii="宋体" w:hAnsi="宋体" w:cs="宋体"/>
          <w:b/>
          <w:bCs/>
          <w:color w:val="auto"/>
          <w:sz w:val="21"/>
          <w:szCs w:val="21"/>
          <w:highlight w:val="none"/>
        </w:rPr>
      </w:pPr>
      <w:r>
        <w:rPr>
          <w:rFonts w:hint="eastAsia" w:ascii="宋体" w:hAnsi="宋体" w:cs="宋体"/>
          <w:b/>
          <w:bCs/>
          <w:color w:val="auto"/>
          <w:sz w:val="21"/>
          <w:szCs w:val="21"/>
          <w:highlight w:val="none"/>
        </w:rPr>
        <w:t>24. 争议的解决</w:t>
      </w:r>
      <w:bookmarkEnd w:id="323"/>
      <w:bookmarkEnd w:id="324"/>
      <w:bookmarkEnd w:id="325"/>
      <w:bookmarkEnd w:id="326"/>
      <w:bookmarkEnd w:id="327"/>
      <w:bookmarkEnd w:id="328"/>
      <w:bookmarkEnd w:id="345"/>
      <w:bookmarkEnd w:id="346"/>
      <w:bookmarkEnd w:id="347"/>
      <w:bookmarkEnd w:id="348"/>
    </w:p>
    <w:p w14:paraId="6B10AB04">
      <w:pPr>
        <w:keepNext/>
        <w:keepLines/>
        <w:pageBreakBefore w:val="0"/>
        <w:kinsoku/>
        <w:overflowPunct/>
        <w:topLinePunct w:val="0"/>
        <w:bidi w:val="0"/>
        <w:snapToGrid w:val="0"/>
        <w:spacing w:line="360" w:lineRule="auto"/>
        <w:ind w:firstLine="420" w:firstLineChars="200"/>
        <w:outlineLvl w:val="3"/>
        <w:rPr>
          <w:rFonts w:ascii="宋体" w:hAnsi="宋体" w:cs="宋体"/>
          <w:color w:val="auto"/>
          <w:szCs w:val="21"/>
          <w:highlight w:val="none"/>
        </w:rPr>
      </w:pPr>
      <w:bookmarkStart w:id="349" w:name="_Toc33183798"/>
      <w:bookmarkStart w:id="350" w:name="_Toc221951335"/>
      <w:r>
        <w:rPr>
          <w:rFonts w:hint="eastAsia" w:ascii="宋体" w:hAnsi="宋体" w:cs="宋体"/>
          <w:color w:val="auto"/>
          <w:szCs w:val="21"/>
          <w:highlight w:val="none"/>
        </w:rPr>
        <w:t>24.1 争议的解决方式</w:t>
      </w:r>
      <w:bookmarkEnd w:id="349"/>
    </w:p>
    <w:p w14:paraId="10AB2854">
      <w:pPr>
        <w:keepNext/>
        <w:keepLines/>
        <w:pageBreakBefore w:val="0"/>
        <w:kinsoku/>
        <w:overflowPunct/>
        <w:topLinePunct w:val="0"/>
        <w:bidi w:val="0"/>
        <w:spacing w:line="360" w:lineRule="auto"/>
        <w:ind w:firstLine="420" w:firstLineChars="200"/>
        <w:outlineLvl w:val="3"/>
        <w:rPr>
          <w:rFonts w:ascii="宋体" w:hAnsi="宋体" w:cs="宋体"/>
          <w:color w:val="auto"/>
          <w:szCs w:val="21"/>
          <w:highlight w:val="none"/>
        </w:rPr>
      </w:pPr>
      <w:bookmarkStart w:id="351" w:name="_Toc33183799"/>
      <w:r>
        <w:rPr>
          <w:rFonts w:hint="eastAsia" w:ascii="宋体" w:hAnsi="宋体" w:cs="宋体"/>
          <w:color w:val="auto"/>
          <w:szCs w:val="21"/>
          <w:highlight w:val="none"/>
        </w:rPr>
        <w:t>合同当事人友好协商解决不成、不愿提请争议评审或不接受争议评审组意见的，约定的合同争议解决方式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向南川区人民法院提起诉讼</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bookmarkEnd w:id="350"/>
      <w:bookmarkEnd w:id="351"/>
    </w:p>
    <w:p w14:paraId="4392C984">
      <w:pPr>
        <w:keepNext/>
        <w:keepLines/>
        <w:pageBreakBefore w:val="0"/>
        <w:kinsoku/>
        <w:overflowPunct/>
        <w:topLinePunct w:val="0"/>
        <w:bidi w:val="0"/>
        <w:snapToGrid w:val="0"/>
        <w:spacing w:line="360" w:lineRule="auto"/>
        <w:ind w:firstLine="420" w:firstLineChars="200"/>
        <w:outlineLvl w:val="3"/>
        <w:rPr>
          <w:rFonts w:ascii="宋体" w:hAnsi="宋体" w:cs="宋体"/>
          <w:color w:val="auto"/>
          <w:kern w:val="0"/>
          <w:szCs w:val="21"/>
          <w:highlight w:val="none"/>
        </w:rPr>
      </w:pPr>
      <w:r>
        <w:rPr>
          <w:rFonts w:hint="eastAsia" w:ascii="宋体" w:hAnsi="宋体" w:cs="宋体"/>
          <w:color w:val="auto"/>
          <w:kern w:val="0"/>
          <w:szCs w:val="21"/>
          <w:highlight w:val="none"/>
        </w:rPr>
        <w:t>24.3 争议评审</w:t>
      </w:r>
    </w:p>
    <w:p w14:paraId="32D82BD6">
      <w:pPr>
        <w:pageBreakBefore w:val="0"/>
        <w:kinsoku/>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合同当事人是否同意将工程争议提交争议评审小组决定：</w:t>
      </w:r>
      <w:r>
        <w:rPr>
          <w:rFonts w:hint="eastAsia" w:ascii="宋体" w:hAnsi="宋体" w:cs="宋体"/>
          <w:color w:val="auto"/>
          <w:kern w:val="0"/>
          <w:szCs w:val="21"/>
          <w:highlight w:val="none"/>
          <w:u w:val="single"/>
        </w:rPr>
        <w:t xml:space="preserve"> 是 </w:t>
      </w:r>
      <w:r>
        <w:rPr>
          <w:rFonts w:hint="eastAsia" w:ascii="宋体" w:hAnsi="宋体" w:cs="宋体"/>
          <w:color w:val="auto"/>
          <w:kern w:val="0"/>
          <w:szCs w:val="21"/>
          <w:highlight w:val="none"/>
        </w:rPr>
        <w:t>。</w:t>
      </w:r>
    </w:p>
    <w:p w14:paraId="2E995D1B">
      <w:pPr>
        <w:pageBreakBefore w:val="0"/>
        <w:kinsoku/>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本款补充细化24.3.1项如下：</w:t>
      </w:r>
    </w:p>
    <w:p w14:paraId="0AA5954B">
      <w:pPr>
        <w:pageBreakBefore w:val="0"/>
        <w:kinsoku/>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24.3.1采用争议评审的，发包人和承包人应在开工日后的28 天内或在争议发生后，协商成立争议评审组。争议评审组由</w:t>
      </w:r>
      <w:r>
        <w:rPr>
          <w:rFonts w:hint="eastAsia" w:ascii="宋体" w:hAnsi="宋体" w:cs="宋体"/>
          <w:color w:val="auto"/>
          <w:kern w:val="0"/>
          <w:szCs w:val="21"/>
          <w:highlight w:val="none"/>
          <w:u w:val="single"/>
        </w:rPr>
        <w:t>一名或三名</w:t>
      </w:r>
      <w:r>
        <w:rPr>
          <w:rFonts w:hint="eastAsia" w:ascii="宋体" w:hAnsi="宋体" w:cs="宋体"/>
          <w:color w:val="auto"/>
          <w:kern w:val="0"/>
          <w:szCs w:val="21"/>
          <w:highlight w:val="none"/>
        </w:rPr>
        <w:t>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14:paraId="52017912">
      <w:pPr>
        <w:keepNext/>
        <w:keepLines/>
        <w:pageBreakBefore w:val="0"/>
        <w:kinsoku/>
        <w:overflowPunct/>
        <w:topLinePunct w:val="0"/>
        <w:bidi w:val="0"/>
        <w:snapToGrid w:val="0"/>
        <w:spacing w:line="360" w:lineRule="auto"/>
        <w:ind w:firstLine="420" w:firstLineChars="200"/>
        <w:outlineLvl w:val="3"/>
        <w:rPr>
          <w:rFonts w:ascii="宋体" w:hAnsi="宋体" w:cs="宋体"/>
          <w:color w:val="auto"/>
          <w:kern w:val="0"/>
          <w:szCs w:val="21"/>
          <w:highlight w:val="none"/>
        </w:rPr>
      </w:pPr>
      <w:r>
        <w:rPr>
          <w:rFonts w:hint="eastAsia" w:ascii="宋体" w:hAnsi="宋体" w:cs="宋体"/>
          <w:color w:val="auto"/>
          <w:kern w:val="0"/>
          <w:szCs w:val="21"/>
          <w:highlight w:val="none"/>
        </w:rPr>
        <w:t>24.4 仲裁或诉讼</w:t>
      </w:r>
    </w:p>
    <w:p w14:paraId="16E623FE">
      <w:pPr>
        <w:pageBreakBefore w:val="0"/>
        <w:kinsoku/>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因合同及合同有关事项发生的争议，按下列第</w:t>
      </w:r>
      <w:r>
        <w:rPr>
          <w:rFonts w:hint="eastAsia" w:ascii="宋体" w:hAnsi="宋体" w:cs="宋体"/>
          <w:color w:val="auto"/>
          <w:kern w:val="0"/>
          <w:szCs w:val="21"/>
          <w:highlight w:val="none"/>
          <w:u w:val="single"/>
        </w:rPr>
        <w:t xml:space="preserve"> （2）</w:t>
      </w:r>
      <w:r>
        <w:rPr>
          <w:rFonts w:hint="eastAsia" w:ascii="宋体" w:hAnsi="宋体" w:cs="宋体"/>
          <w:color w:val="auto"/>
          <w:kern w:val="0"/>
          <w:szCs w:val="21"/>
          <w:highlight w:val="none"/>
        </w:rPr>
        <w:t>种方式解决：</w:t>
      </w:r>
    </w:p>
    <w:p w14:paraId="4C09E153">
      <w:pPr>
        <w:pageBreakBefore w:val="0"/>
        <w:kinsoku/>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（1）向</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仲裁委员会申请仲裁；</w:t>
      </w:r>
    </w:p>
    <w:p w14:paraId="3F1790BE">
      <w:pPr>
        <w:pageBreakBefore w:val="0"/>
        <w:kinsoku/>
        <w:overflowPunct/>
        <w:topLinePunct w:val="0"/>
        <w:bidi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（2）向 南川区 人民法院起诉。</w:t>
      </w:r>
    </w:p>
    <w:p w14:paraId="4F725E18">
      <w:pPr>
        <w:pageBreakBefore w:val="0"/>
        <w:kinsoku/>
        <w:overflowPunct/>
        <w:topLinePunct w:val="0"/>
        <w:bidi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本合同补充第25、26条如下：</w:t>
      </w:r>
      <w:bookmarkStart w:id="352" w:name="_Toc59810428"/>
      <w:bookmarkStart w:id="353" w:name="_Toc17284"/>
      <w:bookmarkStart w:id="354" w:name="_Toc33183800"/>
      <w:bookmarkStart w:id="355" w:name="_Toc136350408"/>
    </w:p>
    <w:p w14:paraId="583D7BAA">
      <w:pPr>
        <w:pageBreakBefore w:val="0"/>
        <w:kinsoku/>
        <w:overflowPunct/>
        <w:topLinePunct w:val="0"/>
        <w:bidi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25. 补充条款</w:t>
      </w:r>
      <w:bookmarkEnd w:id="352"/>
      <w:bookmarkEnd w:id="353"/>
      <w:bookmarkEnd w:id="354"/>
      <w:bookmarkEnd w:id="355"/>
    </w:p>
    <w:p w14:paraId="172D5146">
      <w:pPr>
        <w:pageBreakBefore w:val="0"/>
        <w:kinsoku/>
        <w:overflowPunct/>
        <w:topLinePunct w:val="0"/>
        <w:bidi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25.1 退出机制</w:t>
      </w:r>
    </w:p>
    <w:p w14:paraId="5C645CB0">
      <w:pPr>
        <w:pageBreakBefore w:val="0"/>
        <w:kinsoku/>
        <w:overflowPunct/>
        <w:topLinePunct w:val="0"/>
        <w:bidi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25.1.1有下列情形之一的，发包人有权解除合同，亦有权兑付履约担保，并对承包人做清退出场处理：</w:t>
      </w:r>
    </w:p>
    <w:p w14:paraId="0D4B3C95">
      <w:pPr>
        <w:pageBreakBefore w:val="0"/>
        <w:kinsoku/>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（1）因承包人原因造成较大及以上等级生产安全事故或工程质量事故的；</w:t>
      </w:r>
    </w:p>
    <w:p w14:paraId="1ADD02CD">
      <w:pPr>
        <w:pageBreakBefore w:val="0"/>
        <w:kinsoku/>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（2）因承包人债权债务纠纷或其他纠纷导致工程无法正常施工的。</w:t>
      </w:r>
    </w:p>
    <w:p w14:paraId="7BF95EED">
      <w:pPr>
        <w:pageBreakBefore w:val="0"/>
        <w:kinsoku/>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36AA5B4">
      <w:pPr>
        <w:pageBreakBefore w:val="0"/>
        <w:kinsoku/>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25.1.2有下列情形之一的，承包人有权解除合同，并按16.1.4约定执行：</w:t>
      </w:r>
    </w:p>
    <w:p w14:paraId="37306E00">
      <w:pPr>
        <w:pageBreakBefore w:val="0"/>
        <w:kinsoku/>
        <w:overflowPunct/>
        <w:topLinePunct w:val="0"/>
        <w:bidi w:val="0"/>
        <w:spacing w:line="360" w:lineRule="auto"/>
        <w:ind w:right="105" w:rightChars="50" w:firstLine="420" w:firstLineChars="200"/>
        <w:jc w:val="left"/>
        <w:rPr>
          <w:rFonts w:ascii="宋体" w:hAnsi="宋体" w:cs="宋体"/>
          <w:color w:val="auto"/>
          <w:szCs w:val="21"/>
          <w:highlight w:val="none"/>
        </w:rPr>
      </w:pPr>
      <w:r>
        <w:rPr>
          <w:rFonts w:hint="eastAsia" w:ascii="宋体" w:hAnsi="宋体" w:cs="宋体"/>
          <w:color w:val="auto"/>
          <w:szCs w:val="21"/>
          <w:highlight w:val="none"/>
        </w:rPr>
        <w:t>（1）因发包人征地、拆迁、补偿、审批手续等原因致使本工程延期开工超过90天的。</w:t>
      </w:r>
    </w:p>
    <w:p w14:paraId="3AED79C9">
      <w:pPr>
        <w:pageBreakBefore w:val="0"/>
        <w:kinsoku/>
        <w:overflowPunct/>
        <w:topLinePunct w:val="0"/>
        <w:bidi w:val="0"/>
        <w:spacing w:line="360" w:lineRule="auto"/>
        <w:ind w:right="105" w:rightChars="5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7C631BDD">
      <w:pPr>
        <w:keepNext/>
        <w:keepLines/>
        <w:pageBreakBefore w:val="0"/>
        <w:kinsoku/>
        <w:overflowPunct/>
        <w:topLinePunct w:val="0"/>
        <w:bidi w:val="0"/>
        <w:snapToGrid w:val="0"/>
        <w:spacing w:line="360" w:lineRule="auto"/>
        <w:ind w:firstLine="420" w:firstLineChars="200"/>
        <w:outlineLvl w:val="3"/>
        <w:rPr>
          <w:rFonts w:ascii="宋体" w:hAnsi="宋体" w:cs="宋体"/>
          <w:color w:val="auto"/>
          <w:kern w:val="0"/>
          <w:szCs w:val="21"/>
          <w:highlight w:val="none"/>
        </w:rPr>
      </w:pPr>
      <w:r>
        <w:rPr>
          <w:rFonts w:ascii="宋体" w:hAnsi="宋体" w:cs="宋体"/>
          <w:color w:val="auto"/>
          <w:kern w:val="0"/>
          <w:szCs w:val="21"/>
          <w:highlight w:val="none"/>
        </w:rPr>
        <w:t xml:space="preserve">25.2 </w:t>
      </w:r>
      <w:r>
        <w:rPr>
          <w:rFonts w:hint="eastAsia" w:ascii="宋体" w:hAnsi="宋体" w:cs="宋体"/>
          <w:color w:val="auto"/>
          <w:kern w:val="0"/>
          <w:szCs w:val="21"/>
          <w:highlight w:val="none"/>
        </w:rPr>
        <w:t>低价风险担保</w:t>
      </w:r>
    </w:p>
    <w:p w14:paraId="233844D2">
      <w:pPr>
        <w:pageBreakBefore w:val="0"/>
        <w:kinsoku/>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承包人提供低价风险担保的情形：采用经评审的最低投标价法的项目投标报价低于最高限价85%时。</w:t>
      </w:r>
    </w:p>
    <w:p w14:paraId="4DA92ABA">
      <w:pPr>
        <w:pageBreakBefore w:val="0"/>
        <w:kinsoku/>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承包人提供低价风险担保的形式、金额及期限：</w:t>
      </w:r>
    </w:p>
    <w:p w14:paraId="70D7FBAE">
      <w:pPr>
        <w:pageBreakBefore w:val="0"/>
        <w:numPr>
          <w:ilvl w:val="0"/>
          <w:numId w:val="4"/>
        </w:numPr>
        <w:kinsoku/>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低价风险担保的形式：现金或</w:t>
      </w:r>
      <w:r>
        <w:rPr>
          <w:rFonts w:hint="eastAsia" w:ascii="宋体" w:hAnsi="宋体" w:cs="宋体"/>
          <w:color w:val="auto"/>
          <w:szCs w:val="21"/>
          <w:highlight w:val="none"/>
          <w:lang w:eastAsia="zh-CN"/>
        </w:rPr>
        <w:t>担保</w:t>
      </w:r>
      <w:r>
        <w:rPr>
          <w:rFonts w:hint="eastAsia" w:ascii="宋体" w:hAnsi="宋体" w:cs="宋体"/>
          <w:color w:val="auto"/>
          <w:szCs w:val="21"/>
          <w:highlight w:val="none"/>
        </w:rPr>
        <w:t>保函或现金+</w:t>
      </w:r>
      <w:r>
        <w:rPr>
          <w:rFonts w:hint="eastAsia" w:ascii="宋体" w:hAnsi="宋体" w:cs="宋体"/>
          <w:color w:val="auto"/>
          <w:szCs w:val="21"/>
          <w:highlight w:val="none"/>
          <w:lang w:eastAsia="zh-CN"/>
        </w:rPr>
        <w:t>担保</w:t>
      </w:r>
      <w:r>
        <w:rPr>
          <w:rFonts w:hint="eastAsia" w:ascii="宋体" w:hAnsi="宋体" w:cs="宋体"/>
          <w:color w:val="auto"/>
          <w:szCs w:val="21"/>
          <w:highlight w:val="none"/>
        </w:rPr>
        <w:t>保函的组合；采用保函形式的，保函必须为不可撤销、不可转让且见索即付的独立保函；</w:t>
      </w:r>
    </w:p>
    <w:p w14:paraId="68CB777B">
      <w:pPr>
        <w:pageBreakBefore w:val="0"/>
        <w:numPr>
          <w:ilvl w:val="0"/>
          <w:numId w:val="0"/>
        </w:numPr>
        <w:kinsoku/>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（2）低价风险担保的金额：</w:t>
      </w:r>
      <w:r>
        <w:rPr>
          <w:rFonts w:hint="eastAsia" w:ascii="宋体" w:hAnsi="宋体" w:cs="宋体"/>
          <w:color w:val="auto"/>
          <w:szCs w:val="21"/>
          <w:highlight w:val="none"/>
          <w:u w:val="single"/>
          <w:lang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最高限价×85%-中标价</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 xml:space="preserve">×3，且最高不超过最高限价的85%；红名单中的中标人低价风险担保金额为应提交金额 </w:t>
      </w:r>
      <w:r>
        <w:rPr>
          <w:rFonts w:ascii="宋体" w:hAnsi="宋体" w:cs="宋体"/>
          <w:color w:val="auto"/>
          <w:szCs w:val="21"/>
          <w:highlight w:val="none"/>
          <w:u w:val="single"/>
        </w:rPr>
        <w:t>80%</w:t>
      </w:r>
      <w:r>
        <w:rPr>
          <w:rFonts w:hint="eastAsia" w:ascii="宋体" w:hAnsi="宋体" w:cs="宋体"/>
          <w:color w:val="auto"/>
          <w:szCs w:val="21"/>
          <w:highlight w:val="none"/>
          <w:u w:val="single"/>
        </w:rPr>
        <w:t xml:space="preserve"> ；中标人是否属于红名单</w:t>
      </w:r>
      <w:r>
        <w:rPr>
          <w:rFonts w:ascii="Wingdings 2" w:hAnsi="Wingdings 2" w:cs="宋体"/>
          <w:color w:val="auto"/>
          <w:szCs w:val="21"/>
          <w:highlight w:val="none"/>
          <w:u w:val="single"/>
        </w:rPr>
        <w:t>R</w:t>
      </w:r>
      <w:r>
        <w:rPr>
          <w:rFonts w:hint="eastAsia" w:ascii="宋体" w:hAnsi="宋体" w:cs="宋体"/>
          <w:color w:val="auto"/>
          <w:szCs w:val="21"/>
          <w:highlight w:val="none"/>
          <w:u w:val="single"/>
        </w:rPr>
        <w:t>方式一：以开标环节信用状况查询结果为准</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24CE72F7">
      <w:pPr>
        <w:pageBreakBefore w:val="0"/>
        <w:kinsoku/>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（3）低价风险担保的提交时间：从招标人中标通知书送达拟中标人之日起</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ascii="宋体" w:hAnsi="宋体" w:cs="宋体"/>
          <w:color w:val="auto"/>
          <w:szCs w:val="21"/>
          <w:highlight w:val="none"/>
          <w:u w:val="single"/>
        </w:rPr>
        <w:t xml:space="preserve"> </w:t>
      </w:r>
      <w:r>
        <w:rPr>
          <w:rFonts w:hint="eastAsia" w:ascii="宋体" w:hAnsi="宋体" w:cs="宋体"/>
          <w:color w:val="auto"/>
          <w:szCs w:val="21"/>
          <w:highlight w:val="none"/>
        </w:rPr>
        <w:t>工作日内；</w:t>
      </w:r>
    </w:p>
    <w:p w14:paraId="337D7804">
      <w:pPr>
        <w:pageBreakBefore w:val="0"/>
        <w:kinsoku/>
        <w:overflowPunct/>
        <w:topLinePunct w:val="0"/>
        <w:bidi w:val="0"/>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（4）低价风险担保的期限：</w:t>
      </w:r>
      <w:r>
        <w:rPr>
          <w:rFonts w:hint="eastAsia" w:ascii="宋体" w:hAnsi="宋体" w:cs="宋体"/>
          <w:color w:val="auto"/>
          <w:szCs w:val="21"/>
          <w:highlight w:val="none"/>
          <w:u w:val="single"/>
        </w:rPr>
        <w:t>自提交低价风险担保生效之日起至发包人颁发合同工程完工证书之日止</w:t>
      </w:r>
      <w:r>
        <w:rPr>
          <w:rFonts w:hint="eastAsia" w:ascii="宋体" w:hAnsi="宋体" w:cs="宋体"/>
          <w:color w:val="auto"/>
          <w:szCs w:val="21"/>
          <w:highlight w:val="none"/>
          <w:u w:val="none"/>
        </w:rPr>
        <w:t>。</w:t>
      </w:r>
    </w:p>
    <w:p w14:paraId="3C3B0F34">
      <w:pPr>
        <w:pageBreakBefore w:val="0"/>
        <w:kinsoku/>
        <w:overflowPunct/>
        <w:topLinePunct w:val="0"/>
        <w:bidi w:val="0"/>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低价风险担保的退还时间：</w:t>
      </w:r>
      <w:r>
        <w:rPr>
          <w:rFonts w:hint="eastAsia" w:ascii="宋体" w:hAnsi="宋体" w:cs="宋体"/>
          <w:color w:val="auto"/>
          <w:szCs w:val="21"/>
          <w:highlight w:val="none"/>
          <w:u w:val="single"/>
        </w:rPr>
        <w:t>采用现金担保的，合同工程完工证书颁发后28天内退还，合同履行期间允许承包人用符合要求的银行保函进行置换；采用银行保函的，合同工程完工证书颁发后28天内退还</w:t>
      </w:r>
      <w:r>
        <w:rPr>
          <w:rFonts w:hint="eastAsia" w:ascii="宋体" w:hAnsi="宋体" w:cs="宋体"/>
          <w:color w:val="auto"/>
          <w:szCs w:val="21"/>
          <w:highlight w:val="none"/>
          <w:u w:val="none"/>
        </w:rPr>
        <w:t>。</w:t>
      </w:r>
    </w:p>
    <w:p w14:paraId="3E3EAE6C">
      <w:pPr>
        <w:pageBreakBefore w:val="0"/>
        <w:kinsoku/>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（5）低价风险担保的扣减：</w:t>
      </w:r>
    </w:p>
    <w:p w14:paraId="6C8F26F3">
      <w:pPr>
        <w:pageBreakBefore w:val="0"/>
        <w:kinsoku/>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w:t>
      </w:r>
      <w:r>
        <w:rPr>
          <w:rFonts w:hint="eastAsia" w:ascii="宋体" w:hAnsi="宋体" w:cs="宋体"/>
          <w:color w:val="auto"/>
          <w:szCs w:val="21"/>
          <w:highlight w:val="none"/>
          <w:u w:val="single"/>
        </w:rPr>
        <w:t>50～100%</w:t>
      </w:r>
      <w:r>
        <w:rPr>
          <w:rFonts w:hint="eastAsia" w:ascii="宋体" w:hAnsi="宋体" w:cs="宋体"/>
          <w:color w:val="auto"/>
          <w:szCs w:val="21"/>
          <w:highlight w:val="none"/>
        </w:rPr>
        <w:t>扣减，直至解除合同；</w:t>
      </w:r>
    </w:p>
    <w:p w14:paraId="7A174C9F">
      <w:pPr>
        <w:pageBreakBefore w:val="0"/>
        <w:kinsoku/>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②承包人在工程施工期间或竣工验收时，工程质量不符合国家现行有关施工质量验收规范要求的，按低价风险担保金额的</w:t>
      </w:r>
      <w:r>
        <w:rPr>
          <w:rFonts w:hint="eastAsia" w:ascii="宋体" w:hAnsi="宋体" w:cs="宋体"/>
          <w:color w:val="auto"/>
          <w:szCs w:val="21"/>
          <w:highlight w:val="none"/>
          <w:u w:val="single"/>
        </w:rPr>
        <w:t>50～100%</w:t>
      </w:r>
      <w:r>
        <w:rPr>
          <w:rFonts w:hint="eastAsia" w:ascii="宋体" w:hAnsi="宋体" w:cs="宋体"/>
          <w:color w:val="auto"/>
          <w:szCs w:val="21"/>
          <w:highlight w:val="none"/>
        </w:rPr>
        <w:t>扣减，直至解除合同；</w:t>
      </w:r>
    </w:p>
    <w:p w14:paraId="351147AE">
      <w:pPr>
        <w:pageBreakBefore w:val="0"/>
        <w:kinsoku/>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③承包人因22.1.3</w:t>
      </w:r>
      <w:r>
        <w:rPr>
          <w:rFonts w:ascii="宋体" w:hAnsi="宋体" w:cs="宋体"/>
          <w:color w:val="auto"/>
          <w:szCs w:val="21"/>
          <w:highlight w:val="none"/>
        </w:rPr>
        <w:t xml:space="preserve"> </w:t>
      </w:r>
      <w:r>
        <w:rPr>
          <w:rFonts w:hint="eastAsia" w:ascii="宋体" w:hAnsi="宋体" w:cs="宋体"/>
          <w:color w:val="auto"/>
          <w:szCs w:val="21"/>
          <w:highlight w:val="none"/>
        </w:rPr>
        <w:t>项原因被解除合同的，低价风险担保将全额扣除；</w:t>
      </w:r>
    </w:p>
    <w:p w14:paraId="03B9F7E4">
      <w:pPr>
        <w:pageBreakBefore w:val="0"/>
        <w:kinsoku/>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④因承包人过错导致的其他情形：</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7EEF6E7A">
      <w:pPr>
        <w:pStyle w:val="2"/>
        <w:pageBreakBefore w:val="0"/>
        <w:kinsoku/>
        <w:overflowPunct/>
        <w:topLinePunct w:val="0"/>
        <w:bidi w:val="0"/>
        <w:spacing w:line="360" w:lineRule="auto"/>
        <w:rPr>
          <w:rFonts w:ascii="宋体" w:hAnsi="宋体" w:cs="宋体"/>
          <w:color w:val="auto"/>
          <w:sz w:val="21"/>
          <w:szCs w:val="21"/>
          <w:highlight w:val="none"/>
        </w:rPr>
      </w:pPr>
      <w:bookmarkStart w:id="356" w:name="_Toc59810429"/>
      <w:bookmarkStart w:id="357" w:name="_Toc33183801"/>
      <w:bookmarkStart w:id="358" w:name="_Toc136350409"/>
      <w:bookmarkStart w:id="359" w:name="_Toc20880"/>
      <w:r>
        <w:rPr>
          <w:rFonts w:hint="eastAsia" w:ascii="宋体" w:hAnsi="宋体" w:cs="宋体"/>
          <w:color w:val="auto"/>
          <w:sz w:val="21"/>
          <w:szCs w:val="21"/>
          <w:highlight w:val="none"/>
        </w:rPr>
        <w:t>26. 合同附件</w:t>
      </w:r>
      <w:bookmarkEnd w:id="356"/>
      <w:bookmarkEnd w:id="357"/>
      <w:bookmarkEnd w:id="358"/>
      <w:bookmarkEnd w:id="359"/>
    </w:p>
    <w:p w14:paraId="65DBA33E">
      <w:pPr>
        <w:pageBreakBefore w:val="0"/>
        <w:kinsoku/>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以下附件是本合同的有效组成部分：</w:t>
      </w:r>
    </w:p>
    <w:p w14:paraId="5744A826">
      <w:pPr>
        <w:pageBreakBefore w:val="0"/>
        <w:kinsoku/>
        <w:overflowPunct/>
        <w:topLinePunct w:val="0"/>
        <w:bidi w:val="0"/>
        <w:spacing w:line="360" w:lineRule="auto"/>
        <w:ind w:firstLine="420" w:firstLineChars="200"/>
        <w:jc w:val="both"/>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附件1：承包人项目管理机构组成表</w:t>
      </w:r>
    </w:p>
    <w:p w14:paraId="0298F182">
      <w:pPr>
        <w:pageBreakBefore w:val="0"/>
        <w:kinsoku/>
        <w:overflowPunct/>
        <w:topLinePunct w:val="0"/>
        <w:bidi w:val="0"/>
        <w:snapToGrid w:val="0"/>
        <w:spacing w:line="360" w:lineRule="auto"/>
        <w:ind w:firstLine="420" w:firstLineChars="200"/>
        <w:jc w:val="both"/>
        <w:rPr>
          <w:rFonts w:ascii="宋体" w:hAnsi="宋体" w:cs="宋体"/>
          <w:color w:val="auto"/>
          <w:kern w:val="0"/>
          <w:sz w:val="21"/>
          <w:szCs w:val="21"/>
          <w:highlight w:val="none"/>
        </w:rPr>
      </w:pPr>
      <w:r>
        <w:rPr>
          <w:rFonts w:hint="eastAsia" w:ascii="宋体" w:hAnsi="宋体" w:cs="宋体"/>
          <w:color w:val="auto"/>
          <w:kern w:val="0"/>
          <w:sz w:val="21"/>
          <w:szCs w:val="21"/>
          <w:highlight w:val="none"/>
        </w:rPr>
        <w:t>附件2：重庆市水利工程建设安全生产合同</w:t>
      </w:r>
    </w:p>
    <w:p w14:paraId="4F789DC8">
      <w:pPr>
        <w:pageBreakBefore w:val="0"/>
        <w:kinsoku/>
        <w:overflowPunct/>
        <w:topLinePunct w:val="0"/>
        <w:bidi w:val="0"/>
        <w:snapToGrid w:val="0"/>
        <w:spacing w:line="360" w:lineRule="auto"/>
        <w:ind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附件3：习惯性违章行为</w:t>
      </w:r>
    </w:p>
    <w:p w14:paraId="386203D5">
      <w:pPr>
        <w:pageBreakBefore w:val="0"/>
        <w:kinsoku/>
        <w:overflowPunct/>
        <w:topLinePunct w:val="0"/>
        <w:bidi w:val="0"/>
        <w:snapToGrid w:val="0"/>
        <w:spacing w:line="360" w:lineRule="auto"/>
        <w:ind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附件4：重庆市水利工程建设廉政合同</w:t>
      </w:r>
    </w:p>
    <w:p w14:paraId="60C81FCA">
      <w:pPr>
        <w:pageBreakBefore w:val="0"/>
        <w:kinsoku/>
        <w:overflowPunct/>
        <w:topLinePunct w:val="0"/>
        <w:bidi w:val="0"/>
        <w:snapToGrid w:val="0"/>
        <w:spacing w:line="360" w:lineRule="auto"/>
        <w:ind w:firstLine="420" w:firstLineChars="200"/>
        <w:jc w:val="both"/>
        <w:rPr>
          <w:rFonts w:ascii="宋体" w:hAnsi="宋体" w:cs="宋体"/>
          <w:color w:val="auto"/>
          <w:kern w:val="0"/>
          <w:szCs w:val="21"/>
          <w:highlight w:val="none"/>
        </w:rPr>
      </w:pPr>
      <w:r>
        <w:rPr>
          <w:rFonts w:hint="eastAsia" w:ascii="宋体" w:hAnsi="宋体" w:eastAsia="宋体" w:cs="宋体"/>
          <w:color w:val="auto"/>
          <w:kern w:val="0"/>
          <w:sz w:val="21"/>
          <w:szCs w:val="21"/>
          <w:highlight w:val="none"/>
        </w:rPr>
        <w:t>附件5：安全管理协议</w:t>
      </w:r>
    </w:p>
    <w:p w14:paraId="3A29E64F">
      <w:pPr>
        <w:keepNext/>
        <w:keepLines/>
        <w:pageBreakBefore w:val="0"/>
        <w:kinsoku/>
        <w:overflowPunct/>
        <w:topLinePunct w:val="0"/>
        <w:bidi w:val="0"/>
        <w:snapToGrid w:val="0"/>
        <w:spacing w:line="360" w:lineRule="auto"/>
        <w:ind w:firstLine="420" w:firstLineChars="200"/>
        <w:outlineLvl w:val="3"/>
        <w:rPr>
          <w:rFonts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color w:val="auto"/>
          <w:kern w:val="0"/>
          <w:szCs w:val="21"/>
          <w:highlight w:val="none"/>
        </w:rPr>
        <w:t>附件</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w:t>
      </w:r>
    </w:p>
    <w:p w14:paraId="007E6018">
      <w:pPr>
        <w:pageBreakBefore w:val="0"/>
        <w:kinsoku/>
        <w:overflowPunct/>
        <w:topLinePunct w:val="0"/>
        <w:bidi w:val="0"/>
        <w:spacing w:line="360" w:lineRule="auto"/>
        <w:ind w:firstLine="420" w:firstLineChars="200"/>
        <w:jc w:val="center"/>
        <w:rPr>
          <w:rFonts w:ascii="宋体" w:hAnsi="宋体" w:cs="宋体"/>
          <w:color w:val="auto"/>
          <w:kern w:val="0"/>
          <w:szCs w:val="21"/>
          <w:highlight w:val="none"/>
        </w:rPr>
      </w:pPr>
    </w:p>
    <w:p w14:paraId="7E793425">
      <w:pPr>
        <w:pageBreakBefore w:val="0"/>
        <w:kinsoku/>
        <w:overflowPunct/>
        <w:topLinePunct w:val="0"/>
        <w:bidi w:val="0"/>
        <w:spacing w:line="360" w:lineRule="auto"/>
        <w:ind w:firstLine="480" w:firstLineChars="20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承包人项目管理机构组成表</w:t>
      </w:r>
    </w:p>
    <w:tbl>
      <w:tblPr>
        <w:tblStyle w:val="8"/>
        <w:tblpPr w:leftFromText="180" w:rightFromText="180" w:vertAnchor="text" w:horzAnchor="page" w:tblpX="874" w:tblpY="129"/>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11"/>
        <w:gridCol w:w="777"/>
        <w:gridCol w:w="743"/>
        <w:gridCol w:w="1023"/>
        <w:gridCol w:w="631"/>
        <w:gridCol w:w="2120"/>
        <w:gridCol w:w="2360"/>
        <w:gridCol w:w="566"/>
      </w:tblGrid>
      <w:tr w14:paraId="5C9508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3" w:hRule="exact"/>
        </w:trPr>
        <w:tc>
          <w:tcPr>
            <w:tcW w:w="811" w:type="dxa"/>
            <w:vMerge w:val="restart"/>
            <w:noWrap w:val="0"/>
            <w:vAlign w:val="center"/>
          </w:tcPr>
          <w:p w14:paraId="2C3F8BE0">
            <w:pPr>
              <w:pageBreakBefore w:val="0"/>
              <w:kinsoku/>
              <w:overflowPunct/>
              <w:topLinePunct w:val="0"/>
              <w:autoSpaceDE w:val="0"/>
              <w:autoSpaceDN w:val="0"/>
              <w:bidi w:val="0"/>
              <w:adjustRightInd w:val="0"/>
              <w:snapToGrid w:val="0"/>
              <w:spacing w:line="360" w:lineRule="auto"/>
              <w:jc w:val="center"/>
              <w:rPr>
                <w:rFonts w:ascii="宋体" w:hAnsi="宋体"/>
                <w:color w:val="auto"/>
                <w:kern w:val="0"/>
                <w:sz w:val="21"/>
                <w:szCs w:val="21"/>
                <w:highlight w:val="none"/>
              </w:rPr>
            </w:pPr>
            <w:r>
              <w:rPr>
                <w:rFonts w:hint="eastAsia" w:ascii="宋体" w:hAnsi="宋体" w:cs="MingLiU"/>
                <w:color w:val="auto"/>
                <w:kern w:val="0"/>
                <w:sz w:val="21"/>
                <w:szCs w:val="21"/>
                <w:highlight w:val="none"/>
              </w:rPr>
              <w:t>职务</w:t>
            </w:r>
          </w:p>
        </w:tc>
        <w:tc>
          <w:tcPr>
            <w:tcW w:w="777" w:type="dxa"/>
            <w:vMerge w:val="restart"/>
            <w:noWrap w:val="0"/>
            <w:vAlign w:val="center"/>
          </w:tcPr>
          <w:p w14:paraId="488C93AD">
            <w:pPr>
              <w:pageBreakBefore w:val="0"/>
              <w:kinsoku/>
              <w:overflowPunct/>
              <w:topLinePunct w:val="0"/>
              <w:autoSpaceDE w:val="0"/>
              <w:autoSpaceDN w:val="0"/>
              <w:bidi w:val="0"/>
              <w:adjustRightInd w:val="0"/>
              <w:snapToGrid w:val="0"/>
              <w:spacing w:line="360" w:lineRule="auto"/>
              <w:jc w:val="center"/>
              <w:rPr>
                <w:rFonts w:ascii="宋体" w:hAnsi="宋体"/>
                <w:color w:val="auto"/>
                <w:kern w:val="0"/>
                <w:sz w:val="21"/>
                <w:szCs w:val="21"/>
                <w:highlight w:val="none"/>
              </w:rPr>
            </w:pPr>
            <w:r>
              <w:rPr>
                <w:rFonts w:hint="eastAsia" w:ascii="宋体" w:hAnsi="宋体" w:cs="MingLiU"/>
                <w:color w:val="auto"/>
                <w:kern w:val="0"/>
                <w:sz w:val="21"/>
                <w:szCs w:val="21"/>
                <w:highlight w:val="none"/>
              </w:rPr>
              <w:t>姓名</w:t>
            </w:r>
          </w:p>
        </w:tc>
        <w:tc>
          <w:tcPr>
            <w:tcW w:w="743" w:type="dxa"/>
            <w:vMerge w:val="restart"/>
            <w:noWrap w:val="0"/>
            <w:vAlign w:val="center"/>
          </w:tcPr>
          <w:p w14:paraId="500A0969">
            <w:pPr>
              <w:pageBreakBefore w:val="0"/>
              <w:kinsoku/>
              <w:overflowPunct/>
              <w:topLinePunct w:val="0"/>
              <w:autoSpaceDE w:val="0"/>
              <w:autoSpaceDN w:val="0"/>
              <w:bidi w:val="0"/>
              <w:adjustRightInd w:val="0"/>
              <w:snapToGrid w:val="0"/>
              <w:spacing w:line="360" w:lineRule="auto"/>
              <w:jc w:val="center"/>
              <w:rPr>
                <w:rFonts w:ascii="宋体" w:hAnsi="宋体"/>
                <w:color w:val="auto"/>
                <w:kern w:val="0"/>
                <w:sz w:val="21"/>
                <w:szCs w:val="21"/>
                <w:highlight w:val="none"/>
              </w:rPr>
            </w:pPr>
            <w:r>
              <w:rPr>
                <w:rFonts w:hint="eastAsia" w:ascii="宋体" w:hAnsi="宋体" w:cs="MingLiU"/>
                <w:color w:val="auto"/>
                <w:kern w:val="0"/>
                <w:sz w:val="21"/>
                <w:szCs w:val="21"/>
                <w:highlight w:val="none"/>
              </w:rPr>
              <w:t>职称</w:t>
            </w:r>
          </w:p>
        </w:tc>
        <w:tc>
          <w:tcPr>
            <w:tcW w:w="6134" w:type="dxa"/>
            <w:gridSpan w:val="4"/>
            <w:noWrap w:val="0"/>
            <w:vAlign w:val="center"/>
          </w:tcPr>
          <w:p w14:paraId="6D9901D9">
            <w:pPr>
              <w:pageBreakBefore w:val="0"/>
              <w:kinsoku/>
              <w:overflowPunct/>
              <w:topLinePunct w:val="0"/>
              <w:autoSpaceDE w:val="0"/>
              <w:autoSpaceDN w:val="0"/>
              <w:bidi w:val="0"/>
              <w:adjustRightInd w:val="0"/>
              <w:snapToGrid w:val="0"/>
              <w:spacing w:line="360" w:lineRule="auto"/>
              <w:jc w:val="center"/>
              <w:rPr>
                <w:rFonts w:ascii="宋体" w:hAnsi="宋体"/>
                <w:color w:val="auto"/>
                <w:kern w:val="0"/>
                <w:sz w:val="21"/>
                <w:szCs w:val="21"/>
                <w:highlight w:val="none"/>
              </w:rPr>
            </w:pPr>
            <w:r>
              <w:rPr>
                <w:rFonts w:hint="eastAsia" w:ascii="宋体" w:hAnsi="宋体" w:cs="MingLiU"/>
                <w:color w:val="auto"/>
                <w:kern w:val="0"/>
                <w:sz w:val="21"/>
                <w:szCs w:val="21"/>
                <w:highlight w:val="none"/>
              </w:rPr>
              <w:t>执业或职业资格证明</w:t>
            </w:r>
          </w:p>
        </w:tc>
        <w:tc>
          <w:tcPr>
            <w:tcW w:w="566" w:type="dxa"/>
            <w:noWrap w:val="0"/>
            <w:vAlign w:val="center"/>
          </w:tcPr>
          <w:p w14:paraId="02690430">
            <w:pPr>
              <w:pageBreakBefore w:val="0"/>
              <w:kinsoku/>
              <w:overflowPunct/>
              <w:topLinePunct w:val="0"/>
              <w:autoSpaceDE w:val="0"/>
              <w:autoSpaceDN w:val="0"/>
              <w:bidi w:val="0"/>
              <w:adjustRightInd w:val="0"/>
              <w:snapToGrid w:val="0"/>
              <w:spacing w:line="360" w:lineRule="auto"/>
              <w:jc w:val="center"/>
              <w:rPr>
                <w:rFonts w:ascii="宋体" w:hAnsi="宋体"/>
                <w:color w:val="auto"/>
                <w:kern w:val="0"/>
                <w:sz w:val="21"/>
                <w:szCs w:val="21"/>
                <w:highlight w:val="none"/>
              </w:rPr>
            </w:pPr>
            <w:r>
              <w:rPr>
                <w:rFonts w:hint="eastAsia" w:ascii="宋体" w:hAnsi="宋体" w:cs="MingLiU"/>
                <w:color w:val="auto"/>
                <w:kern w:val="0"/>
                <w:sz w:val="21"/>
                <w:szCs w:val="21"/>
                <w:highlight w:val="none"/>
              </w:rPr>
              <w:t>备注</w:t>
            </w:r>
          </w:p>
        </w:tc>
      </w:tr>
      <w:tr w14:paraId="04784A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3" w:hRule="exact"/>
        </w:trPr>
        <w:tc>
          <w:tcPr>
            <w:tcW w:w="811" w:type="dxa"/>
            <w:vMerge w:val="continue"/>
            <w:noWrap w:val="0"/>
            <w:vAlign w:val="top"/>
          </w:tcPr>
          <w:p w14:paraId="4B789CED">
            <w:pPr>
              <w:pageBreakBefore w:val="0"/>
              <w:kinsoku/>
              <w:overflowPunct/>
              <w:topLinePunct w:val="0"/>
              <w:autoSpaceDE w:val="0"/>
              <w:autoSpaceDN w:val="0"/>
              <w:bidi w:val="0"/>
              <w:adjustRightInd w:val="0"/>
              <w:snapToGrid w:val="0"/>
              <w:spacing w:line="360" w:lineRule="auto"/>
              <w:jc w:val="left"/>
              <w:rPr>
                <w:rFonts w:ascii="宋体" w:hAnsi="宋体"/>
                <w:color w:val="auto"/>
                <w:kern w:val="0"/>
                <w:sz w:val="21"/>
                <w:szCs w:val="21"/>
                <w:highlight w:val="none"/>
              </w:rPr>
            </w:pPr>
          </w:p>
        </w:tc>
        <w:tc>
          <w:tcPr>
            <w:tcW w:w="777" w:type="dxa"/>
            <w:vMerge w:val="continue"/>
            <w:noWrap w:val="0"/>
            <w:vAlign w:val="top"/>
          </w:tcPr>
          <w:p w14:paraId="3B217580">
            <w:pPr>
              <w:pageBreakBefore w:val="0"/>
              <w:kinsoku/>
              <w:overflowPunct/>
              <w:topLinePunct w:val="0"/>
              <w:autoSpaceDE w:val="0"/>
              <w:autoSpaceDN w:val="0"/>
              <w:bidi w:val="0"/>
              <w:adjustRightInd w:val="0"/>
              <w:snapToGrid w:val="0"/>
              <w:spacing w:line="360" w:lineRule="auto"/>
              <w:jc w:val="left"/>
              <w:rPr>
                <w:rFonts w:ascii="宋体" w:hAnsi="宋体"/>
                <w:color w:val="auto"/>
                <w:kern w:val="0"/>
                <w:sz w:val="21"/>
                <w:szCs w:val="21"/>
                <w:highlight w:val="none"/>
              </w:rPr>
            </w:pPr>
          </w:p>
        </w:tc>
        <w:tc>
          <w:tcPr>
            <w:tcW w:w="743" w:type="dxa"/>
            <w:vMerge w:val="continue"/>
            <w:noWrap w:val="0"/>
            <w:vAlign w:val="top"/>
          </w:tcPr>
          <w:p w14:paraId="61D2AF6E">
            <w:pPr>
              <w:pageBreakBefore w:val="0"/>
              <w:kinsoku/>
              <w:overflowPunct/>
              <w:topLinePunct w:val="0"/>
              <w:autoSpaceDE w:val="0"/>
              <w:autoSpaceDN w:val="0"/>
              <w:bidi w:val="0"/>
              <w:adjustRightInd w:val="0"/>
              <w:snapToGrid w:val="0"/>
              <w:spacing w:line="360" w:lineRule="auto"/>
              <w:jc w:val="left"/>
              <w:rPr>
                <w:rFonts w:ascii="宋体" w:hAnsi="宋体"/>
                <w:color w:val="auto"/>
                <w:kern w:val="0"/>
                <w:sz w:val="21"/>
                <w:szCs w:val="21"/>
                <w:highlight w:val="none"/>
              </w:rPr>
            </w:pPr>
          </w:p>
        </w:tc>
        <w:tc>
          <w:tcPr>
            <w:tcW w:w="1023" w:type="dxa"/>
            <w:noWrap w:val="0"/>
            <w:vAlign w:val="center"/>
          </w:tcPr>
          <w:p w14:paraId="479D0031">
            <w:pPr>
              <w:pageBreakBefore w:val="0"/>
              <w:kinsoku/>
              <w:overflowPunct/>
              <w:topLinePunct w:val="0"/>
              <w:autoSpaceDE w:val="0"/>
              <w:autoSpaceDN w:val="0"/>
              <w:bidi w:val="0"/>
              <w:adjustRightInd w:val="0"/>
              <w:snapToGrid w:val="0"/>
              <w:spacing w:line="360" w:lineRule="auto"/>
              <w:jc w:val="center"/>
              <w:rPr>
                <w:rFonts w:ascii="宋体" w:hAnsi="宋体"/>
                <w:color w:val="auto"/>
                <w:kern w:val="0"/>
                <w:sz w:val="21"/>
                <w:szCs w:val="21"/>
                <w:highlight w:val="none"/>
              </w:rPr>
            </w:pPr>
            <w:r>
              <w:rPr>
                <w:rFonts w:hint="eastAsia" w:ascii="宋体" w:hAnsi="宋体" w:cs="MingLiU"/>
                <w:color w:val="auto"/>
                <w:kern w:val="0"/>
                <w:sz w:val="21"/>
                <w:szCs w:val="21"/>
                <w:highlight w:val="none"/>
              </w:rPr>
              <w:t>证书名称</w:t>
            </w:r>
          </w:p>
        </w:tc>
        <w:tc>
          <w:tcPr>
            <w:tcW w:w="631" w:type="dxa"/>
            <w:noWrap w:val="0"/>
            <w:vAlign w:val="center"/>
          </w:tcPr>
          <w:p w14:paraId="0EA4AC4F">
            <w:pPr>
              <w:pageBreakBefore w:val="0"/>
              <w:kinsoku/>
              <w:overflowPunct/>
              <w:topLinePunct w:val="0"/>
              <w:autoSpaceDE w:val="0"/>
              <w:autoSpaceDN w:val="0"/>
              <w:bidi w:val="0"/>
              <w:adjustRightInd w:val="0"/>
              <w:snapToGrid w:val="0"/>
              <w:spacing w:line="360" w:lineRule="auto"/>
              <w:jc w:val="center"/>
              <w:rPr>
                <w:rFonts w:ascii="宋体" w:hAnsi="宋体"/>
                <w:color w:val="auto"/>
                <w:kern w:val="0"/>
                <w:sz w:val="21"/>
                <w:szCs w:val="21"/>
                <w:highlight w:val="none"/>
              </w:rPr>
            </w:pPr>
            <w:r>
              <w:rPr>
                <w:rFonts w:hint="eastAsia" w:ascii="宋体" w:hAnsi="宋体" w:cs="MingLiU"/>
                <w:color w:val="auto"/>
                <w:kern w:val="0"/>
                <w:sz w:val="21"/>
                <w:szCs w:val="21"/>
                <w:highlight w:val="none"/>
              </w:rPr>
              <w:t>级别</w:t>
            </w:r>
          </w:p>
        </w:tc>
        <w:tc>
          <w:tcPr>
            <w:tcW w:w="2120" w:type="dxa"/>
            <w:noWrap w:val="0"/>
            <w:vAlign w:val="center"/>
          </w:tcPr>
          <w:p w14:paraId="45DB7D88">
            <w:pPr>
              <w:pageBreakBefore w:val="0"/>
              <w:kinsoku/>
              <w:overflowPunct/>
              <w:topLinePunct w:val="0"/>
              <w:autoSpaceDE w:val="0"/>
              <w:autoSpaceDN w:val="0"/>
              <w:bidi w:val="0"/>
              <w:adjustRightInd w:val="0"/>
              <w:snapToGrid w:val="0"/>
              <w:spacing w:line="360" w:lineRule="auto"/>
              <w:jc w:val="center"/>
              <w:rPr>
                <w:rFonts w:ascii="宋体" w:hAnsi="宋体"/>
                <w:color w:val="auto"/>
                <w:kern w:val="0"/>
                <w:sz w:val="21"/>
                <w:szCs w:val="21"/>
                <w:highlight w:val="none"/>
              </w:rPr>
            </w:pPr>
            <w:r>
              <w:rPr>
                <w:rFonts w:hint="eastAsia" w:ascii="宋体" w:hAnsi="宋体" w:cs="MingLiU"/>
                <w:color w:val="auto"/>
                <w:kern w:val="0"/>
                <w:sz w:val="21"/>
                <w:szCs w:val="21"/>
                <w:highlight w:val="none"/>
              </w:rPr>
              <w:t>证号</w:t>
            </w:r>
          </w:p>
        </w:tc>
        <w:tc>
          <w:tcPr>
            <w:tcW w:w="2360" w:type="dxa"/>
            <w:noWrap w:val="0"/>
            <w:vAlign w:val="center"/>
          </w:tcPr>
          <w:p w14:paraId="4CC917F8">
            <w:pPr>
              <w:pageBreakBefore w:val="0"/>
              <w:kinsoku/>
              <w:overflowPunct/>
              <w:topLinePunct w:val="0"/>
              <w:autoSpaceDE w:val="0"/>
              <w:autoSpaceDN w:val="0"/>
              <w:bidi w:val="0"/>
              <w:adjustRightInd w:val="0"/>
              <w:snapToGrid w:val="0"/>
              <w:spacing w:line="360" w:lineRule="auto"/>
              <w:jc w:val="center"/>
              <w:rPr>
                <w:rFonts w:ascii="宋体" w:hAnsi="宋体"/>
                <w:color w:val="auto"/>
                <w:kern w:val="0"/>
                <w:sz w:val="21"/>
                <w:szCs w:val="21"/>
                <w:highlight w:val="none"/>
              </w:rPr>
            </w:pPr>
            <w:r>
              <w:rPr>
                <w:rFonts w:hint="eastAsia" w:ascii="宋体" w:hAnsi="宋体" w:cs="MingLiU"/>
                <w:color w:val="auto"/>
                <w:kern w:val="0"/>
                <w:sz w:val="21"/>
                <w:szCs w:val="21"/>
                <w:highlight w:val="none"/>
              </w:rPr>
              <w:t>专业</w:t>
            </w:r>
          </w:p>
        </w:tc>
        <w:tc>
          <w:tcPr>
            <w:tcW w:w="566" w:type="dxa"/>
            <w:noWrap w:val="0"/>
            <w:vAlign w:val="top"/>
          </w:tcPr>
          <w:p w14:paraId="0451E686">
            <w:pPr>
              <w:pageBreakBefore w:val="0"/>
              <w:kinsoku/>
              <w:overflowPunct/>
              <w:topLinePunct w:val="0"/>
              <w:autoSpaceDE w:val="0"/>
              <w:autoSpaceDN w:val="0"/>
              <w:bidi w:val="0"/>
              <w:adjustRightInd w:val="0"/>
              <w:snapToGrid w:val="0"/>
              <w:spacing w:line="360" w:lineRule="auto"/>
              <w:jc w:val="left"/>
              <w:rPr>
                <w:rFonts w:ascii="宋体" w:hAnsi="宋体"/>
                <w:color w:val="auto"/>
                <w:kern w:val="0"/>
                <w:sz w:val="21"/>
                <w:szCs w:val="21"/>
                <w:highlight w:val="none"/>
              </w:rPr>
            </w:pPr>
          </w:p>
        </w:tc>
      </w:tr>
      <w:tr w14:paraId="2E612F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99" w:hRule="exact"/>
        </w:trPr>
        <w:tc>
          <w:tcPr>
            <w:tcW w:w="811" w:type="dxa"/>
            <w:noWrap w:val="0"/>
            <w:vAlign w:val="center"/>
          </w:tcPr>
          <w:p w14:paraId="597F5264">
            <w:pPr>
              <w:pageBreakBefore w:val="0"/>
              <w:kinsoku/>
              <w:overflowPunct/>
              <w:topLinePunct w:val="0"/>
              <w:autoSpaceDE w:val="0"/>
              <w:autoSpaceDN w:val="0"/>
              <w:bidi w:val="0"/>
              <w:adjustRightInd w:val="0"/>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项目经理</w:t>
            </w:r>
          </w:p>
        </w:tc>
        <w:tc>
          <w:tcPr>
            <w:tcW w:w="777" w:type="dxa"/>
            <w:noWrap w:val="0"/>
            <w:vAlign w:val="center"/>
          </w:tcPr>
          <w:p w14:paraId="5FD01114">
            <w:pPr>
              <w:autoSpaceDE w:val="0"/>
              <w:autoSpaceDN w:val="0"/>
              <w:adjustRightInd w:val="0"/>
              <w:snapToGrid w:val="0"/>
              <w:jc w:val="center"/>
              <w:rPr>
                <w:rFonts w:hint="eastAsia" w:ascii="宋体" w:hAnsi="宋体" w:eastAsia="宋体"/>
                <w:color w:val="auto"/>
                <w:kern w:val="0"/>
                <w:sz w:val="21"/>
                <w:szCs w:val="21"/>
                <w:highlight w:val="none"/>
                <w:lang w:val="en-US" w:eastAsia="zh-CN"/>
              </w:rPr>
            </w:pPr>
          </w:p>
        </w:tc>
        <w:tc>
          <w:tcPr>
            <w:tcW w:w="743" w:type="dxa"/>
            <w:noWrap w:val="0"/>
            <w:vAlign w:val="center"/>
          </w:tcPr>
          <w:p w14:paraId="04DD0240">
            <w:pPr>
              <w:autoSpaceDE w:val="0"/>
              <w:autoSpaceDN w:val="0"/>
              <w:adjustRightInd w:val="0"/>
              <w:snapToGrid w:val="0"/>
              <w:jc w:val="center"/>
              <w:rPr>
                <w:rFonts w:ascii="宋体" w:hAnsi="宋体"/>
                <w:color w:val="auto"/>
                <w:kern w:val="0"/>
                <w:sz w:val="21"/>
                <w:szCs w:val="21"/>
                <w:highlight w:val="none"/>
              </w:rPr>
            </w:pPr>
          </w:p>
        </w:tc>
        <w:tc>
          <w:tcPr>
            <w:tcW w:w="1023" w:type="dxa"/>
            <w:noWrap w:val="0"/>
            <w:vAlign w:val="center"/>
          </w:tcPr>
          <w:p w14:paraId="13832009">
            <w:pPr>
              <w:autoSpaceDE w:val="0"/>
              <w:autoSpaceDN w:val="0"/>
              <w:adjustRightInd w:val="0"/>
              <w:snapToGrid w:val="0"/>
              <w:spacing w:line="360" w:lineRule="auto"/>
              <w:jc w:val="center"/>
              <w:rPr>
                <w:rFonts w:ascii="宋体" w:hAnsi="宋体"/>
                <w:color w:val="auto"/>
                <w:kern w:val="0"/>
                <w:sz w:val="21"/>
                <w:szCs w:val="21"/>
                <w:highlight w:val="none"/>
              </w:rPr>
            </w:pPr>
          </w:p>
        </w:tc>
        <w:tc>
          <w:tcPr>
            <w:tcW w:w="631" w:type="dxa"/>
            <w:noWrap w:val="0"/>
            <w:vAlign w:val="center"/>
          </w:tcPr>
          <w:p w14:paraId="4439E5E3">
            <w:pPr>
              <w:autoSpaceDE w:val="0"/>
              <w:autoSpaceDN w:val="0"/>
              <w:adjustRightInd w:val="0"/>
              <w:snapToGrid w:val="0"/>
              <w:spacing w:line="360" w:lineRule="auto"/>
              <w:jc w:val="center"/>
              <w:rPr>
                <w:rFonts w:ascii="宋体" w:hAnsi="宋体"/>
                <w:color w:val="auto"/>
                <w:kern w:val="0"/>
                <w:sz w:val="21"/>
                <w:szCs w:val="21"/>
                <w:highlight w:val="none"/>
              </w:rPr>
            </w:pPr>
          </w:p>
        </w:tc>
        <w:tc>
          <w:tcPr>
            <w:tcW w:w="2120" w:type="dxa"/>
            <w:noWrap w:val="0"/>
            <w:vAlign w:val="center"/>
          </w:tcPr>
          <w:p w14:paraId="2E03D190">
            <w:pPr>
              <w:autoSpaceDE w:val="0"/>
              <w:autoSpaceDN w:val="0"/>
              <w:adjustRightInd w:val="0"/>
              <w:snapToGrid w:val="0"/>
              <w:spacing w:line="360" w:lineRule="auto"/>
              <w:jc w:val="center"/>
              <w:rPr>
                <w:rFonts w:ascii="宋体" w:hAnsi="宋体"/>
                <w:color w:val="auto"/>
                <w:kern w:val="0"/>
                <w:sz w:val="21"/>
                <w:szCs w:val="21"/>
                <w:highlight w:val="none"/>
              </w:rPr>
            </w:pPr>
          </w:p>
        </w:tc>
        <w:tc>
          <w:tcPr>
            <w:tcW w:w="2360" w:type="dxa"/>
            <w:noWrap w:val="0"/>
            <w:vAlign w:val="center"/>
          </w:tcPr>
          <w:p w14:paraId="7AE5F864">
            <w:pPr>
              <w:autoSpaceDE w:val="0"/>
              <w:autoSpaceDN w:val="0"/>
              <w:adjustRightInd w:val="0"/>
              <w:snapToGrid w:val="0"/>
              <w:spacing w:line="360" w:lineRule="auto"/>
              <w:jc w:val="center"/>
              <w:rPr>
                <w:rFonts w:ascii="宋体" w:hAnsi="宋体"/>
                <w:color w:val="auto"/>
                <w:kern w:val="0"/>
                <w:sz w:val="21"/>
                <w:szCs w:val="21"/>
                <w:highlight w:val="none"/>
              </w:rPr>
            </w:pPr>
          </w:p>
        </w:tc>
        <w:tc>
          <w:tcPr>
            <w:tcW w:w="566" w:type="dxa"/>
            <w:noWrap w:val="0"/>
            <w:vAlign w:val="center"/>
          </w:tcPr>
          <w:p w14:paraId="08853C84">
            <w:pPr>
              <w:pageBreakBefore w:val="0"/>
              <w:kinsoku/>
              <w:overflowPunct/>
              <w:topLinePunct w:val="0"/>
              <w:bidi w:val="0"/>
              <w:spacing w:before="68" w:line="360" w:lineRule="auto"/>
              <w:ind w:left="234" w:leftChars="0"/>
              <w:jc w:val="left"/>
              <w:rPr>
                <w:rFonts w:ascii="宋体" w:hAnsi="宋体"/>
                <w:color w:val="auto"/>
                <w:kern w:val="0"/>
                <w:sz w:val="21"/>
                <w:szCs w:val="21"/>
                <w:highlight w:val="none"/>
              </w:rPr>
            </w:pPr>
          </w:p>
        </w:tc>
      </w:tr>
      <w:tr w14:paraId="10B464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78" w:hRule="exact"/>
        </w:trPr>
        <w:tc>
          <w:tcPr>
            <w:tcW w:w="811" w:type="dxa"/>
            <w:noWrap w:val="0"/>
            <w:vAlign w:val="center"/>
          </w:tcPr>
          <w:p w14:paraId="294F6735">
            <w:pPr>
              <w:pageBreakBefore w:val="0"/>
              <w:kinsoku/>
              <w:overflowPunct/>
              <w:topLinePunct w:val="0"/>
              <w:autoSpaceDE w:val="0"/>
              <w:autoSpaceDN w:val="0"/>
              <w:bidi w:val="0"/>
              <w:adjustRightInd w:val="0"/>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项目技术负责人</w:t>
            </w:r>
          </w:p>
        </w:tc>
        <w:tc>
          <w:tcPr>
            <w:tcW w:w="777" w:type="dxa"/>
            <w:noWrap w:val="0"/>
            <w:vAlign w:val="center"/>
          </w:tcPr>
          <w:p w14:paraId="57971350">
            <w:pPr>
              <w:autoSpaceDE w:val="0"/>
              <w:autoSpaceDN w:val="0"/>
              <w:adjustRightInd w:val="0"/>
              <w:snapToGrid w:val="0"/>
              <w:jc w:val="center"/>
              <w:rPr>
                <w:rFonts w:hint="eastAsia" w:ascii="宋体" w:hAnsi="宋体" w:eastAsia="宋体"/>
                <w:color w:val="auto"/>
                <w:kern w:val="0"/>
                <w:sz w:val="21"/>
                <w:szCs w:val="21"/>
                <w:highlight w:val="none"/>
                <w:lang w:val="en-US" w:eastAsia="zh-CN"/>
              </w:rPr>
            </w:pPr>
          </w:p>
        </w:tc>
        <w:tc>
          <w:tcPr>
            <w:tcW w:w="743" w:type="dxa"/>
            <w:noWrap w:val="0"/>
            <w:vAlign w:val="center"/>
          </w:tcPr>
          <w:p w14:paraId="3DA7EBBD">
            <w:pPr>
              <w:autoSpaceDE w:val="0"/>
              <w:autoSpaceDN w:val="0"/>
              <w:adjustRightInd w:val="0"/>
              <w:snapToGrid w:val="0"/>
              <w:jc w:val="center"/>
              <w:rPr>
                <w:rFonts w:ascii="宋体" w:hAnsi="宋体"/>
                <w:color w:val="auto"/>
                <w:kern w:val="0"/>
                <w:sz w:val="21"/>
                <w:szCs w:val="21"/>
                <w:highlight w:val="none"/>
              </w:rPr>
            </w:pPr>
          </w:p>
        </w:tc>
        <w:tc>
          <w:tcPr>
            <w:tcW w:w="1023" w:type="dxa"/>
            <w:noWrap w:val="0"/>
            <w:vAlign w:val="center"/>
          </w:tcPr>
          <w:p w14:paraId="223327CA">
            <w:pPr>
              <w:autoSpaceDE w:val="0"/>
              <w:autoSpaceDN w:val="0"/>
              <w:adjustRightInd w:val="0"/>
              <w:snapToGrid w:val="0"/>
              <w:jc w:val="center"/>
              <w:rPr>
                <w:rFonts w:ascii="宋体" w:hAnsi="宋体"/>
                <w:color w:val="auto"/>
                <w:kern w:val="0"/>
                <w:sz w:val="21"/>
                <w:szCs w:val="21"/>
                <w:highlight w:val="none"/>
              </w:rPr>
            </w:pPr>
          </w:p>
        </w:tc>
        <w:tc>
          <w:tcPr>
            <w:tcW w:w="631" w:type="dxa"/>
            <w:noWrap w:val="0"/>
            <w:vAlign w:val="center"/>
          </w:tcPr>
          <w:p w14:paraId="3D807E0F">
            <w:pPr>
              <w:autoSpaceDE w:val="0"/>
              <w:autoSpaceDN w:val="0"/>
              <w:adjustRightInd w:val="0"/>
              <w:snapToGrid w:val="0"/>
              <w:jc w:val="center"/>
              <w:rPr>
                <w:rFonts w:ascii="宋体" w:hAnsi="宋体"/>
                <w:color w:val="auto"/>
                <w:kern w:val="0"/>
                <w:sz w:val="21"/>
                <w:szCs w:val="21"/>
                <w:highlight w:val="none"/>
              </w:rPr>
            </w:pPr>
          </w:p>
        </w:tc>
        <w:tc>
          <w:tcPr>
            <w:tcW w:w="2120" w:type="dxa"/>
            <w:noWrap w:val="0"/>
            <w:vAlign w:val="center"/>
          </w:tcPr>
          <w:p w14:paraId="37B616DE">
            <w:pPr>
              <w:autoSpaceDE w:val="0"/>
              <w:autoSpaceDN w:val="0"/>
              <w:adjustRightInd w:val="0"/>
              <w:snapToGrid w:val="0"/>
              <w:jc w:val="center"/>
              <w:rPr>
                <w:rFonts w:ascii="宋体" w:hAnsi="宋体"/>
                <w:color w:val="auto"/>
                <w:kern w:val="0"/>
                <w:sz w:val="21"/>
                <w:szCs w:val="21"/>
                <w:highlight w:val="none"/>
              </w:rPr>
            </w:pPr>
          </w:p>
        </w:tc>
        <w:tc>
          <w:tcPr>
            <w:tcW w:w="2360" w:type="dxa"/>
            <w:noWrap w:val="0"/>
            <w:vAlign w:val="center"/>
          </w:tcPr>
          <w:p w14:paraId="3C2D9577">
            <w:pPr>
              <w:autoSpaceDE w:val="0"/>
              <w:autoSpaceDN w:val="0"/>
              <w:adjustRightInd w:val="0"/>
              <w:snapToGrid w:val="0"/>
              <w:jc w:val="center"/>
              <w:rPr>
                <w:rFonts w:ascii="宋体" w:hAnsi="宋体"/>
                <w:color w:val="auto"/>
                <w:kern w:val="0"/>
                <w:sz w:val="21"/>
                <w:szCs w:val="21"/>
                <w:highlight w:val="none"/>
              </w:rPr>
            </w:pPr>
          </w:p>
        </w:tc>
        <w:tc>
          <w:tcPr>
            <w:tcW w:w="566" w:type="dxa"/>
            <w:noWrap w:val="0"/>
            <w:vAlign w:val="center"/>
          </w:tcPr>
          <w:p w14:paraId="7F556E61">
            <w:pPr>
              <w:pageBreakBefore w:val="0"/>
              <w:kinsoku/>
              <w:overflowPunct/>
              <w:topLinePunct w:val="0"/>
              <w:bidi w:val="0"/>
              <w:spacing w:before="68" w:line="360" w:lineRule="auto"/>
              <w:ind w:left="234" w:leftChars="0"/>
              <w:jc w:val="left"/>
              <w:rPr>
                <w:rFonts w:ascii="宋体" w:hAnsi="宋体"/>
                <w:color w:val="auto"/>
                <w:kern w:val="0"/>
                <w:sz w:val="21"/>
                <w:szCs w:val="21"/>
                <w:highlight w:val="none"/>
              </w:rPr>
            </w:pPr>
          </w:p>
        </w:tc>
      </w:tr>
      <w:tr w14:paraId="232598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79" w:hRule="exact"/>
        </w:trPr>
        <w:tc>
          <w:tcPr>
            <w:tcW w:w="811" w:type="dxa"/>
            <w:noWrap w:val="0"/>
            <w:vAlign w:val="center"/>
          </w:tcPr>
          <w:p w14:paraId="70F1790F">
            <w:pPr>
              <w:pageBreakBefore w:val="0"/>
              <w:kinsoku/>
              <w:overflowPunct/>
              <w:topLinePunct w:val="0"/>
              <w:bidi w:val="0"/>
              <w:spacing w:before="68" w:line="360" w:lineRule="auto"/>
              <w:jc w:val="center"/>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安全员</w:t>
            </w:r>
          </w:p>
        </w:tc>
        <w:tc>
          <w:tcPr>
            <w:tcW w:w="777" w:type="dxa"/>
            <w:noWrap w:val="0"/>
            <w:vAlign w:val="center"/>
          </w:tcPr>
          <w:p w14:paraId="593CE1CC">
            <w:pPr>
              <w:pageBreakBefore w:val="0"/>
              <w:kinsoku/>
              <w:overflowPunct/>
              <w:topLinePunct w:val="0"/>
              <w:bidi w:val="0"/>
              <w:spacing w:before="68" w:line="360" w:lineRule="auto"/>
              <w:jc w:val="center"/>
              <w:rPr>
                <w:rFonts w:hint="eastAsia" w:ascii="宋体" w:hAnsi="宋体" w:eastAsia="宋体" w:cs="宋体"/>
                <w:color w:val="auto"/>
                <w:spacing w:val="-3"/>
                <w:sz w:val="21"/>
                <w:szCs w:val="21"/>
                <w:highlight w:val="none"/>
                <w:lang w:val="en-US" w:eastAsia="zh-CN"/>
              </w:rPr>
            </w:pPr>
          </w:p>
        </w:tc>
        <w:tc>
          <w:tcPr>
            <w:tcW w:w="743" w:type="dxa"/>
            <w:noWrap w:val="0"/>
            <w:vAlign w:val="center"/>
          </w:tcPr>
          <w:p w14:paraId="62EB7975">
            <w:pPr>
              <w:pageBreakBefore w:val="0"/>
              <w:kinsoku/>
              <w:overflowPunct/>
              <w:topLinePunct w:val="0"/>
              <w:bidi w:val="0"/>
              <w:spacing w:before="68" w:line="360" w:lineRule="auto"/>
              <w:jc w:val="center"/>
              <w:rPr>
                <w:rFonts w:hint="default" w:ascii="宋体" w:hAnsi="宋体" w:eastAsia="宋体" w:cs="宋体"/>
                <w:color w:val="auto"/>
                <w:spacing w:val="-3"/>
                <w:sz w:val="21"/>
                <w:szCs w:val="21"/>
                <w:highlight w:val="none"/>
                <w:lang w:val="en-US" w:eastAsia="zh-CN"/>
              </w:rPr>
            </w:pPr>
          </w:p>
        </w:tc>
        <w:tc>
          <w:tcPr>
            <w:tcW w:w="1023" w:type="dxa"/>
            <w:noWrap w:val="0"/>
            <w:vAlign w:val="center"/>
          </w:tcPr>
          <w:p w14:paraId="2CC352AF">
            <w:pPr>
              <w:pageBreakBefore w:val="0"/>
              <w:kinsoku/>
              <w:overflowPunct/>
              <w:topLinePunct w:val="0"/>
              <w:bidi w:val="0"/>
              <w:spacing w:before="68" w:line="360" w:lineRule="auto"/>
              <w:jc w:val="center"/>
              <w:rPr>
                <w:rFonts w:hint="eastAsia" w:ascii="宋体" w:hAnsi="宋体" w:eastAsia="宋体" w:cs="宋体"/>
                <w:color w:val="auto"/>
                <w:spacing w:val="-3"/>
                <w:sz w:val="21"/>
                <w:szCs w:val="21"/>
                <w:highlight w:val="none"/>
                <w:lang w:val="en-US" w:eastAsia="zh-CN"/>
              </w:rPr>
            </w:pPr>
          </w:p>
        </w:tc>
        <w:tc>
          <w:tcPr>
            <w:tcW w:w="631" w:type="dxa"/>
            <w:noWrap w:val="0"/>
            <w:vAlign w:val="center"/>
          </w:tcPr>
          <w:p w14:paraId="7F10F451">
            <w:pPr>
              <w:pageBreakBefore w:val="0"/>
              <w:kinsoku/>
              <w:overflowPunct/>
              <w:topLinePunct w:val="0"/>
              <w:bidi w:val="0"/>
              <w:spacing w:before="68" w:line="360" w:lineRule="auto"/>
              <w:jc w:val="center"/>
              <w:rPr>
                <w:rFonts w:hint="default" w:ascii="宋体" w:hAnsi="宋体" w:eastAsia="宋体" w:cs="宋体"/>
                <w:color w:val="auto"/>
                <w:spacing w:val="-3"/>
                <w:sz w:val="21"/>
                <w:szCs w:val="21"/>
                <w:highlight w:val="none"/>
                <w:lang w:val="en-US" w:eastAsia="zh-CN"/>
              </w:rPr>
            </w:pPr>
          </w:p>
        </w:tc>
        <w:tc>
          <w:tcPr>
            <w:tcW w:w="2120" w:type="dxa"/>
            <w:noWrap w:val="0"/>
            <w:vAlign w:val="center"/>
          </w:tcPr>
          <w:p w14:paraId="75A83F4F">
            <w:pPr>
              <w:pageBreakBefore w:val="0"/>
              <w:kinsoku/>
              <w:overflowPunct/>
              <w:topLinePunct w:val="0"/>
              <w:bidi w:val="0"/>
              <w:spacing w:before="68" w:line="360" w:lineRule="auto"/>
              <w:jc w:val="center"/>
              <w:rPr>
                <w:rFonts w:hint="eastAsia" w:ascii="宋体" w:hAnsi="宋体" w:eastAsia="宋体" w:cs="宋体"/>
                <w:color w:val="auto"/>
                <w:spacing w:val="-3"/>
                <w:sz w:val="21"/>
                <w:szCs w:val="21"/>
                <w:highlight w:val="none"/>
                <w:lang w:val="en-US" w:eastAsia="zh-CN"/>
              </w:rPr>
            </w:pPr>
          </w:p>
        </w:tc>
        <w:tc>
          <w:tcPr>
            <w:tcW w:w="2360" w:type="dxa"/>
            <w:noWrap w:val="0"/>
            <w:vAlign w:val="center"/>
          </w:tcPr>
          <w:p w14:paraId="76E64D2F">
            <w:pPr>
              <w:pageBreakBefore w:val="0"/>
              <w:kinsoku/>
              <w:overflowPunct/>
              <w:topLinePunct w:val="0"/>
              <w:bidi w:val="0"/>
              <w:spacing w:before="68" w:line="360" w:lineRule="auto"/>
              <w:jc w:val="center"/>
              <w:rPr>
                <w:rFonts w:hint="eastAsia" w:ascii="宋体" w:hAnsi="宋体" w:eastAsia="宋体" w:cs="宋体"/>
                <w:color w:val="auto"/>
                <w:spacing w:val="-3"/>
                <w:sz w:val="21"/>
                <w:szCs w:val="21"/>
                <w:highlight w:val="none"/>
                <w:lang w:val="en-US" w:eastAsia="zh-CN"/>
              </w:rPr>
            </w:pPr>
          </w:p>
        </w:tc>
        <w:tc>
          <w:tcPr>
            <w:tcW w:w="566" w:type="dxa"/>
            <w:noWrap w:val="0"/>
            <w:vAlign w:val="center"/>
          </w:tcPr>
          <w:p w14:paraId="7893AFD7">
            <w:pPr>
              <w:pageBreakBefore w:val="0"/>
              <w:kinsoku/>
              <w:overflowPunct/>
              <w:topLinePunct w:val="0"/>
              <w:bidi w:val="0"/>
              <w:spacing w:before="68" w:line="360" w:lineRule="auto"/>
              <w:jc w:val="center"/>
              <w:rPr>
                <w:rFonts w:hint="eastAsia" w:ascii="宋体" w:hAnsi="宋体" w:eastAsia="宋体" w:cs="宋体"/>
                <w:color w:val="auto"/>
                <w:spacing w:val="-3"/>
                <w:sz w:val="21"/>
                <w:szCs w:val="21"/>
                <w:highlight w:val="none"/>
                <w:lang w:eastAsia="zh-CN"/>
              </w:rPr>
            </w:pPr>
          </w:p>
        </w:tc>
      </w:tr>
      <w:tr w14:paraId="43E362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3" w:hRule="exact"/>
        </w:trPr>
        <w:tc>
          <w:tcPr>
            <w:tcW w:w="811" w:type="dxa"/>
            <w:noWrap w:val="0"/>
            <w:vAlign w:val="center"/>
          </w:tcPr>
          <w:p w14:paraId="774E5D34">
            <w:pPr>
              <w:pageBreakBefore w:val="0"/>
              <w:kinsoku/>
              <w:overflowPunct/>
              <w:topLinePunct w:val="0"/>
              <w:bidi w:val="0"/>
              <w:spacing w:before="68" w:line="360" w:lineRule="auto"/>
              <w:jc w:val="center"/>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eastAsia="zh-CN"/>
              </w:rPr>
              <w:t>质量员</w:t>
            </w:r>
          </w:p>
        </w:tc>
        <w:tc>
          <w:tcPr>
            <w:tcW w:w="777" w:type="dxa"/>
            <w:noWrap w:val="0"/>
            <w:vAlign w:val="center"/>
          </w:tcPr>
          <w:p w14:paraId="5E8DB95C">
            <w:pPr>
              <w:pageBreakBefore w:val="0"/>
              <w:kinsoku/>
              <w:overflowPunct/>
              <w:topLinePunct w:val="0"/>
              <w:bidi w:val="0"/>
              <w:spacing w:before="68" w:line="360" w:lineRule="auto"/>
              <w:jc w:val="center"/>
              <w:rPr>
                <w:rFonts w:hint="eastAsia" w:ascii="宋体" w:hAnsi="宋体" w:eastAsia="宋体" w:cs="宋体"/>
                <w:color w:val="auto"/>
                <w:spacing w:val="-3"/>
                <w:sz w:val="21"/>
                <w:szCs w:val="21"/>
                <w:highlight w:val="none"/>
                <w:lang w:eastAsia="zh-CN"/>
              </w:rPr>
            </w:pPr>
          </w:p>
        </w:tc>
        <w:tc>
          <w:tcPr>
            <w:tcW w:w="743" w:type="dxa"/>
            <w:noWrap w:val="0"/>
            <w:vAlign w:val="center"/>
          </w:tcPr>
          <w:p w14:paraId="7B6DC37B">
            <w:pPr>
              <w:pageBreakBefore w:val="0"/>
              <w:kinsoku/>
              <w:overflowPunct/>
              <w:topLinePunct w:val="0"/>
              <w:bidi w:val="0"/>
              <w:spacing w:before="68" w:line="360" w:lineRule="auto"/>
              <w:jc w:val="center"/>
              <w:rPr>
                <w:rFonts w:hint="default" w:ascii="宋体" w:hAnsi="宋体" w:eastAsia="宋体" w:cs="宋体"/>
                <w:color w:val="auto"/>
                <w:spacing w:val="-3"/>
                <w:sz w:val="21"/>
                <w:szCs w:val="21"/>
                <w:highlight w:val="none"/>
                <w:lang w:val="en-US" w:eastAsia="zh-CN"/>
              </w:rPr>
            </w:pPr>
          </w:p>
        </w:tc>
        <w:tc>
          <w:tcPr>
            <w:tcW w:w="1023" w:type="dxa"/>
            <w:noWrap w:val="0"/>
            <w:vAlign w:val="center"/>
          </w:tcPr>
          <w:p w14:paraId="55CAF05A">
            <w:pPr>
              <w:pageBreakBefore w:val="0"/>
              <w:kinsoku/>
              <w:overflowPunct/>
              <w:topLinePunct w:val="0"/>
              <w:bidi w:val="0"/>
              <w:spacing w:before="68" w:line="360" w:lineRule="auto"/>
              <w:jc w:val="center"/>
              <w:rPr>
                <w:rFonts w:hint="eastAsia" w:ascii="宋体" w:hAnsi="宋体" w:eastAsia="宋体" w:cs="宋体"/>
                <w:color w:val="auto"/>
                <w:spacing w:val="-3"/>
                <w:sz w:val="21"/>
                <w:szCs w:val="21"/>
                <w:highlight w:val="none"/>
                <w:lang w:eastAsia="zh-CN"/>
              </w:rPr>
            </w:pPr>
          </w:p>
        </w:tc>
        <w:tc>
          <w:tcPr>
            <w:tcW w:w="631" w:type="dxa"/>
            <w:noWrap w:val="0"/>
            <w:vAlign w:val="center"/>
          </w:tcPr>
          <w:p w14:paraId="570AFAD2">
            <w:pPr>
              <w:pageBreakBefore w:val="0"/>
              <w:kinsoku/>
              <w:overflowPunct/>
              <w:topLinePunct w:val="0"/>
              <w:bidi w:val="0"/>
              <w:spacing w:before="68" w:line="360" w:lineRule="auto"/>
              <w:jc w:val="center"/>
              <w:rPr>
                <w:rFonts w:hint="default" w:ascii="宋体" w:hAnsi="宋体" w:eastAsia="宋体" w:cs="宋体"/>
                <w:color w:val="auto"/>
                <w:spacing w:val="-3"/>
                <w:sz w:val="21"/>
                <w:szCs w:val="21"/>
                <w:highlight w:val="none"/>
                <w:lang w:val="en-US" w:eastAsia="zh-CN"/>
              </w:rPr>
            </w:pPr>
          </w:p>
        </w:tc>
        <w:tc>
          <w:tcPr>
            <w:tcW w:w="2120" w:type="dxa"/>
            <w:noWrap w:val="0"/>
            <w:vAlign w:val="center"/>
          </w:tcPr>
          <w:p w14:paraId="32359699">
            <w:pPr>
              <w:pageBreakBefore w:val="0"/>
              <w:kinsoku/>
              <w:overflowPunct/>
              <w:topLinePunct w:val="0"/>
              <w:bidi w:val="0"/>
              <w:spacing w:before="68" w:line="360" w:lineRule="auto"/>
              <w:jc w:val="center"/>
              <w:rPr>
                <w:rFonts w:hint="default" w:ascii="宋体" w:hAnsi="宋体" w:eastAsia="宋体" w:cs="宋体"/>
                <w:color w:val="auto"/>
                <w:spacing w:val="-3"/>
                <w:sz w:val="21"/>
                <w:szCs w:val="21"/>
                <w:highlight w:val="none"/>
                <w:lang w:val="en-US" w:eastAsia="zh-CN"/>
              </w:rPr>
            </w:pPr>
          </w:p>
        </w:tc>
        <w:tc>
          <w:tcPr>
            <w:tcW w:w="2360" w:type="dxa"/>
            <w:noWrap w:val="0"/>
            <w:vAlign w:val="center"/>
          </w:tcPr>
          <w:p w14:paraId="7CB5A82B">
            <w:pPr>
              <w:pageBreakBefore w:val="0"/>
              <w:kinsoku/>
              <w:overflowPunct/>
              <w:topLinePunct w:val="0"/>
              <w:bidi w:val="0"/>
              <w:spacing w:before="68" w:line="360" w:lineRule="auto"/>
              <w:jc w:val="center"/>
              <w:rPr>
                <w:rFonts w:hint="eastAsia" w:ascii="宋体" w:hAnsi="宋体" w:eastAsia="宋体" w:cs="宋体"/>
                <w:color w:val="auto"/>
                <w:spacing w:val="-3"/>
                <w:sz w:val="21"/>
                <w:szCs w:val="21"/>
                <w:highlight w:val="none"/>
                <w:lang w:eastAsia="zh-CN"/>
              </w:rPr>
            </w:pPr>
          </w:p>
        </w:tc>
        <w:tc>
          <w:tcPr>
            <w:tcW w:w="566" w:type="dxa"/>
            <w:noWrap w:val="0"/>
            <w:vAlign w:val="center"/>
          </w:tcPr>
          <w:p w14:paraId="059E1018">
            <w:pPr>
              <w:pageBreakBefore w:val="0"/>
              <w:kinsoku/>
              <w:overflowPunct/>
              <w:topLinePunct w:val="0"/>
              <w:bidi w:val="0"/>
              <w:spacing w:before="68" w:line="360" w:lineRule="auto"/>
              <w:jc w:val="center"/>
              <w:rPr>
                <w:rFonts w:hint="eastAsia" w:ascii="宋体" w:hAnsi="宋体" w:eastAsia="宋体" w:cs="宋体"/>
                <w:color w:val="auto"/>
                <w:spacing w:val="-3"/>
                <w:sz w:val="21"/>
                <w:szCs w:val="21"/>
                <w:highlight w:val="none"/>
                <w:lang w:eastAsia="zh-CN"/>
              </w:rPr>
            </w:pPr>
          </w:p>
        </w:tc>
      </w:tr>
      <w:tr w14:paraId="28C772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3" w:hRule="exact"/>
        </w:trPr>
        <w:tc>
          <w:tcPr>
            <w:tcW w:w="811" w:type="dxa"/>
            <w:noWrap w:val="0"/>
            <w:vAlign w:val="center"/>
          </w:tcPr>
          <w:p w14:paraId="1758669D">
            <w:pPr>
              <w:pageBreakBefore w:val="0"/>
              <w:kinsoku/>
              <w:overflowPunct/>
              <w:topLinePunct w:val="0"/>
              <w:bidi w:val="0"/>
              <w:spacing w:before="68" w:line="360" w:lineRule="auto"/>
              <w:jc w:val="center"/>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eastAsia="zh-CN"/>
              </w:rPr>
              <w:t>施工员</w:t>
            </w:r>
          </w:p>
        </w:tc>
        <w:tc>
          <w:tcPr>
            <w:tcW w:w="777" w:type="dxa"/>
            <w:noWrap w:val="0"/>
            <w:vAlign w:val="center"/>
          </w:tcPr>
          <w:p w14:paraId="509EC462">
            <w:pPr>
              <w:pageBreakBefore w:val="0"/>
              <w:kinsoku/>
              <w:overflowPunct/>
              <w:topLinePunct w:val="0"/>
              <w:bidi w:val="0"/>
              <w:spacing w:before="68" w:line="360" w:lineRule="auto"/>
              <w:jc w:val="center"/>
              <w:rPr>
                <w:rFonts w:hint="eastAsia" w:ascii="宋体" w:hAnsi="宋体" w:eastAsia="宋体" w:cs="宋体"/>
                <w:color w:val="auto"/>
                <w:spacing w:val="-3"/>
                <w:sz w:val="21"/>
                <w:szCs w:val="21"/>
                <w:highlight w:val="none"/>
                <w:lang w:eastAsia="zh-CN"/>
              </w:rPr>
            </w:pPr>
          </w:p>
        </w:tc>
        <w:tc>
          <w:tcPr>
            <w:tcW w:w="743" w:type="dxa"/>
            <w:noWrap w:val="0"/>
            <w:vAlign w:val="center"/>
          </w:tcPr>
          <w:p w14:paraId="43BA0F09">
            <w:pPr>
              <w:pageBreakBefore w:val="0"/>
              <w:kinsoku/>
              <w:overflowPunct/>
              <w:topLinePunct w:val="0"/>
              <w:bidi w:val="0"/>
              <w:spacing w:before="68" w:line="360" w:lineRule="auto"/>
              <w:jc w:val="center"/>
              <w:rPr>
                <w:rFonts w:hint="eastAsia" w:ascii="宋体" w:hAnsi="宋体" w:eastAsia="宋体" w:cs="宋体"/>
                <w:color w:val="auto"/>
                <w:spacing w:val="-3"/>
                <w:sz w:val="21"/>
                <w:szCs w:val="21"/>
                <w:highlight w:val="none"/>
                <w:lang w:eastAsia="zh-CN"/>
              </w:rPr>
            </w:pPr>
          </w:p>
        </w:tc>
        <w:tc>
          <w:tcPr>
            <w:tcW w:w="1023" w:type="dxa"/>
            <w:noWrap w:val="0"/>
            <w:vAlign w:val="center"/>
          </w:tcPr>
          <w:p w14:paraId="4A615C0B">
            <w:pPr>
              <w:pageBreakBefore w:val="0"/>
              <w:kinsoku/>
              <w:overflowPunct/>
              <w:topLinePunct w:val="0"/>
              <w:bidi w:val="0"/>
              <w:spacing w:before="68" w:line="360" w:lineRule="auto"/>
              <w:jc w:val="center"/>
              <w:rPr>
                <w:rFonts w:hint="eastAsia" w:ascii="宋体" w:hAnsi="宋体" w:eastAsia="宋体" w:cs="宋体"/>
                <w:color w:val="auto"/>
                <w:spacing w:val="-3"/>
                <w:sz w:val="21"/>
                <w:szCs w:val="21"/>
                <w:highlight w:val="none"/>
                <w:lang w:eastAsia="zh-CN"/>
              </w:rPr>
            </w:pPr>
          </w:p>
        </w:tc>
        <w:tc>
          <w:tcPr>
            <w:tcW w:w="631" w:type="dxa"/>
            <w:noWrap w:val="0"/>
            <w:vAlign w:val="center"/>
          </w:tcPr>
          <w:p w14:paraId="69CE949E">
            <w:pPr>
              <w:pageBreakBefore w:val="0"/>
              <w:kinsoku/>
              <w:overflowPunct/>
              <w:topLinePunct w:val="0"/>
              <w:bidi w:val="0"/>
              <w:spacing w:before="68" w:line="360" w:lineRule="auto"/>
              <w:jc w:val="center"/>
              <w:rPr>
                <w:rFonts w:hint="eastAsia" w:ascii="宋体" w:hAnsi="宋体" w:eastAsia="宋体" w:cs="宋体"/>
                <w:color w:val="auto"/>
                <w:spacing w:val="-3"/>
                <w:sz w:val="21"/>
                <w:szCs w:val="21"/>
                <w:highlight w:val="none"/>
                <w:lang w:eastAsia="zh-CN"/>
              </w:rPr>
            </w:pPr>
          </w:p>
        </w:tc>
        <w:tc>
          <w:tcPr>
            <w:tcW w:w="2120" w:type="dxa"/>
            <w:noWrap w:val="0"/>
            <w:vAlign w:val="center"/>
          </w:tcPr>
          <w:p w14:paraId="1C60A9A7">
            <w:pPr>
              <w:pageBreakBefore w:val="0"/>
              <w:kinsoku/>
              <w:overflowPunct/>
              <w:topLinePunct w:val="0"/>
              <w:bidi w:val="0"/>
              <w:spacing w:before="68" w:line="360" w:lineRule="auto"/>
              <w:jc w:val="center"/>
              <w:rPr>
                <w:rFonts w:hint="eastAsia" w:ascii="宋体" w:hAnsi="宋体" w:eastAsia="宋体" w:cs="宋体"/>
                <w:color w:val="auto"/>
                <w:spacing w:val="-3"/>
                <w:sz w:val="21"/>
                <w:szCs w:val="21"/>
                <w:highlight w:val="none"/>
                <w:lang w:eastAsia="zh-CN"/>
              </w:rPr>
            </w:pPr>
          </w:p>
        </w:tc>
        <w:tc>
          <w:tcPr>
            <w:tcW w:w="2360" w:type="dxa"/>
            <w:noWrap w:val="0"/>
            <w:vAlign w:val="center"/>
          </w:tcPr>
          <w:p w14:paraId="3E1C2403">
            <w:pPr>
              <w:pageBreakBefore w:val="0"/>
              <w:kinsoku/>
              <w:overflowPunct/>
              <w:topLinePunct w:val="0"/>
              <w:bidi w:val="0"/>
              <w:spacing w:before="68" w:line="360" w:lineRule="auto"/>
              <w:jc w:val="center"/>
              <w:rPr>
                <w:rFonts w:hint="eastAsia" w:ascii="宋体" w:hAnsi="宋体" w:eastAsia="宋体" w:cs="宋体"/>
                <w:color w:val="auto"/>
                <w:spacing w:val="-3"/>
                <w:sz w:val="21"/>
                <w:szCs w:val="21"/>
                <w:highlight w:val="none"/>
                <w:lang w:eastAsia="zh-CN"/>
              </w:rPr>
            </w:pPr>
          </w:p>
        </w:tc>
        <w:tc>
          <w:tcPr>
            <w:tcW w:w="566" w:type="dxa"/>
            <w:noWrap w:val="0"/>
            <w:vAlign w:val="center"/>
          </w:tcPr>
          <w:p w14:paraId="292958BD">
            <w:pPr>
              <w:pageBreakBefore w:val="0"/>
              <w:kinsoku/>
              <w:overflowPunct/>
              <w:topLinePunct w:val="0"/>
              <w:bidi w:val="0"/>
              <w:spacing w:before="68" w:line="360" w:lineRule="auto"/>
              <w:jc w:val="center"/>
              <w:rPr>
                <w:rFonts w:hint="eastAsia" w:ascii="宋体" w:hAnsi="宋体" w:eastAsia="宋体" w:cs="宋体"/>
                <w:color w:val="auto"/>
                <w:spacing w:val="-3"/>
                <w:sz w:val="21"/>
                <w:szCs w:val="21"/>
                <w:highlight w:val="none"/>
                <w:lang w:eastAsia="zh-CN"/>
              </w:rPr>
            </w:pPr>
          </w:p>
        </w:tc>
      </w:tr>
      <w:tr w14:paraId="134B04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3" w:hRule="exact"/>
        </w:trPr>
        <w:tc>
          <w:tcPr>
            <w:tcW w:w="811" w:type="dxa"/>
            <w:noWrap w:val="0"/>
            <w:vAlign w:val="center"/>
          </w:tcPr>
          <w:p w14:paraId="5A259363">
            <w:pPr>
              <w:pageBreakBefore w:val="0"/>
              <w:kinsoku/>
              <w:overflowPunct/>
              <w:topLinePunct w:val="0"/>
              <w:bidi w:val="0"/>
              <w:spacing w:before="68" w:line="360" w:lineRule="auto"/>
              <w:jc w:val="center"/>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eastAsia="zh-CN"/>
              </w:rPr>
              <w:t>材料员</w:t>
            </w:r>
          </w:p>
        </w:tc>
        <w:tc>
          <w:tcPr>
            <w:tcW w:w="777" w:type="dxa"/>
            <w:noWrap w:val="0"/>
            <w:vAlign w:val="center"/>
          </w:tcPr>
          <w:p w14:paraId="54AB7D78">
            <w:pPr>
              <w:pageBreakBefore w:val="0"/>
              <w:kinsoku/>
              <w:overflowPunct/>
              <w:topLinePunct w:val="0"/>
              <w:bidi w:val="0"/>
              <w:spacing w:before="68" w:line="360" w:lineRule="auto"/>
              <w:jc w:val="center"/>
              <w:rPr>
                <w:rFonts w:hint="eastAsia" w:ascii="宋体" w:hAnsi="宋体" w:eastAsia="宋体" w:cs="宋体"/>
                <w:color w:val="auto"/>
                <w:spacing w:val="-3"/>
                <w:sz w:val="21"/>
                <w:szCs w:val="21"/>
                <w:highlight w:val="none"/>
                <w:lang w:eastAsia="zh-CN"/>
              </w:rPr>
            </w:pPr>
          </w:p>
        </w:tc>
        <w:tc>
          <w:tcPr>
            <w:tcW w:w="743" w:type="dxa"/>
            <w:noWrap w:val="0"/>
            <w:vAlign w:val="center"/>
          </w:tcPr>
          <w:p w14:paraId="13D625F6">
            <w:pPr>
              <w:pageBreakBefore w:val="0"/>
              <w:kinsoku/>
              <w:overflowPunct/>
              <w:topLinePunct w:val="0"/>
              <w:bidi w:val="0"/>
              <w:spacing w:before="68" w:line="360" w:lineRule="auto"/>
              <w:jc w:val="center"/>
              <w:rPr>
                <w:rFonts w:hint="default" w:ascii="宋体" w:hAnsi="宋体" w:eastAsia="宋体" w:cs="宋体"/>
                <w:color w:val="auto"/>
                <w:spacing w:val="-3"/>
                <w:sz w:val="21"/>
                <w:szCs w:val="21"/>
                <w:highlight w:val="none"/>
                <w:lang w:val="en-US" w:eastAsia="zh-CN"/>
              </w:rPr>
            </w:pPr>
          </w:p>
        </w:tc>
        <w:tc>
          <w:tcPr>
            <w:tcW w:w="1023" w:type="dxa"/>
            <w:noWrap w:val="0"/>
            <w:vAlign w:val="center"/>
          </w:tcPr>
          <w:p w14:paraId="0ED080B9">
            <w:pPr>
              <w:pageBreakBefore w:val="0"/>
              <w:kinsoku/>
              <w:overflowPunct/>
              <w:topLinePunct w:val="0"/>
              <w:bidi w:val="0"/>
              <w:spacing w:before="68" w:line="360" w:lineRule="auto"/>
              <w:jc w:val="center"/>
              <w:rPr>
                <w:rFonts w:hint="eastAsia" w:ascii="宋体" w:hAnsi="宋体" w:eastAsia="宋体" w:cs="宋体"/>
                <w:color w:val="auto"/>
                <w:spacing w:val="-3"/>
                <w:sz w:val="21"/>
                <w:szCs w:val="21"/>
                <w:highlight w:val="none"/>
                <w:lang w:eastAsia="zh-CN"/>
              </w:rPr>
            </w:pPr>
          </w:p>
        </w:tc>
        <w:tc>
          <w:tcPr>
            <w:tcW w:w="631" w:type="dxa"/>
            <w:noWrap w:val="0"/>
            <w:vAlign w:val="center"/>
          </w:tcPr>
          <w:p w14:paraId="46D2DA7F">
            <w:pPr>
              <w:pageBreakBefore w:val="0"/>
              <w:kinsoku/>
              <w:overflowPunct/>
              <w:topLinePunct w:val="0"/>
              <w:bidi w:val="0"/>
              <w:spacing w:before="68" w:line="360" w:lineRule="auto"/>
              <w:jc w:val="center"/>
              <w:rPr>
                <w:rFonts w:hint="default" w:ascii="宋体" w:hAnsi="宋体" w:eastAsia="宋体" w:cs="宋体"/>
                <w:color w:val="auto"/>
                <w:spacing w:val="-3"/>
                <w:sz w:val="21"/>
                <w:szCs w:val="21"/>
                <w:highlight w:val="none"/>
                <w:lang w:val="en-US" w:eastAsia="zh-CN"/>
              </w:rPr>
            </w:pPr>
          </w:p>
        </w:tc>
        <w:tc>
          <w:tcPr>
            <w:tcW w:w="2120" w:type="dxa"/>
            <w:noWrap w:val="0"/>
            <w:vAlign w:val="center"/>
          </w:tcPr>
          <w:p w14:paraId="2F609A05">
            <w:pPr>
              <w:pageBreakBefore w:val="0"/>
              <w:kinsoku/>
              <w:overflowPunct/>
              <w:topLinePunct w:val="0"/>
              <w:bidi w:val="0"/>
              <w:spacing w:before="68" w:line="360" w:lineRule="auto"/>
              <w:jc w:val="center"/>
              <w:rPr>
                <w:rFonts w:hint="eastAsia" w:ascii="宋体" w:hAnsi="宋体" w:eastAsia="宋体" w:cs="宋体"/>
                <w:color w:val="auto"/>
                <w:spacing w:val="-3"/>
                <w:sz w:val="21"/>
                <w:szCs w:val="21"/>
                <w:highlight w:val="none"/>
                <w:lang w:eastAsia="zh-CN"/>
              </w:rPr>
            </w:pPr>
          </w:p>
        </w:tc>
        <w:tc>
          <w:tcPr>
            <w:tcW w:w="2360" w:type="dxa"/>
            <w:noWrap w:val="0"/>
            <w:vAlign w:val="center"/>
          </w:tcPr>
          <w:p w14:paraId="548A84BF">
            <w:pPr>
              <w:pageBreakBefore w:val="0"/>
              <w:kinsoku/>
              <w:overflowPunct/>
              <w:topLinePunct w:val="0"/>
              <w:bidi w:val="0"/>
              <w:spacing w:before="68" w:line="360" w:lineRule="auto"/>
              <w:jc w:val="center"/>
              <w:rPr>
                <w:rFonts w:hint="eastAsia" w:ascii="宋体" w:hAnsi="宋体" w:eastAsia="宋体" w:cs="宋体"/>
                <w:color w:val="auto"/>
                <w:spacing w:val="-3"/>
                <w:sz w:val="21"/>
                <w:szCs w:val="21"/>
                <w:highlight w:val="none"/>
                <w:lang w:eastAsia="zh-CN"/>
              </w:rPr>
            </w:pPr>
          </w:p>
        </w:tc>
        <w:tc>
          <w:tcPr>
            <w:tcW w:w="566" w:type="dxa"/>
            <w:noWrap w:val="0"/>
            <w:vAlign w:val="center"/>
          </w:tcPr>
          <w:p w14:paraId="0470C8FA">
            <w:pPr>
              <w:pageBreakBefore w:val="0"/>
              <w:kinsoku/>
              <w:overflowPunct/>
              <w:topLinePunct w:val="0"/>
              <w:bidi w:val="0"/>
              <w:spacing w:before="68" w:line="360" w:lineRule="auto"/>
              <w:jc w:val="center"/>
              <w:rPr>
                <w:rFonts w:hint="eastAsia" w:ascii="宋体" w:hAnsi="宋体" w:eastAsia="宋体" w:cs="宋体"/>
                <w:color w:val="auto"/>
                <w:spacing w:val="-3"/>
                <w:sz w:val="21"/>
                <w:szCs w:val="21"/>
                <w:highlight w:val="none"/>
                <w:lang w:eastAsia="zh-CN"/>
              </w:rPr>
            </w:pPr>
          </w:p>
        </w:tc>
      </w:tr>
      <w:tr w14:paraId="6F712A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3" w:hRule="exact"/>
        </w:trPr>
        <w:tc>
          <w:tcPr>
            <w:tcW w:w="811" w:type="dxa"/>
            <w:noWrap w:val="0"/>
            <w:vAlign w:val="center"/>
          </w:tcPr>
          <w:p w14:paraId="42EAE8A8">
            <w:pPr>
              <w:pageBreakBefore w:val="0"/>
              <w:kinsoku/>
              <w:overflowPunct/>
              <w:topLinePunct w:val="0"/>
              <w:bidi w:val="0"/>
              <w:spacing w:before="68" w:line="360" w:lineRule="auto"/>
              <w:jc w:val="center"/>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eastAsia="zh-CN"/>
              </w:rPr>
              <w:t>劳务员</w:t>
            </w:r>
          </w:p>
        </w:tc>
        <w:tc>
          <w:tcPr>
            <w:tcW w:w="777" w:type="dxa"/>
            <w:noWrap w:val="0"/>
            <w:vAlign w:val="center"/>
          </w:tcPr>
          <w:p w14:paraId="2DBCC6B8">
            <w:pPr>
              <w:pageBreakBefore w:val="0"/>
              <w:kinsoku/>
              <w:overflowPunct/>
              <w:topLinePunct w:val="0"/>
              <w:bidi w:val="0"/>
              <w:spacing w:before="68" w:line="360" w:lineRule="auto"/>
              <w:jc w:val="center"/>
              <w:rPr>
                <w:rFonts w:hint="eastAsia" w:ascii="宋体" w:hAnsi="宋体" w:eastAsia="宋体" w:cs="宋体"/>
                <w:color w:val="auto"/>
                <w:spacing w:val="-3"/>
                <w:sz w:val="21"/>
                <w:szCs w:val="21"/>
                <w:highlight w:val="none"/>
                <w:lang w:eastAsia="zh-CN"/>
              </w:rPr>
            </w:pPr>
          </w:p>
        </w:tc>
        <w:tc>
          <w:tcPr>
            <w:tcW w:w="743" w:type="dxa"/>
            <w:noWrap w:val="0"/>
            <w:vAlign w:val="center"/>
          </w:tcPr>
          <w:p w14:paraId="4A386D62">
            <w:pPr>
              <w:pageBreakBefore w:val="0"/>
              <w:kinsoku/>
              <w:overflowPunct/>
              <w:topLinePunct w:val="0"/>
              <w:bidi w:val="0"/>
              <w:spacing w:before="68" w:line="360" w:lineRule="auto"/>
              <w:jc w:val="center"/>
              <w:rPr>
                <w:rFonts w:hint="default" w:ascii="宋体" w:hAnsi="宋体" w:eastAsia="宋体" w:cs="宋体"/>
                <w:color w:val="auto"/>
                <w:spacing w:val="-3"/>
                <w:sz w:val="21"/>
                <w:szCs w:val="21"/>
                <w:highlight w:val="none"/>
                <w:lang w:val="en-US" w:eastAsia="zh-CN"/>
              </w:rPr>
            </w:pPr>
          </w:p>
        </w:tc>
        <w:tc>
          <w:tcPr>
            <w:tcW w:w="1023" w:type="dxa"/>
            <w:noWrap w:val="0"/>
            <w:vAlign w:val="center"/>
          </w:tcPr>
          <w:p w14:paraId="593DA040">
            <w:pPr>
              <w:pageBreakBefore w:val="0"/>
              <w:kinsoku/>
              <w:overflowPunct/>
              <w:topLinePunct w:val="0"/>
              <w:bidi w:val="0"/>
              <w:spacing w:before="68" w:line="360" w:lineRule="auto"/>
              <w:jc w:val="center"/>
              <w:rPr>
                <w:rFonts w:hint="eastAsia" w:ascii="宋体" w:hAnsi="宋体" w:eastAsia="宋体" w:cs="宋体"/>
                <w:color w:val="auto"/>
                <w:spacing w:val="-3"/>
                <w:sz w:val="21"/>
                <w:szCs w:val="21"/>
                <w:highlight w:val="none"/>
                <w:lang w:eastAsia="zh-CN"/>
              </w:rPr>
            </w:pPr>
          </w:p>
        </w:tc>
        <w:tc>
          <w:tcPr>
            <w:tcW w:w="631" w:type="dxa"/>
            <w:noWrap w:val="0"/>
            <w:vAlign w:val="center"/>
          </w:tcPr>
          <w:p w14:paraId="10EC7B69">
            <w:pPr>
              <w:pageBreakBefore w:val="0"/>
              <w:kinsoku/>
              <w:overflowPunct/>
              <w:topLinePunct w:val="0"/>
              <w:bidi w:val="0"/>
              <w:spacing w:before="68" w:line="360" w:lineRule="auto"/>
              <w:jc w:val="center"/>
              <w:rPr>
                <w:rFonts w:hint="default" w:ascii="宋体" w:hAnsi="宋体" w:eastAsia="宋体" w:cs="宋体"/>
                <w:color w:val="auto"/>
                <w:spacing w:val="-3"/>
                <w:sz w:val="21"/>
                <w:szCs w:val="21"/>
                <w:highlight w:val="none"/>
                <w:lang w:val="en-US" w:eastAsia="zh-CN"/>
              </w:rPr>
            </w:pPr>
          </w:p>
        </w:tc>
        <w:tc>
          <w:tcPr>
            <w:tcW w:w="2120" w:type="dxa"/>
            <w:noWrap w:val="0"/>
            <w:vAlign w:val="center"/>
          </w:tcPr>
          <w:p w14:paraId="198CC464">
            <w:pPr>
              <w:pageBreakBefore w:val="0"/>
              <w:kinsoku/>
              <w:overflowPunct/>
              <w:topLinePunct w:val="0"/>
              <w:bidi w:val="0"/>
              <w:spacing w:before="68" w:line="360" w:lineRule="auto"/>
              <w:jc w:val="center"/>
              <w:rPr>
                <w:rFonts w:hint="eastAsia" w:ascii="宋体" w:hAnsi="宋体" w:eastAsia="宋体" w:cs="宋体"/>
                <w:color w:val="auto"/>
                <w:spacing w:val="-3"/>
                <w:sz w:val="21"/>
                <w:szCs w:val="21"/>
                <w:highlight w:val="none"/>
                <w:lang w:eastAsia="zh-CN"/>
              </w:rPr>
            </w:pPr>
          </w:p>
        </w:tc>
        <w:tc>
          <w:tcPr>
            <w:tcW w:w="2360" w:type="dxa"/>
            <w:noWrap w:val="0"/>
            <w:vAlign w:val="center"/>
          </w:tcPr>
          <w:p w14:paraId="7DF4EE64">
            <w:pPr>
              <w:pageBreakBefore w:val="0"/>
              <w:kinsoku/>
              <w:overflowPunct/>
              <w:topLinePunct w:val="0"/>
              <w:bidi w:val="0"/>
              <w:spacing w:before="68" w:line="360" w:lineRule="auto"/>
              <w:jc w:val="center"/>
              <w:rPr>
                <w:rFonts w:hint="eastAsia" w:ascii="宋体" w:hAnsi="宋体" w:eastAsia="宋体" w:cs="宋体"/>
                <w:color w:val="auto"/>
                <w:spacing w:val="-3"/>
                <w:sz w:val="21"/>
                <w:szCs w:val="21"/>
                <w:highlight w:val="none"/>
                <w:lang w:eastAsia="zh-CN"/>
              </w:rPr>
            </w:pPr>
          </w:p>
        </w:tc>
        <w:tc>
          <w:tcPr>
            <w:tcW w:w="566" w:type="dxa"/>
            <w:noWrap w:val="0"/>
            <w:vAlign w:val="center"/>
          </w:tcPr>
          <w:p w14:paraId="72BE25F1">
            <w:pPr>
              <w:pageBreakBefore w:val="0"/>
              <w:kinsoku/>
              <w:overflowPunct/>
              <w:topLinePunct w:val="0"/>
              <w:bidi w:val="0"/>
              <w:spacing w:before="68" w:line="360" w:lineRule="auto"/>
              <w:jc w:val="center"/>
              <w:rPr>
                <w:rFonts w:hint="eastAsia" w:ascii="宋体" w:hAnsi="宋体" w:eastAsia="宋体" w:cs="宋体"/>
                <w:color w:val="auto"/>
                <w:spacing w:val="-3"/>
                <w:sz w:val="21"/>
                <w:szCs w:val="21"/>
                <w:highlight w:val="none"/>
                <w:lang w:eastAsia="zh-CN"/>
              </w:rPr>
            </w:pPr>
          </w:p>
        </w:tc>
      </w:tr>
      <w:tr w14:paraId="495F2E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3" w:hRule="exact"/>
        </w:trPr>
        <w:tc>
          <w:tcPr>
            <w:tcW w:w="811" w:type="dxa"/>
            <w:noWrap w:val="0"/>
            <w:vAlign w:val="center"/>
          </w:tcPr>
          <w:p w14:paraId="1848984D">
            <w:pPr>
              <w:pageBreakBefore w:val="0"/>
              <w:kinsoku/>
              <w:overflowPunct/>
              <w:topLinePunct w:val="0"/>
              <w:bidi w:val="0"/>
              <w:spacing w:before="68" w:line="360" w:lineRule="auto"/>
              <w:jc w:val="center"/>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eastAsia="zh-CN"/>
              </w:rPr>
              <w:t>资料员</w:t>
            </w:r>
          </w:p>
        </w:tc>
        <w:tc>
          <w:tcPr>
            <w:tcW w:w="777" w:type="dxa"/>
            <w:noWrap w:val="0"/>
            <w:vAlign w:val="center"/>
          </w:tcPr>
          <w:p w14:paraId="46B518FE">
            <w:pPr>
              <w:pageBreakBefore w:val="0"/>
              <w:kinsoku/>
              <w:overflowPunct/>
              <w:topLinePunct w:val="0"/>
              <w:bidi w:val="0"/>
              <w:spacing w:before="68" w:line="360" w:lineRule="auto"/>
              <w:jc w:val="center"/>
              <w:rPr>
                <w:rFonts w:hint="eastAsia" w:ascii="宋体" w:hAnsi="宋体" w:eastAsia="宋体" w:cs="宋体"/>
                <w:color w:val="auto"/>
                <w:spacing w:val="-3"/>
                <w:sz w:val="21"/>
                <w:szCs w:val="21"/>
                <w:highlight w:val="none"/>
                <w:lang w:eastAsia="zh-CN"/>
              </w:rPr>
            </w:pPr>
          </w:p>
        </w:tc>
        <w:tc>
          <w:tcPr>
            <w:tcW w:w="743" w:type="dxa"/>
            <w:noWrap w:val="0"/>
            <w:vAlign w:val="center"/>
          </w:tcPr>
          <w:p w14:paraId="4D15B7E5">
            <w:pPr>
              <w:pageBreakBefore w:val="0"/>
              <w:kinsoku/>
              <w:overflowPunct/>
              <w:topLinePunct w:val="0"/>
              <w:bidi w:val="0"/>
              <w:spacing w:before="68" w:line="360" w:lineRule="auto"/>
              <w:jc w:val="center"/>
              <w:rPr>
                <w:rFonts w:hint="default" w:ascii="宋体" w:hAnsi="宋体" w:eastAsia="宋体" w:cs="宋体"/>
                <w:color w:val="auto"/>
                <w:spacing w:val="-3"/>
                <w:sz w:val="21"/>
                <w:szCs w:val="21"/>
                <w:highlight w:val="none"/>
                <w:lang w:val="en-US" w:eastAsia="zh-CN"/>
              </w:rPr>
            </w:pPr>
          </w:p>
        </w:tc>
        <w:tc>
          <w:tcPr>
            <w:tcW w:w="1023" w:type="dxa"/>
            <w:noWrap w:val="0"/>
            <w:vAlign w:val="center"/>
          </w:tcPr>
          <w:p w14:paraId="04F130C7">
            <w:pPr>
              <w:pageBreakBefore w:val="0"/>
              <w:kinsoku/>
              <w:overflowPunct/>
              <w:topLinePunct w:val="0"/>
              <w:bidi w:val="0"/>
              <w:spacing w:before="68" w:line="360" w:lineRule="auto"/>
              <w:jc w:val="center"/>
              <w:rPr>
                <w:rFonts w:hint="eastAsia" w:ascii="宋体" w:hAnsi="宋体" w:eastAsia="宋体" w:cs="宋体"/>
                <w:color w:val="auto"/>
                <w:spacing w:val="-3"/>
                <w:sz w:val="21"/>
                <w:szCs w:val="21"/>
                <w:highlight w:val="none"/>
                <w:lang w:eastAsia="zh-CN"/>
              </w:rPr>
            </w:pPr>
          </w:p>
        </w:tc>
        <w:tc>
          <w:tcPr>
            <w:tcW w:w="631" w:type="dxa"/>
            <w:noWrap w:val="0"/>
            <w:vAlign w:val="center"/>
          </w:tcPr>
          <w:p w14:paraId="5A98EF75">
            <w:pPr>
              <w:pageBreakBefore w:val="0"/>
              <w:kinsoku/>
              <w:overflowPunct/>
              <w:topLinePunct w:val="0"/>
              <w:bidi w:val="0"/>
              <w:spacing w:before="68" w:line="360" w:lineRule="auto"/>
              <w:jc w:val="center"/>
              <w:rPr>
                <w:rFonts w:hint="default" w:ascii="宋体" w:hAnsi="宋体" w:eastAsia="宋体" w:cs="宋体"/>
                <w:color w:val="auto"/>
                <w:spacing w:val="-3"/>
                <w:sz w:val="21"/>
                <w:szCs w:val="21"/>
                <w:highlight w:val="none"/>
                <w:lang w:val="en-US" w:eastAsia="zh-CN"/>
              </w:rPr>
            </w:pPr>
          </w:p>
        </w:tc>
        <w:tc>
          <w:tcPr>
            <w:tcW w:w="2120" w:type="dxa"/>
            <w:noWrap w:val="0"/>
            <w:vAlign w:val="center"/>
          </w:tcPr>
          <w:p w14:paraId="6C0335EB">
            <w:pPr>
              <w:pageBreakBefore w:val="0"/>
              <w:kinsoku/>
              <w:overflowPunct/>
              <w:topLinePunct w:val="0"/>
              <w:bidi w:val="0"/>
              <w:spacing w:before="68" w:line="360" w:lineRule="auto"/>
              <w:jc w:val="center"/>
              <w:rPr>
                <w:rFonts w:hint="eastAsia" w:ascii="宋体" w:hAnsi="宋体" w:eastAsia="宋体" w:cs="宋体"/>
                <w:color w:val="auto"/>
                <w:spacing w:val="-3"/>
                <w:sz w:val="21"/>
                <w:szCs w:val="21"/>
                <w:highlight w:val="none"/>
                <w:lang w:eastAsia="zh-CN"/>
              </w:rPr>
            </w:pPr>
          </w:p>
        </w:tc>
        <w:tc>
          <w:tcPr>
            <w:tcW w:w="2360" w:type="dxa"/>
            <w:noWrap w:val="0"/>
            <w:vAlign w:val="center"/>
          </w:tcPr>
          <w:p w14:paraId="09698074">
            <w:pPr>
              <w:pageBreakBefore w:val="0"/>
              <w:kinsoku/>
              <w:overflowPunct/>
              <w:topLinePunct w:val="0"/>
              <w:bidi w:val="0"/>
              <w:spacing w:before="68" w:line="360" w:lineRule="auto"/>
              <w:jc w:val="center"/>
              <w:rPr>
                <w:rFonts w:hint="eastAsia" w:ascii="宋体" w:hAnsi="宋体" w:eastAsia="宋体" w:cs="宋体"/>
                <w:color w:val="auto"/>
                <w:spacing w:val="-3"/>
                <w:sz w:val="21"/>
                <w:szCs w:val="21"/>
                <w:highlight w:val="none"/>
                <w:lang w:eastAsia="zh-CN"/>
              </w:rPr>
            </w:pPr>
          </w:p>
        </w:tc>
        <w:tc>
          <w:tcPr>
            <w:tcW w:w="566" w:type="dxa"/>
            <w:noWrap w:val="0"/>
            <w:vAlign w:val="center"/>
          </w:tcPr>
          <w:p w14:paraId="141B7879">
            <w:pPr>
              <w:pageBreakBefore w:val="0"/>
              <w:kinsoku/>
              <w:overflowPunct/>
              <w:topLinePunct w:val="0"/>
              <w:bidi w:val="0"/>
              <w:spacing w:before="68" w:line="360" w:lineRule="auto"/>
              <w:jc w:val="center"/>
              <w:rPr>
                <w:rFonts w:hint="eastAsia" w:ascii="宋体" w:hAnsi="宋体" w:eastAsia="宋体" w:cs="宋体"/>
                <w:color w:val="auto"/>
                <w:spacing w:val="-3"/>
                <w:sz w:val="21"/>
                <w:szCs w:val="21"/>
                <w:highlight w:val="none"/>
                <w:lang w:eastAsia="zh-CN"/>
              </w:rPr>
            </w:pPr>
          </w:p>
        </w:tc>
      </w:tr>
      <w:tr w14:paraId="4BFC06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62" w:hRule="exact"/>
        </w:trPr>
        <w:tc>
          <w:tcPr>
            <w:tcW w:w="811" w:type="dxa"/>
            <w:noWrap w:val="0"/>
            <w:vAlign w:val="center"/>
          </w:tcPr>
          <w:p w14:paraId="741A8233">
            <w:pPr>
              <w:pageBreakBefore w:val="0"/>
              <w:kinsoku/>
              <w:overflowPunct/>
              <w:topLinePunct w:val="0"/>
              <w:autoSpaceDE w:val="0"/>
              <w:autoSpaceDN w:val="0"/>
              <w:bidi w:val="0"/>
              <w:adjustRightInd w:val="0"/>
              <w:snapToGrid w:val="0"/>
              <w:spacing w:line="360" w:lineRule="auto"/>
              <w:jc w:val="center"/>
              <w:rPr>
                <w:rFonts w:hint="eastAsia" w:ascii="宋体" w:hAnsi="宋体" w:eastAsia="宋体"/>
                <w:color w:val="auto"/>
                <w:kern w:val="0"/>
                <w:sz w:val="21"/>
                <w:szCs w:val="21"/>
                <w:highlight w:val="none"/>
                <w:lang w:eastAsia="zh-CN"/>
              </w:rPr>
            </w:pPr>
            <w:r>
              <w:rPr>
                <w:rFonts w:hint="eastAsia" w:ascii="宋体" w:hAnsi="宋体"/>
                <w:color w:val="auto"/>
                <w:kern w:val="0"/>
                <w:sz w:val="21"/>
                <w:szCs w:val="21"/>
                <w:highlight w:val="none"/>
                <w:lang w:eastAsia="zh-CN"/>
              </w:rPr>
              <w:t>造价师</w:t>
            </w:r>
          </w:p>
        </w:tc>
        <w:tc>
          <w:tcPr>
            <w:tcW w:w="777" w:type="dxa"/>
            <w:noWrap w:val="0"/>
            <w:vAlign w:val="center"/>
          </w:tcPr>
          <w:p w14:paraId="6020D92D">
            <w:pPr>
              <w:pageBreakBefore w:val="0"/>
              <w:kinsoku/>
              <w:overflowPunct/>
              <w:topLinePunct w:val="0"/>
              <w:autoSpaceDE w:val="0"/>
              <w:autoSpaceDN w:val="0"/>
              <w:bidi w:val="0"/>
              <w:adjustRightInd w:val="0"/>
              <w:snapToGrid w:val="0"/>
              <w:spacing w:line="360" w:lineRule="auto"/>
              <w:jc w:val="center"/>
              <w:rPr>
                <w:rFonts w:hint="eastAsia" w:ascii="宋体" w:hAnsi="宋体" w:eastAsia="宋体"/>
                <w:color w:val="auto"/>
                <w:kern w:val="0"/>
                <w:sz w:val="21"/>
                <w:szCs w:val="21"/>
                <w:highlight w:val="none"/>
                <w:lang w:eastAsia="zh-CN"/>
              </w:rPr>
            </w:pPr>
          </w:p>
        </w:tc>
        <w:tc>
          <w:tcPr>
            <w:tcW w:w="743" w:type="dxa"/>
            <w:noWrap w:val="0"/>
            <w:vAlign w:val="center"/>
          </w:tcPr>
          <w:p w14:paraId="21CBC993">
            <w:pPr>
              <w:pageBreakBefore w:val="0"/>
              <w:kinsoku/>
              <w:overflowPunct/>
              <w:topLinePunct w:val="0"/>
              <w:autoSpaceDE w:val="0"/>
              <w:autoSpaceDN w:val="0"/>
              <w:bidi w:val="0"/>
              <w:adjustRightInd w:val="0"/>
              <w:snapToGrid w:val="0"/>
              <w:spacing w:line="360" w:lineRule="auto"/>
              <w:jc w:val="center"/>
              <w:rPr>
                <w:rFonts w:hint="eastAsia" w:ascii="宋体" w:hAnsi="宋体" w:eastAsia="宋体"/>
                <w:color w:val="auto"/>
                <w:kern w:val="0"/>
                <w:sz w:val="21"/>
                <w:szCs w:val="21"/>
                <w:highlight w:val="none"/>
                <w:lang w:val="en-US" w:eastAsia="zh-CN"/>
              </w:rPr>
            </w:pPr>
          </w:p>
        </w:tc>
        <w:tc>
          <w:tcPr>
            <w:tcW w:w="1023" w:type="dxa"/>
            <w:noWrap w:val="0"/>
            <w:vAlign w:val="center"/>
          </w:tcPr>
          <w:p w14:paraId="5CD03884">
            <w:pPr>
              <w:pageBreakBefore w:val="0"/>
              <w:kinsoku/>
              <w:overflowPunct/>
              <w:topLinePunct w:val="0"/>
              <w:autoSpaceDE w:val="0"/>
              <w:autoSpaceDN w:val="0"/>
              <w:bidi w:val="0"/>
              <w:adjustRightInd w:val="0"/>
              <w:snapToGrid w:val="0"/>
              <w:spacing w:line="360" w:lineRule="auto"/>
              <w:jc w:val="center"/>
              <w:rPr>
                <w:rFonts w:hint="eastAsia" w:ascii="宋体" w:hAnsi="宋体" w:eastAsia="宋体"/>
                <w:color w:val="auto"/>
                <w:kern w:val="0"/>
                <w:sz w:val="21"/>
                <w:szCs w:val="21"/>
                <w:highlight w:val="none"/>
                <w:lang w:eastAsia="zh-CN"/>
              </w:rPr>
            </w:pPr>
          </w:p>
        </w:tc>
        <w:tc>
          <w:tcPr>
            <w:tcW w:w="631" w:type="dxa"/>
            <w:noWrap w:val="0"/>
            <w:vAlign w:val="center"/>
          </w:tcPr>
          <w:p w14:paraId="693667CA">
            <w:pPr>
              <w:pageBreakBefore w:val="0"/>
              <w:kinsoku/>
              <w:overflowPunct/>
              <w:topLinePunct w:val="0"/>
              <w:autoSpaceDE w:val="0"/>
              <w:autoSpaceDN w:val="0"/>
              <w:bidi w:val="0"/>
              <w:adjustRightInd w:val="0"/>
              <w:snapToGrid w:val="0"/>
              <w:spacing w:line="360" w:lineRule="auto"/>
              <w:jc w:val="center"/>
              <w:rPr>
                <w:rFonts w:hint="eastAsia" w:ascii="宋体" w:hAnsi="宋体" w:eastAsia="宋体"/>
                <w:color w:val="auto"/>
                <w:kern w:val="0"/>
                <w:sz w:val="21"/>
                <w:szCs w:val="21"/>
                <w:highlight w:val="none"/>
                <w:lang w:val="en-US" w:eastAsia="zh-CN"/>
              </w:rPr>
            </w:pPr>
          </w:p>
        </w:tc>
        <w:tc>
          <w:tcPr>
            <w:tcW w:w="2120" w:type="dxa"/>
            <w:noWrap w:val="0"/>
            <w:vAlign w:val="center"/>
          </w:tcPr>
          <w:p w14:paraId="4874B688">
            <w:pPr>
              <w:pageBreakBefore w:val="0"/>
              <w:kinsoku/>
              <w:overflowPunct/>
              <w:topLinePunct w:val="0"/>
              <w:autoSpaceDE w:val="0"/>
              <w:autoSpaceDN w:val="0"/>
              <w:bidi w:val="0"/>
              <w:adjustRightInd w:val="0"/>
              <w:snapToGrid w:val="0"/>
              <w:spacing w:line="360" w:lineRule="auto"/>
              <w:jc w:val="center"/>
              <w:rPr>
                <w:rFonts w:ascii="宋体" w:hAnsi="宋体"/>
                <w:color w:val="auto"/>
                <w:kern w:val="0"/>
                <w:sz w:val="21"/>
                <w:szCs w:val="21"/>
                <w:highlight w:val="none"/>
              </w:rPr>
            </w:pPr>
          </w:p>
        </w:tc>
        <w:tc>
          <w:tcPr>
            <w:tcW w:w="2360" w:type="dxa"/>
            <w:noWrap w:val="0"/>
            <w:vAlign w:val="center"/>
          </w:tcPr>
          <w:p w14:paraId="32A4F5BE">
            <w:pPr>
              <w:pageBreakBefore w:val="0"/>
              <w:kinsoku/>
              <w:overflowPunct/>
              <w:topLinePunct w:val="0"/>
              <w:autoSpaceDE w:val="0"/>
              <w:autoSpaceDN w:val="0"/>
              <w:bidi w:val="0"/>
              <w:adjustRightInd w:val="0"/>
              <w:snapToGrid w:val="0"/>
              <w:spacing w:line="360" w:lineRule="auto"/>
              <w:jc w:val="center"/>
              <w:rPr>
                <w:rFonts w:hint="eastAsia" w:ascii="宋体" w:hAnsi="宋体" w:eastAsia="宋体"/>
                <w:color w:val="auto"/>
                <w:kern w:val="0"/>
                <w:sz w:val="21"/>
                <w:szCs w:val="21"/>
                <w:highlight w:val="none"/>
                <w:lang w:eastAsia="zh-CN"/>
              </w:rPr>
            </w:pPr>
          </w:p>
        </w:tc>
        <w:tc>
          <w:tcPr>
            <w:tcW w:w="566" w:type="dxa"/>
            <w:noWrap w:val="0"/>
            <w:vAlign w:val="center"/>
          </w:tcPr>
          <w:p w14:paraId="1693B6E0">
            <w:pPr>
              <w:pageBreakBefore w:val="0"/>
              <w:kinsoku/>
              <w:overflowPunct/>
              <w:topLinePunct w:val="0"/>
              <w:bidi w:val="0"/>
              <w:spacing w:line="360" w:lineRule="auto"/>
              <w:rPr>
                <w:color w:val="auto"/>
                <w:sz w:val="21"/>
                <w:szCs w:val="21"/>
                <w:highlight w:val="none"/>
              </w:rPr>
            </w:pPr>
          </w:p>
        </w:tc>
      </w:tr>
      <w:tr w14:paraId="55325F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2" w:hRule="exact"/>
        </w:trPr>
        <w:tc>
          <w:tcPr>
            <w:tcW w:w="811" w:type="dxa"/>
            <w:noWrap w:val="0"/>
            <w:vAlign w:val="center"/>
          </w:tcPr>
          <w:p w14:paraId="2E67BB6C">
            <w:pPr>
              <w:pageBreakBefore w:val="0"/>
              <w:kinsoku/>
              <w:overflowPunct/>
              <w:topLinePunct w:val="0"/>
              <w:autoSpaceDE w:val="0"/>
              <w:autoSpaceDN w:val="0"/>
              <w:bidi w:val="0"/>
              <w:adjustRightInd w:val="0"/>
              <w:snapToGrid w:val="0"/>
              <w:spacing w:line="360" w:lineRule="auto"/>
              <w:jc w:val="center"/>
              <w:rPr>
                <w:rFonts w:hint="eastAsia" w:ascii="宋体" w:hAnsi="宋体"/>
                <w:color w:val="auto"/>
                <w:kern w:val="0"/>
                <w:sz w:val="21"/>
                <w:szCs w:val="21"/>
                <w:highlight w:val="none"/>
                <w:lang w:eastAsia="zh-CN"/>
              </w:rPr>
            </w:pPr>
          </w:p>
        </w:tc>
        <w:tc>
          <w:tcPr>
            <w:tcW w:w="777" w:type="dxa"/>
            <w:noWrap w:val="0"/>
            <w:vAlign w:val="center"/>
          </w:tcPr>
          <w:p w14:paraId="703C8277">
            <w:pPr>
              <w:pageBreakBefore w:val="0"/>
              <w:kinsoku/>
              <w:overflowPunct/>
              <w:topLinePunct w:val="0"/>
              <w:autoSpaceDE w:val="0"/>
              <w:autoSpaceDN w:val="0"/>
              <w:bidi w:val="0"/>
              <w:adjustRightInd w:val="0"/>
              <w:snapToGrid w:val="0"/>
              <w:spacing w:line="360" w:lineRule="auto"/>
              <w:jc w:val="center"/>
              <w:rPr>
                <w:rFonts w:hint="eastAsia" w:ascii="宋体" w:hAnsi="宋体"/>
                <w:color w:val="auto"/>
                <w:kern w:val="0"/>
                <w:sz w:val="21"/>
                <w:szCs w:val="21"/>
                <w:highlight w:val="none"/>
                <w:lang w:eastAsia="zh-CN"/>
              </w:rPr>
            </w:pPr>
          </w:p>
        </w:tc>
        <w:tc>
          <w:tcPr>
            <w:tcW w:w="743" w:type="dxa"/>
            <w:noWrap w:val="0"/>
            <w:vAlign w:val="center"/>
          </w:tcPr>
          <w:p w14:paraId="6292BAD7">
            <w:pPr>
              <w:pageBreakBefore w:val="0"/>
              <w:kinsoku/>
              <w:overflowPunct/>
              <w:topLinePunct w:val="0"/>
              <w:autoSpaceDE w:val="0"/>
              <w:autoSpaceDN w:val="0"/>
              <w:bidi w:val="0"/>
              <w:adjustRightInd w:val="0"/>
              <w:snapToGrid w:val="0"/>
              <w:spacing w:line="360" w:lineRule="auto"/>
              <w:jc w:val="center"/>
              <w:rPr>
                <w:rFonts w:hint="eastAsia" w:ascii="宋体" w:hAnsi="宋体" w:eastAsia="宋体" w:cs="宋体"/>
                <w:color w:val="auto"/>
                <w:spacing w:val="-3"/>
                <w:sz w:val="21"/>
                <w:szCs w:val="21"/>
                <w:highlight w:val="none"/>
                <w:lang w:val="en-US" w:eastAsia="zh-CN"/>
              </w:rPr>
            </w:pPr>
          </w:p>
        </w:tc>
        <w:tc>
          <w:tcPr>
            <w:tcW w:w="1023" w:type="dxa"/>
            <w:noWrap w:val="0"/>
            <w:vAlign w:val="center"/>
          </w:tcPr>
          <w:p w14:paraId="14565996">
            <w:pPr>
              <w:pageBreakBefore w:val="0"/>
              <w:kinsoku/>
              <w:overflowPunct/>
              <w:topLinePunct w:val="0"/>
              <w:autoSpaceDE w:val="0"/>
              <w:autoSpaceDN w:val="0"/>
              <w:bidi w:val="0"/>
              <w:adjustRightInd w:val="0"/>
              <w:snapToGrid w:val="0"/>
              <w:spacing w:line="360" w:lineRule="auto"/>
              <w:jc w:val="center"/>
              <w:rPr>
                <w:rFonts w:hint="eastAsia" w:ascii="宋体" w:hAnsi="宋体"/>
                <w:color w:val="auto"/>
                <w:kern w:val="0"/>
                <w:sz w:val="21"/>
                <w:szCs w:val="21"/>
                <w:highlight w:val="none"/>
                <w:lang w:eastAsia="zh-CN"/>
              </w:rPr>
            </w:pPr>
          </w:p>
        </w:tc>
        <w:tc>
          <w:tcPr>
            <w:tcW w:w="631" w:type="dxa"/>
            <w:noWrap w:val="0"/>
            <w:vAlign w:val="center"/>
          </w:tcPr>
          <w:p w14:paraId="704FF0E9">
            <w:pPr>
              <w:pageBreakBefore w:val="0"/>
              <w:kinsoku/>
              <w:overflowPunct/>
              <w:topLinePunct w:val="0"/>
              <w:autoSpaceDE w:val="0"/>
              <w:autoSpaceDN w:val="0"/>
              <w:bidi w:val="0"/>
              <w:adjustRightInd w:val="0"/>
              <w:snapToGrid w:val="0"/>
              <w:spacing w:line="360" w:lineRule="auto"/>
              <w:jc w:val="center"/>
              <w:rPr>
                <w:rFonts w:hint="eastAsia" w:ascii="宋体" w:hAnsi="宋体" w:eastAsia="宋体" w:cs="宋体"/>
                <w:color w:val="auto"/>
                <w:spacing w:val="-3"/>
                <w:sz w:val="21"/>
                <w:szCs w:val="21"/>
                <w:highlight w:val="none"/>
                <w:lang w:val="en-US" w:eastAsia="zh-CN"/>
              </w:rPr>
            </w:pPr>
          </w:p>
        </w:tc>
        <w:tc>
          <w:tcPr>
            <w:tcW w:w="2120" w:type="dxa"/>
            <w:noWrap w:val="0"/>
            <w:vAlign w:val="center"/>
          </w:tcPr>
          <w:p w14:paraId="5156AB45">
            <w:pPr>
              <w:pageBreakBefore w:val="0"/>
              <w:kinsoku/>
              <w:overflowPunct/>
              <w:topLinePunct w:val="0"/>
              <w:autoSpaceDE w:val="0"/>
              <w:autoSpaceDN w:val="0"/>
              <w:bidi w:val="0"/>
              <w:adjustRightInd w:val="0"/>
              <w:snapToGrid w:val="0"/>
              <w:spacing w:line="360" w:lineRule="auto"/>
              <w:jc w:val="center"/>
              <w:rPr>
                <w:rFonts w:hint="eastAsia" w:ascii="宋体" w:hAnsi="宋体"/>
                <w:color w:val="auto"/>
                <w:kern w:val="0"/>
                <w:sz w:val="21"/>
                <w:szCs w:val="21"/>
                <w:highlight w:val="none"/>
              </w:rPr>
            </w:pPr>
          </w:p>
        </w:tc>
        <w:tc>
          <w:tcPr>
            <w:tcW w:w="2360" w:type="dxa"/>
            <w:noWrap w:val="0"/>
            <w:vAlign w:val="center"/>
          </w:tcPr>
          <w:p w14:paraId="391D8A5E">
            <w:pPr>
              <w:pageBreakBefore w:val="0"/>
              <w:kinsoku/>
              <w:overflowPunct/>
              <w:topLinePunct w:val="0"/>
              <w:autoSpaceDE w:val="0"/>
              <w:autoSpaceDN w:val="0"/>
              <w:bidi w:val="0"/>
              <w:adjustRightInd w:val="0"/>
              <w:snapToGrid w:val="0"/>
              <w:spacing w:line="360" w:lineRule="auto"/>
              <w:jc w:val="center"/>
              <w:rPr>
                <w:rFonts w:hint="eastAsia" w:ascii="宋体" w:hAnsi="宋体"/>
                <w:color w:val="auto"/>
                <w:kern w:val="0"/>
                <w:sz w:val="21"/>
                <w:szCs w:val="21"/>
                <w:highlight w:val="none"/>
                <w:lang w:eastAsia="zh-CN"/>
              </w:rPr>
            </w:pPr>
          </w:p>
        </w:tc>
        <w:tc>
          <w:tcPr>
            <w:tcW w:w="566" w:type="dxa"/>
            <w:noWrap w:val="0"/>
            <w:vAlign w:val="center"/>
          </w:tcPr>
          <w:p w14:paraId="2CDDAD73">
            <w:pPr>
              <w:pageBreakBefore w:val="0"/>
              <w:kinsoku/>
              <w:overflowPunct/>
              <w:topLinePunct w:val="0"/>
              <w:bidi w:val="0"/>
              <w:spacing w:line="360" w:lineRule="auto"/>
              <w:rPr>
                <w:color w:val="auto"/>
                <w:sz w:val="21"/>
                <w:szCs w:val="21"/>
                <w:highlight w:val="none"/>
              </w:rPr>
            </w:pPr>
          </w:p>
        </w:tc>
      </w:tr>
    </w:tbl>
    <w:p w14:paraId="26972898">
      <w:pPr>
        <w:pStyle w:val="4"/>
        <w:pageBreakBefore w:val="0"/>
        <w:kinsoku/>
        <w:overflowPunct/>
        <w:topLinePunct w:val="0"/>
        <w:bidi w:val="0"/>
        <w:spacing w:line="360" w:lineRule="auto"/>
        <w:rPr>
          <w:color w:val="auto"/>
          <w:highlight w:val="none"/>
        </w:rPr>
      </w:pPr>
    </w:p>
    <w:p w14:paraId="2D775D54">
      <w:pPr>
        <w:pageBreakBefore w:val="0"/>
        <w:kinsoku/>
        <w:overflowPunct/>
        <w:topLinePunct w:val="0"/>
        <w:bidi w:val="0"/>
        <w:spacing w:line="360" w:lineRule="auto"/>
        <w:ind w:firstLine="420" w:firstLineChars="200"/>
        <w:rPr>
          <w:rFonts w:ascii="宋体" w:hAnsi="宋体" w:cs="宋体"/>
          <w:color w:val="auto"/>
          <w:kern w:val="0"/>
          <w:szCs w:val="21"/>
          <w:highlight w:val="none"/>
        </w:rPr>
      </w:pPr>
    </w:p>
    <w:p w14:paraId="4C2AC2C7">
      <w:pPr>
        <w:pageBreakBefore w:val="0"/>
        <w:kinsoku/>
        <w:overflowPunct/>
        <w:topLinePunct w:val="0"/>
        <w:bidi w:val="0"/>
        <w:spacing w:line="360" w:lineRule="auto"/>
        <w:ind w:firstLine="420" w:firstLineChars="200"/>
        <w:rPr>
          <w:rFonts w:ascii="宋体" w:hAnsi="宋体" w:cs="宋体"/>
          <w:color w:val="auto"/>
          <w:kern w:val="0"/>
          <w:szCs w:val="21"/>
          <w:highlight w:val="none"/>
        </w:rPr>
      </w:pPr>
    </w:p>
    <w:p w14:paraId="2429ED0D">
      <w:pPr>
        <w:pageBreakBefore w:val="0"/>
        <w:kinsoku/>
        <w:overflowPunct/>
        <w:topLinePunct w:val="0"/>
        <w:bidi w:val="0"/>
        <w:spacing w:line="360" w:lineRule="auto"/>
        <w:ind w:firstLine="420" w:firstLineChars="200"/>
        <w:rPr>
          <w:rFonts w:ascii="宋体" w:hAnsi="宋体" w:cs="宋体"/>
          <w:color w:val="auto"/>
          <w:kern w:val="0"/>
          <w:szCs w:val="21"/>
          <w:highlight w:val="none"/>
        </w:rPr>
      </w:pPr>
    </w:p>
    <w:p w14:paraId="33165475">
      <w:pPr>
        <w:pageBreakBefore w:val="0"/>
        <w:kinsoku/>
        <w:overflowPunct/>
        <w:topLinePunct w:val="0"/>
        <w:bidi w:val="0"/>
        <w:spacing w:line="360" w:lineRule="auto"/>
        <w:ind w:firstLine="420" w:firstLineChars="200"/>
        <w:rPr>
          <w:rFonts w:ascii="宋体" w:hAnsi="宋体" w:cs="宋体"/>
          <w:color w:val="auto"/>
          <w:kern w:val="0"/>
          <w:szCs w:val="21"/>
          <w:highlight w:val="none"/>
        </w:rPr>
      </w:pPr>
    </w:p>
    <w:p w14:paraId="226B55A3">
      <w:pPr>
        <w:pageBreakBefore w:val="0"/>
        <w:kinsoku/>
        <w:overflowPunct/>
        <w:topLinePunct w:val="0"/>
        <w:bidi w:val="0"/>
        <w:spacing w:line="360" w:lineRule="auto"/>
        <w:ind w:firstLine="420" w:firstLineChars="200"/>
        <w:rPr>
          <w:rFonts w:ascii="宋体" w:hAnsi="宋体" w:cs="宋体"/>
          <w:color w:val="auto"/>
          <w:kern w:val="0"/>
          <w:szCs w:val="21"/>
          <w:highlight w:val="none"/>
        </w:rPr>
      </w:pPr>
    </w:p>
    <w:p w14:paraId="2EF903D1">
      <w:pPr>
        <w:pageBreakBefore w:val="0"/>
        <w:kinsoku/>
        <w:overflowPunct/>
        <w:topLinePunct w:val="0"/>
        <w:bidi w:val="0"/>
        <w:spacing w:line="360" w:lineRule="auto"/>
        <w:ind w:firstLine="420" w:firstLineChars="200"/>
        <w:rPr>
          <w:rFonts w:ascii="宋体" w:hAnsi="宋体" w:cs="宋体"/>
          <w:color w:val="auto"/>
          <w:kern w:val="0"/>
          <w:szCs w:val="21"/>
          <w:highlight w:val="none"/>
        </w:rPr>
      </w:pPr>
    </w:p>
    <w:p w14:paraId="3F845B28">
      <w:pPr>
        <w:pageBreakBefore w:val="0"/>
        <w:kinsoku/>
        <w:overflowPunct/>
        <w:topLinePunct w:val="0"/>
        <w:bidi w:val="0"/>
        <w:spacing w:line="360" w:lineRule="auto"/>
        <w:jc w:val="left"/>
        <w:rPr>
          <w:rFonts w:ascii="宋体" w:hAnsi="宋体" w:cs="宋体"/>
          <w:color w:val="auto"/>
          <w:szCs w:val="21"/>
          <w:highlight w:val="none"/>
        </w:rPr>
      </w:pPr>
      <w:bookmarkStart w:id="360" w:name="_Toc33183802"/>
    </w:p>
    <w:p w14:paraId="5C76DE0C">
      <w:pPr>
        <w:keepNext/>
        <w:keepLines/>
        <w:pageBreakBefore w:val="0"/>
        <w:kinsoku/>
        <w:overflowPunct/>
        <w:topLinePunct w:val="0"/>
        <w:bidi w:val="0"/>
        <w:snapToGrid w:val="0"/>
        <w:spacing w:line="360" w:lineRule="auto"/>
        <w:outlineLvl w:val="3"/>
        <w:rPr>
          <w:rFonts w:ascii="宋体" w:hAnsi="宋体" w:cs="宋体"/>
          <w:color w:val="auto"/>
          <w:kern w:val="0"/>
          <w:sz w:val="24"/>
          <w:szCs w:val="24"/>
          <w:highlight w:val="none"/>
        </w:rPr>
      </w:pPr>
      <w:r>
        <w:rPr>
          <w:rFonts w:hint="eastAsia" w:ascii="宋体" w:hAnsi="宋体" w:cs="宋体"/>
          <w:color w:val="auto"/>
          <w:kern w:val="0"/>
          <w:szCs w:val="21"/>
          <w:highlight w:val="none"/>
        </w:rPr>
        <w:t>附件</w:t>
      </w:r>
      <w:bookmarkEnd w:id="360"/>
      <w:r>
        <w:rPr>
          <w:rFonts w:hint="eastAsia" w:ascii="宋体" w:hAnsi="宋体" w:cs="宋体"/>
          <w:color w:val="auto"/>
          <w:kern w:val="0"/>
          <w:szCs w:val="21"/>
          <w:highlight w:val="none"/>
          <w:lang w:val="en-US" w:eastAsia="zh-CN"/>
        </w:rPr>
        <w:t>2：</w:t>
      </w:r>
    </w:p>
    <w:p w14:paraId="3C61A628">
      <w:pPr>
        <w:pageBreakBefore w:val="0"/>
        <w:kinsoku/>
        <w:overflowPunct/>
        <w:topLinePunct w:val="0"/>
        <w:bidi w:val="0"/>
        <w:snapToGrid w:val="0"/>
        <w:spacing w:line="360" w:lineRule="auto"/>
        <w:rPr>
          <w:rFonts w:ascii="宋体" w:hAnsi="宋体" w:cs="宋体"/>
          <w:color w:val="auto"/>
          <w:kern w:val="0"/>
          <w:sz w:val="24"/>
          <w:szCs w:val="24"/>
          <w:highlight w:val="none"/>
        </w:rPr>
      </w:pPr>
    </w:p>
    <w:p w14:paraId="6A6192EC">
      <w:pPr>
        <w:pageBreakBefore w:val="0"/>
        <w:kinsoku/>
        <w:overflowPunct/>
        <w:topLinePunct w:val="0"/>
        <w:bidi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重庆市水利工程建设安全生产合同</w:t>
      </w:r>
    </w:p>
    <w:p w14:paraId="065194AA">
      <w:pPr>
        <w:pageBreakBefore w:val="0"/>
        <w:tabs>
          <w:tab w:val="left" w:pos="6474"/>
        </w:tabs>
        <w:kinsoku/>
        <w:overflowPunct/>
        <w:topLinePunct w:val="0"/>
        <w:bidi w:val="0"/>
        <w:snapToGrid w:val="0"/>
        <w:spacing w:line="360" w:lineRule="auto"/>
        <w:ind w:firstLine="312" w:firstLineChars="149"/>
        <w:jc w:val="left"/>
        <w:rPr>
          <w:rFonts w:ascii="宋体" w:hAnsi="宋体" w:cs="宋体"/>
          <w:color w:val="auto"/>
          <w:kern w:val="0"/>
          <w:szCs w:val="21"/>
          <w:highlight w:val="none"/>
        </w:rPr>
      </w:pPr>
      <w:r>
        <w:rPr>
          <w:rFonts w:hint="eastAsia" w:ascii="宋体" w:hAnsi="宋体" w:cs="宋体"/>
          <w:color w:val="auto"/>
          <w:kern w:val="0"/>
          <w:szCs w:val="21"/>
          <w:highlight w:val="none"/>
        </w:rPr>
        <w:tab/>
      </w:r>
    </w:p>
    <w:p w14:paraId="2557EE4A">
      <w:pPr>
        <w:pageBreakBefore w:val="0"/>
        <w:kinsoku/>
        <w:overflowPunct/>
        <w:topLinePunct w:val="0"/>
        <w:bidi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施工工程合同编号：</w:t>
      </w:r>
      <w:r>
        <w:rPr>
          <w:rFonts w:hint="eastAsia" w:ascii="宋体" w:hAnsi="宋体" w:cs="宋体"/>
          <w:color w:val="auto"/>
          <w:kern w:val="0"/>
          <w:szCs w:val="21"/>
          <w:highlight w:val="none"/>
          <w:u w:val="single"/>
        </w:rPr>
        <w:t xml:space="preserve">                     </w:t>
      </w:r>
    </w:p>
    <w:p w14:paraId="79BAEFBE">
      <w:pPr>
        <w:pageBreakBefore w:val="0"/>
        <w:kinsoku/>
        <w:overflowPunct/>
        <w:topLinePunct w:val="0"/>
        <w:bidi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安全生产合同编号：</w:t>
      </w:r>
      <w:r>
        <w:rPr>
          <w:rFonts w:hint="eastAsia" w:ascii="宋体" w:hAnsi="宋体" w:cs="宋体"/>
          <w:color w:val="auto"/>
          <w:kern w:val="0"/>
          <w:szCs w:val="21"/>
          <w:highlight w:val="none"/>
          <w:u w:val="single"/>
        </w:rPr>
        <w:t xml:space="preserve">                     </w:t>
      </w:r>
    </w:p>
    <w:p w14:paraId="5D5B3EC8">
      <w:pPr>
        <w:pageBreakBefore w:val="0"/>
        <w:kinsoku/>
        <w:overflowPunct/>
        <w:topLinePunct w:val="0"/>
        <w:bidi w:val="0"/>
        <w:snapToGrid w:val="0"/>
        <w:spacing w:line="360" w:lineRule="auto"/>
        <w:rPr>
          <w:rFonts w:hint="eastAsia" w:ascii="宋体" w:hAnsi="宋体"/>
          <w:bCs/>
          <w:snapToGrid w:val="0"/>
          <w:color w:val="auto"/>
          <w:kern w:val="0"/>
          <w:sz w:val="21"/>
          <w:szCs w:val="21"/>
          <w:highlight w:val="none"/>
          <w:u w:val="single"/>
          <w:lang w:val="zh-CN"/>
        </w:rPr>
      </w:pPr>
      <w:r>
        <w:rPr>
          <w:rFonts w:hint="eastAsia" w:ascii="宋体" w:hAnsi="宋体" w:cs="宋体"/>
          <w:color w:val="auto"/>
          <w:kern w:val="0"/>
          <w:szCs w:val="21"/>
          <w:highlight w:val="none"/>
        </w:rPr>
        <w:t>甲方（建设工程的项目法人）：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r>
        <w:rPr>
          <w:rFonts w:hint="eastAsia" w:ascii="宋体" w:hAnsi="宋体"/>
          <w:bCs/>
          <w:snapToGrid w:val="0"/>
          <w:color w:val="auto"/>
          <w:kern w:val="0"/>
          <w:sz w:val="21"/>
          <w:szCs w:val="21"/>
          <w:highlight w:val="none"/>
          <w:u w:val="single"/>
          <w:lang w:val="zh-CN"/>
        </w:rPr>
        <w:t>重庆市南川区泽禹供水有限责任公司</w:t>
      </w:r>
    </w:p>
    <w:p w14:paraId="52CDE03F">
      <w:pPr>
        <w:pageBreakBefore w:val="0"/>
        <w:kinsoku/>
        <w:overflowPunct/>
        <w:topLinePunct w:val="0"/>
        <w:bidi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乙方（中标单位即施工单位）：</w:t>
      </w:r>
      <w:r>
        <w:rPr>
          <w:rFonts w:hint="eastAsia" w:ascii="宋体" w:hAnsi="宋体" w:cs="宋体"/>
          <w:color w:val="auto"/>
          <w:kern w:val="0"/>
          <w:szCs w:val="21"/>
          <w:highlight w:val="none"/>
          <w:u w:val="single"/>
        </w:rPr>
        <w:t xml:space="preserve"> </w:t>
      </w:r>
      <w:r>
        <w:rPr>
          <w:rStyle w:val="10"/>
          <w:rFonts w:ascii="宋体" w:hAnsi="宋体"/>
          <w:color w:val="auto"/>
          <w:kern w:val="0"/>
          <w:szCs w:val="21"/>
          <w:highlight w:val="none"/>
          <w:u w:val="single"/>
        </w:rPr>
        <w:t xml:space="preserve">  </w:t>
      </w:r>
      <w:r>
        <w:rPr>
          <w:rStyle w:val="10"/>
          <w:rFonts w:hint="eastAsia" w:ascii="宋体" w:hAnsi="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lang w:val="en-US" w:eastAsia="zh-CN"/>
        </w:rPr>
        <w:t xml:space="preserve">  </w:t>
      </w:r>
    </w:p>
    <w:p w14:paraId="0A56C18C">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为在工程实施过程中营造安全、高效的施工环境，切实搞好项目安全管理工作，根据《中华人民共和国民法典》、《中华人民共和国安全生产法》、《建设工程安全生产管理条例》以及《水利工程建设安全生产管理办法》等法律法规以及相关政策的规定，经甲、乙双方协商一致，特制定本合同。</w:t>
      </w:r>
    </w:p>
    <w:p w14:paraId="61911227">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一、项目工程名称：</w:t>
      </w:r>
      <w:r>
        <w:rPr>
          <w:rFonts w:hint="eastAsia" w:ascii="宋体" w:hAnsi="宋体" w:cs="宋体"/>
          <w:color w:val="auto"/>
          <w:kern w:val="0"/>
          <w:szCs w:val="21"/>
          <w:highlight w:val="none"/>
          <w:u w:val="single"/>
        </w:rPr>
        <w:t xml:space="preserve"> </w:t>
      </w:r>
      <w:r>
        <w:rPr>
          <w:rFonts w:hint="eastAsia"/>
          <w:color w:val="auto"/>
          <w:szCs w:val="21"/>
          <w:highlight w:val="none"/>
          <w:u w:val="single"/>
          <w:lang w:val="en-US" w:eastAsia="zh-CN"/>
        </w:rPr>
        <w:t xml:space="preserve"> </w:t>
      </w:r>
      <w:r>
        <w:rPr>
          <w:rFonts w:hint="eastAsia" w:ascii="宋体" w:hAnsi="宋体" w:cs="Times New Roman"/>
          <w:b w:val="0"/>
          <w:bCs/>
          <w:snapToGrid w:val="0"/>
          <w:color w:val="auto"/>
          <w:spacing w:val="0"/>
          <w:w w:val="100"/>
          <w:kern w:val="0"/>
          <w:sz w:val="21"/>
          <w:szCs w:val="21"/>
          <w:highlight w:val="none"/>
          <w:u w:val="single"/>
          <w:lang w:val="en-US" w:eastAsia="zh-CN" w:bidi="ar-SA"/>
        </w:rPr>
        <w:t>南川区冷水关镇、峰岩乡抗旱水源工程</w:t>
      </w:r>
      <w:r>
        <w:rPr>
          <w:rFonts w:hint="eastAsia"/>
          <w:color w:val="auto"/>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2CB3E6DB">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二、项目所在地：</w:t>
      </w:r>
      <w:r>
        <w:rPr>
          <w:rFonts w:hint="eastAsia" w:ascii="宋体" w:hAnsi="宋体" w:cs="宋体"/>
          <w:color w:val="auto"/>
          <w:kern w:val="0"/>
          <w:szCs w:val="21"/>
          <w:highlight w:val="none"/>
          <w:u w:val="single"/>
        </w:rPr>
        <w:t xml:space="preserve"> </w:t>
      </w:r>
      <w:r>
        <w:rPr>
          <w:rFonts w:hint="eastAsia"/>
          <w:color w:val="auto"/>
          <w:szCs w:val="21"/>
          <w:highlight w:val="none"/>
          <w:u w:val="single"/>
          <w:lang w:val="en-US" w:eastAsia="zh-CN"/>
        </w:rPr>
        <w:t xml:space="preserve">   </w:t>
      </w:r>
      <w:r>
        <w:rPr>
          <w:rFonts w:hint="eastAsia" w:ascii="宋体" w:hAnsi="宋体" w:eastAsia="宋体" w:cs="Times New Roman"/>
          <w:b w:val="0"/>
          <w:bCs/>
          <w:snapToGrid w:val="0"/>
          <w:color w:val="auto"/>
          <w:spacing w:val="0"/>
          <w:w w:val="100"/>
          <w:kern w:val="0"/>
          <w:sz w:val="21"/>
          <w:szCs w:val="21"/>
          <w:highlight w:val="none"/>
          <w:u w:val="single"/>
          <w:lang w:val="en-US" w:eastAsia="zh-CN" w:bidi="ar-SA"/>
        </w:rPr>
        <w:t>南川区冷水关镇、峰岩乡。</w:t>
      </w:r>
      <w:r>
        <w:rPr>
          <w:rFonts w:hint="eastAsia"/>
          <w:color w:val="auto"/>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4384E86F">
      <w:pPr>
        <w:keepNext w:val="0"/>
        <w:keepLines w:val="0"/>
        <w:pageBreakBefore w:val="0"/>
        <w:widowControl/>
        <w:kinsoku/>
        <w:wordWrap/>
        <w:overflowPunct/>
        <w:topLinePunct w:val="0"/>
        <w:autoSpaceDE/>
        <w:autoSpaceDN/>
        <w:bidi w:val="0"/>
        <w:adjustRightInd/>
        <w:spacing w:line="360" w:lineRule="auto"/>
        <w:ind w:firstLine="420" w:firstLineChars="200"/>
        <w:textAlignment w:val="baseline"/>
        <w:rPr>
          <w:rFonts w:hint="eastAsia" w:ascii="宋体" w:hAnsi="宋体" w:eastAsia="宋体" w:cs="Times New Roman"/>
          <w:b w:val="0"/>
          <w:bCs/>
          <w:snapToGrid w:val="0"/>
          <w:color w:val="auto"/>
          <w:spacing w:val="0"/>
          <w:w w:val="100"/>
          <w:kern w:val="0"/>
          <w:sz w:val="21"/>
          <w:szCs w:val="21"/>
          <w:highlight w:val="none"/>
          <w:u w:val="single"/>
          <w:lang w:val="en-US" w:eastAsia="zh-CN" w:bidi="ar-SA"/>
        </w:rPr>
      </w:pPr>
      <w:r>
        <w:rPr>
          <w:rFonts w:hint="eastAsia" w:ascii="宋体" w:hAnsi="宋体" w:cs="宋体"/>
          <w:color w:val="auto"/>
          <w:kern w:val="0"/>
          <w:szCs w:val="21"/>
          <w:highlight w:val="none"/>
        </w:rPr>
        <w:t>二、工程内容：</w:t>
      </w:r>
      <w:r>
        <w:rPr>
          <w:rFonts w:hint="eastAsia" w:ascii="宋体" w:hAnsi="宋体" w:eastAsia="宋体" w:cs="Times New Roman"/>
          <w:b w:val="0"/>
          <w:bCs/>
          <w:snapToGrid w:val="0"/>
          <w:color w:val="auto"/>
          <w:spacing w:val="0"/>
          <w:w w:val="100"/>
          <w:kern w:val="0"/>
          <w:sz w:val="21"/>
          <w:szCs w:val="21"/>
          <w:highlight w:val="none"/>
          <w:u w:val="single"/>
          <w:lang w:val="en-US" w:eastAsia="zh-CN" w:bidi="ar-SA"/>
        </w:rPr>
        <w:t xml:space="preserve"> </w:t>
      </w:r>
      <w:r>
        <w:rPr>
          <w:rFonts w:hint="default" w:ascii="宋体" w:hAnsi="宋体" w:eastAsia="宋体" w:cs="Times New Roman"/>
          <w:b w:val="0"/>
          <w:bCs/>
          <w:snapToGrid w:val="0"/>
          <w:color w:val="auto"/>
          <w:spacing w:val="0"/>
          <w:w w:val="100"/>
          <w:kern w:val="0"/>
          <w:sz w:val="21"/>
          <w:szCs w:val="21"/>
          <w:highlight w:val="none"/>
          <w:u w:val="single"/>
          <w:lang w:val="en-US" w:eastAsia="zh-CN" w:bidi="ar-SA"/>
        </w:rPr>
        <w:t>本项目包括给水管网及其配套设施安装，其中：安装供水管道60.4Km；安装D108*4涂塑钢管2300m、dn90PE管（1.6Mpa）2320m、dn75PE管（1.6Mpa）4360m、dn63PPR管（1.6Mpa）6040m、dn50PPR管（1.6Mpa）5990m、dn32PPR管（1.6Mpa）11230m、dn20PPR管（1.6Mpa）28160m、安装远传式水表300块、新建阀门井103座、新建水表井112座、新建 4m³减压水箱11座以及配套附属设施等。</w:t>
      </w:r>
    </w:p>
    <w:p w14:paraId="4721967A">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Fonts w:hint="eastAsia" w:ascii="宋体" w:hAnsi="宋体" w:eastAsia="宋体" w:cs="宋体"/>
          <w:snapToGrid w:val="0"/>
          <w:color w:val="auto"/>
          <w:kern w:val="0"/>
          <w:sz w:val="21"/>
          <w:szCs w:val="21"/>
          <w:highlight w:val="none"/>
        </w:rPr>
      </w:pPr>
      <w:r>
        <w:rPr>
          <w:rFonts w:hint="eastAsia" w:ascii="宋体" w:hAnsi="宋体" w:cs="宋体"/>
          <w:color w:val="auto"/>
          <w:kern w:val="0"/>
          <w:szCs w:val="21"/>
          <w:highlight w:val="none"/>
        </w:rPr>
        <w:t>三、合同履行期限：</w:t>
      </w:r>
      <w:r>
        <w:rPr>
          <w:rFonts w:hint="eastAsia" w:ascii="宋体" w:hAnsi="宋体" w:eastAsia="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lang w:val="en-US" w:eastAsia="zh-CN"/>
        </w:rPr>
        <w:t>日历天</w:t>
      </w:r>
      <w:r>
        <w:rPr>
          <w:rFonts w:hint="eastAsia" w:ascii="宋体" w:hAnsi="宋体" w:eastAsia="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snapToGrid w:val="0"/>
          <w:color w:val="auto"/>
          <w:kern w:val="0"/>
          <w:sz w:val="21"/>
          <w:szCs w:val="21"/>
          <w:highlight w:val="none"/>
          <w:u w:val="single"/>
        </w:rPr>
        <w:t xml:space="preserve">缺陷责任期为 </w:t>
      </w:r>
      <w:r>
        <w:rPr>
          <w:rFonts w:hint="eastAsia" w:ascii="宋体" w:hAnsi="宋体" w:eastAsia="宋体" w:cs="宋体"/>
          <w:snapToGrid w:val="0"/>
          <w:color w:val="auto"/>
          <w:kern w:val="0"/>
          <w:sz w:val="21"/>
          <w:szCs w:val="21"/>
          <w:highlight w:val="none"/>
          <w:u w:val="single"/>
          <w:lang w:val="en-US" w:eastAsia="zh-CN"/>
        </w:rPr>
        <w:t>24</w:t>
      </w:r>
      <w:r>
        <w:rPr>
          <w:rFonts w:hint="eastAsia" w:ascii="宋体" w:hAnsi="宋体" w:eastAsia="宋体" w:cs="宋体"/>
          <w:snapToGrid w:val="0"/>
          <w:color w:val="auto"/>
          <w:kern w:val="0"/>
          <w:sz w:val="21"/>
          <w:szCs w:val="21"/>
          <w:highlight w:val="none"/>
          <w:u w:val="single"/>
        </w:rPr>
        <w:t>个月</w:t>
      </w:r>
      <w:r>
        <w:rPr>
          <w:rFonts w:hint="eastAsia" w:ascii="宋体" w:hAnsi="宋体" w:eastAsia="宋体" w:cs="宋体"/>
          <w:snapToGrid w:val="0"/>
          <w:color w:val="auto"/>
          <w:kern w:val="0"/>
          <w:sz w:val="21"/>
          <w:szCs w:val="21"/>
          <w:highlight w:val="none"/>
        </w:rPr>
        <w:t>。</w:t>
      </w:r>
    </w:p>
    <w:p w14:paraId="322562CC">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Fonts w:hint="default" w:ascii="宋体" w:hAnsi="宋体" w:cs="宋体"/>
          <w:color w:val="auto"/>
          <w:kern w:val="0"/>
          <w:szCs w:val="21"/>
          <w:highlight w:val="none"/>
          <w:lang w:val="en-US"/>
        </w:rPr>
      </w:pPr>
      <w:r>
        <w:rPr>
          <w:rFonts w:hint="eastAsia" w:ascii="宋体" w:hAnsi="宋体" w:cs="宋体"/>
          <w:color w:val="auto"/>
          <w:kern w:val="0"/>
          <w:szCs w:val="21"/>
          <w:highlight w:val="none"/>
        </w:rPr>
        <w:t>四、本工程主要危险源：</w:t>
      </w:r>
      <w:r>
        <w:rPr>
          <w:rFonts w:hint="eastAsia" w:ascii="宋体" w:hAnsi="宋体" w:eastAsia="宋体" w:cs="宋体"/>
          <w:snapToGrid w:val="0"/>
          <w:color w:val="auto"/>
          <w:kern w:val="0"/>
          <w:sz w:val="21"/>
          <w:szCs w:val="21"/>
          <w:highlight w:val="none"/>
          <w:u w:val="single"/>
          <w:lang w:val="en-US" w:eastAsia="zh-CN"/>
        </w:rPr>
        <w:t>触电事故、坍塌事故、交通事故等危险源</w:t>
      </w:r>
      <w:r>
        <w:rPr>
          <w:rFonts w:hint="eastAsia" w:ascii="宋体" w:hAnsi="宋体" w:cs="宋体"/>
          <w:color w:val="auto"/>
          <w:kern w:val="32"/>
          <w:szCs w:val="21"/>
          <w:highlight w:val="none"/>
          <w:u w:val="none"/>
          <w:lang w:val="en-US" w:eastAsia="zh-CN"/>
        </w:rPr>
        <w:t>。</w:t>
      </w:r>
    </w:p>
    <w:p w14:paraId="01EDA767">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五、双方的权利义务</w:t>
      </w:r>
    </w:p>
    <w:p w14:paraId="4A60BB92">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（一） 甲方的权利义务</w:t>
      </w:r>
    </w:p>
    <w:p w14:paraId="0BB96747">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甲方应向施工单位提供施工现场及施工可能影响的毗邻区域内供水、排水、供电、供气、通讯、广播电视等地下管线资料，气象和水文观测资料，拟建工程可能影响的相邻建筑物和构筑物、地下工程的有关资料，并保证有关资料的真实、准确、完整，满足有关技术规范。但以上资料尚未形成或无法查询的除外。</w:t>
      </w:r>
    </w:p>
    <w:p w14:paraId="17D83A78">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2．甲方不得调减和挪用中标价中所确定的水利工程建设有关安全作业环境及安全施工措施等所需费用。</w:t>
      </w:r>
    </w:p>
    <w:p w14:paraId="3B82DFAB">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甲方应督促乙方严格执行财政部、国家安全生产监督管理总局《关于印发高危行业企业安全生产费用财务管理暂行办法的通知》（财企〔2006〕478号）和重庆市水利局、市财政局、市发改委和市安监局《关于落实水利工程建设安全生产费用及使用管理问题的通知》（渝水基〔2009〕28号）的规定。</w:t>
      </w:r>
    </w:p>
    <w:p w14:paraId="4A56AAD2">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4．甲方不得对乙方提出不符合建设工程安全生产法律、法规和强制性标准规定的要求，不得压缩合同约定的工期。</w:t>
      </w:r>
    </w:p>
    <w:p w14:paraId="620F586F">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5．甲方应编制保证安全生产的措施方案，并在规定时间内报有管辖权的水行政主管部门备案。</w:t>
      </w:r>
    </w:p>
    <w:p w14:paraId="2F03BEAA">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6．在本水利工程开工前，甲方应当就落实保证安全生产的措施进行全面系统的布置，明确施工单位的安全生产责任。</w:t>
      </w:r>
    </w:p>
    <w:p w14:paraId="420A88E0">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甲方应当在拆除或者爆破工程施工15日前，将施工单位资质等级证明、拟拆除或拟爆破的工程及可以危及毗邻建筑物的说明、施工组织方案、堆放、清除废弃物的措施、生产安全事故的应急救援预案报有管辖权的水行政主管部门、流域管理机构或者其委托的安全生产监督机构备案。</w:t>
      </w:r>
    </w:p>
    <w:p w14:paraId="08AA6C4C">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8．甲方有权检查乙方执行有关安全生产方面的工作规定，对乙方不符合安全、文明施工要求的行为进行制止、纠正并发出安全整改通知书，直至清退出场。</w:t>
      </w:r>
    </w:p>
    <w:p w14:paraId="31D2F06B">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9．甲方应确保安全设施与主体工程建设“三同时”的原则，即：同时设计，同时施工，同时投入使用。 </w:t>
      </w:r>
    </w:p>
    <w:p w14:paraId="4CE24C18">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10．甲方不得明示或者暗示乙方购买、租赁、使用不符合安全施工要求的安全防护用具、机械设备、施工机具及配件、消防设施和器材。</w:t>
      </w:r>
    </w:p>
    <w:p w14:paraId="76A1F20C">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11．甲方应在事故发生后，按照事故处理的相关程序上报有关部门，不得延误。</w:t>
      </w:r>
    </w:p>
    <w:p w14:paraId="32810668">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bookmarkStart w:id="361" w:name="_Toc33183803"/>
      <w:r>
        <w:rPr>
          <w:rFonts w:hint="eastAsia" w:ascii="宋体" w:hAnsi="宋体" w:cs="宋体"/>
          <w:color w:val="auto"/>
          <w:kern w:val="0"/>
          <w:szCs w:val="21"/>
          <w:highlight w:val="none"/>
        </w:rPr>
        <w:t>（二）乙方的权利义务</w:t>
      </w:r>
      <w:bookmarkEnd w:id="361"/>
    </w:p>
    <w:p w14:paraId="168CB98C">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1．乙方应严格执行安全生产法律法规，水行政主管部门的规定，按照工程建设规范要求，特别是强制性规范对安全施工的各项规定，依法履行安全生产管理职责和义务。</w:t>
      </w:r>
    </w:p>
    <w:p w14:paraId="180DE4FD">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2．乙方应承诺本单位依法取得符合本工程要求的《安全生产许可证》；本单位的主要负责人、拟投入项目负责人以及专职安全生产管理人员具有合法有效的安全资质证书。</w:t>
      </w:r>
    </w:p>
    <w:p w14:paraId="4B7FB66E">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为保证施工现场安全管理体系有效运行，乙方应当设立专职的安全生产管理机构，并配备专职安全生产管理人员。施工现场应当按照每2000万元施工合同额配备1名的比例，配备专职安全生产管理人员，每个标段不足2000万元的至少配备1名；建立健全安全生产规章制度和操作规程，对工程建设进行经常性的安全检查，并做好安全检查记录。</w:t>
      </w:r>
    </w:p>
    <w:p w14:paraId="226C95A8">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4．乙方应按照财政部安全监督总局关于印发《企业安全生产费用提取和使用管理办法》的通知（财企</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2012</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16号）要求</w:t>
      </w:r>
      <w:r>
        <w:rPr>
          <w:rFonts w:hint="eastAsia" w:ascii="宋体" w:hAnsi="宋体"/>
          <w:color w:val="auto"/>
          <w:szCs w:val="21"/>
          <w:highlight w:val="none"/>
        </w:rPr>
        <w:t>和重庆市水利局办公室文件《重庆市水利局办公室关于进一步加强水利工程安全文明施工管理的通知》（渝水办建</w:t>
      </w:r>
      <w:r>
        <w:rPr>
          <w:rFonts w:hint="eastAsia" w:ascii="宋体" w:hAnsi="宋体"/>
          <w:color w:val="auto"/>
          <w:szCs w:val="21"/>
          <w:highlight w:val="none"/>
          <w:lang w:eastAsia="zh-CN"/>
        </w:rPr>
        <w:t>〔</w:t>
      </w:r>
      <w:r>
        <w:rPr>
          <w:rFonts w:ascii="宋体" w:hAnsi="宋体"/>
          <w:color w:val="auto"/>
          <w:szCs w:val="21"/>
          <w:highlight w:val="none"/>
        </w:rPr>
        <w:t>20</w:t>
      </w:r>
      <w:r>
        <w:rPr>
          <w:rFonts w:hint="eastAsia" w:ascii="宋体" w:hAnsi="宋体"/>
          <w:color w:val="auto"/>
          <w:szCs w:val="21"/>
          <w:highlight w:val="none"/>
        </w:rPr>
        <w:t>21</w:t>
      </w:r>
      <w:r>
        <w:rPr>
          <w:rFonts w:hint="eastAsia" w:ascii="宋体" w:hAnsi="宋体"/>
          <w:color w:val="auto"/>
          <w:szCs w:val="21"/>
          <w:highlight w:val="none"/>
          <w:lang w:eastAsia="zh-CN"/>
        </w:rPr>
        <w:t>〕</w:t>
      </w:r>
      <w:r>
        <w:rPr>
          <w:rFonts w:ascii="宋体" w:hAnsi="宋体"/>
          <w:color w:val="auto"/>
          <w:szCs w:val="21"/>
          <w:highlight w:val="none"/>
        </w:rPr>
        <w:t>1</w:t>
      </w:r>
      <w:r>
        <w:rPr>
          <w:rFonts w:hint="eastAsia" w:ascii="宋体" w:hAnsi="宋体"/>
          <w:color w:val="auto"/>
          <w:szCs w:val="21"/>
          <w:highlight w:val="none"/>
        </w:rPr>
        <w:t>号）</w:t>
      </w:r>
      <w:r>
        <w:rPr>
          <w:rFonts w:hint="eastAsia" w:ascii="宋体" w:hAnsi="宋体" w:cs="宋体"/>
          <w:color w:val="auto"/>
          <w:kern w:val="0"/>
          <w:szCs w:val="21"/>
          <w:highlight w:val="none"/>
        </w:rPr>
        <w:t>的规定，以不低于建筑安装工程造价的</w:t>
      </w:r>
      <w:r>
        <w:rPr>
          <w:rFonts w:hint="eastAsia" w:ascii="宋体" w:hAnsi="宋体" w:cs="宋体"/>
          <w:color w:val="auto"/>
          <w:kern w:val="0"/>
          <w:szCs w:val="21"/>
          <w:highlight w:val="none"/>
          <w:u w:val="single"/>
        </w:rPr>
        <w:t>2.0%</w:t>
      </w:r>
      <w:r>
        <w:rPr>
          <w:rFonts w:hint="eastAsia" w:ascii="宋体" w:hAnsi="宋体" w:cs="宋体"/>
          <w:color w:val="auto"/>
          <w:kern w:val="0"/>
          <w:szCs w:val="21"/>
          <w:highlight w:val="none"/>
        </w:rPr>
        <w:t>计提安全费用，保证安全生产投入。</w:t>
      </w:r>
    </w:p>
    <w:p w14:paraId="146123AD">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5．乙方应认可其投标报价已包括（但不限于）完成本工程实物工作量所需的安全管理、质量管理、安全培训、劳动保护、文明施工等全部费用。</w:t>
      </w:r>
    </w:p>
    <w:p w14:paraId="4F310E3E">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乙方参与项目的承建单位所有人员（含农民工）上岗前均按照相关规定的要求进行了与其从事岗位相符的安全教育培训，具备必要的安全生产知识，熟悉有关的安全生产规章制度和安全操作规程，掌握本岗位的安全操作技能。</w:t>
      </w:r>
    </w:p>
    <w:p w14:paraId="50EDDA15">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所有特种作业人员接受了与本工种相适应的、专门的安全技术培训，经安全技术理论考核实际操作技能考试合格，并取得有效的特种作业人员操作证书。</w:t>
      </w:r>
    </w:p>
    <w:p w14:paraId="3FBBEC3B">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7．乙方所有进场设备、机具、设备应符合安全技术规范要求。特种设备具有特种设备安全检测机构出具的有效的检测合格证书或审批手续。</w:t>
      </w:r>
    </w:p>
    <w:p w14:paraId="1AB479C2">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8．乙方应遵守法律法规关于易燃易爆及危化物品购买、运输、储存、管理使用的相关规定，自觉接受当地公安部门的监管。</w:t>
      </w:r>
    </w:p>
    <w:p w14:paraId="2EA61904">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9．乙方应按照《安全生产事故隐患排查治理暂行规定》的要求，主动承担起隐患排查、治理和防控的主体责任，建立并落实从主要负责人到每个从业人员的隐患排查治理和监控责任制。</w:t>
      </w:r>
    </w:p>
    <w:p w14:paraId="74777FF1">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10．乙方应当按照重庆市水利局、市安监局《重庆市重点水利工程危险性较大单项工程安全专项施工方案编制和审查管理（暂行）办法》（渝水基〔2010〕15号）的要求，对危险性较大的单项工程编制安全生产专项方案，并严格履行审核、审查批准程序后方可实施。</w:t>
      </w:r>
    </w:p>
    <w:p w14:paraId="55BFBF50">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11．乙方应按照本工程项目特点，组织制定本工程实施中的生产安全事故应急救援预案；承担度汛要求的工程，还应当编制满足度汛要求的施工度汛方案，并按程序审批、备案。</w:t>
      </w:r>
    </w:p>
    <w:p w14:paraId="7A07057C">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12．乙方应按照国务院《生产安全事故报告和调查处理条例》及相关规定的要求，及时上报有关部门，不得延误。</w:t>
      </w:r>
    </w:p>
    <w:p w14:paraId="261D517B">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13．乙方应承担施工期间因生产安全事故造成的刑事、行政、民事责任和全部直接经济损失。</w:t>
      </w:r>
    </w:p>
    <w:p w14:paraId="5E1C9F8F">
      <w:pPr>
        <w:pageBreakBefore w:val="0"/>
        <w:kinsoku/>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六、乙方发生“七、违约责任”中所述乙方违约情形时的有关违约金以及施工单位承担责任的安全事故处置和事故善后工作所产生的有关费用，甲方将在工程进度款中扣除，后续进度款不足的在履约保证金中扣除。乙方应在发生生产安全事故后及时开展救援处置工作。</w:t>
      </w:r>
    </w:p>
    <w:p w14:paraId="64AF5FC7">
      <w:pPr>
        <w:pageBreakBefore w:val="0"/>
        <w:kinsoku/>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七、违约责任</w:t>
      </w:r>
    </w:p>
    <w:p w14:paraId="0363BDB5">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（一）甲方违反本合同约定的义务，导致乙方发生生产安全事故和经济损失的，应承担由此而产生的直接经济损失。</w:t>
      </w:r>
    </w:p>
    <w:p w14:paraId="22450230">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（二）乙方如发生特别重大、重大、较大和一般生产安全事故，应当以安全生产行政主管部门出具的事故调查处理报告为依据，分别承担100万元、50万元、30万元、10万元的违约金。</w:t>
      </w:r>
    </w:p>
    <w:p w14:paraId="58DE7DD2">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（三）乙方发生人身伤亡工伤事故或机械设备事故后，故意破坏或伪造事故现场，隐瞒不报、谎报、虚报，应承担违约金50万元。</w:t>
      </w:r>
    </w:p>
    <w:p w14:paraId="193CF000">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（四）乙方每发生一次本合同附件所列举的“习惯性违章行为”一条，乙方应承担违约金1万元；发生一次两条，乙方应承担违约金2万元，以此类推。</w:t>
      </w:r>
    </w:p>
    <w:p w14:paraId="7925D981">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八、甲、乙双方应自觉接受项目监理单位对本工程实施的安全监督和检查，并按要求承担违约责任。</w:t>
      </w:r>
    </w:p>
    <w:p w14:paraId="7A0CC650">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九、本合同有效期为：甲乙双方签署之日起至合同工程完工验收之日止。</w:t>
      </w:r>
    </w:p>
    <w:p w14:paraId="173B158D">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十、本合同一式陆份，甲乙双方各执份贰份，监理单位贰份，由双方加盖公章、法定代表人或其授权代理人签名后生效。</w:t>
      </w:r>
    </w:p>
    <w:p w14:paraId="0030CE1F">
      <w:pPr>
        <w:pageBreakBefore w:val="0"/>
        <w:kinsoku/>
        <w:overflowPunct/>
        <w:topLinePunct w:val="0"/>
        <w:bidi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十一、合同未尽事宜，各方协商解决。如协商不成，可提请有管辖权的仲裁机构或法院进行裁决。</w:t>
      </w:r>
    </w:p>
    <w:p w14:paraId="471FEE66">
      <w:pPr>
        <w:pageBreakBefore w:val="0"/>
        <w:kinsoku/>
        <w:overflowPunct/>
        <w:topLinePunct w:val="0"/>
        <w:bidi w:val="0"/>
        <w:snapToGrid w:val="0"/>
        <w:spacing w:line="360" w:lineRule="auto"/>
        <w:rPr>
          <w:rFonts w:hint="eastAsia" w:ascii="宋体" w:hAnsi="宋体" w:cs="宋体"/>
          <w:color w:val="auto"/>
          <w:kern w:val="0"/>
          <w:szCs w:val="21"/>
          <w:highlight w:val="none"/>
        </w:rPr>
      </w:pPr>
    </w:p>
    <w:p w14:paraId="454D17C4">
      <w:pPr>
        <w:pageBreakBefore w:val="0"/>
        <w:kinsoku/>
        <w:overflowPunct/>
        <w:topLinePunct w:val="0"/>
        <w:bidi w:val="0"/>
        <w:snapToGrid w:val="0"/>
        <w:spacing w:line="360" w:lineRule="auto"/>
        <w:rPr>
          <w:rFonts w:hint="eastAsia" w:ascii="宋体" w:hAnsi="宋体" w:cs="宋体"/>
          <w:color w:val="auto"/>
          <w:kern w:val="0"/>
          <w:szCs w:val="21"/>
          <w:highlight w:val="none"/>
        </w:rPr>
      </w:pPr>
    </w:p>
    <w:p w14:paraId="54C3352F">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甲方：（盖章）</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乙方：（盖章）</w:t>
      </w:r>
    </w:p>
    <w:p w14:paraId="7B2473A5">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baseline"/>
        <w:rPr>
          <w:rFonts w:hint="eastAsia" w:ascii="宋体" w:hAnsi="宋体" w:cs="宋体"/>
          <w:color w:val="auto"/>
          <w:kern w:val="0"/>
          <w:szCs w:val="21"/>
          <w:highlight w:val="none"/>
        </w:rPr>
      </w:pPr>
    </w:p>
    <w:p w14:paraId="672631B4">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法定代表人（或授权的代理人）</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法定代表人（或授权的代理人）</w:t>
      </w:r>
      <w:r>
        <w:rPr>
          <w:rFonts w:hint="eastAsia" w:ascii="宋体" w:hAnsi="宋体" w:cs="宋体"/>
          <w:color w:val="auto"/>
          <w:kern w:val="0"/>
          <w:szCs w:val="21"/>
          <w:highlight w:val="none"/>
          <w:lang w:eastAsia="zh-CN"/>
        </w:rPr>
        <w:t>：</w:t>
      </w:r>
    </w:p>
    <w:p w14:paraId="1FB36617">
      <w:pPr>
        <w:pageBreakBefore w:val="0"/>
        <w:kinsoku/>
        <w:overflowPunct/>
        <w:topLinePunct w:val="0"/>
        <w:bidi w:val="0"/>
        <w:snapToGrid w:val="0"/>
        <w:spacing w:line="360" w:lineRule="auto"/>
        <w:rPr>
          <w:rFonts w:hint="eastAsia" w:ascii="宋体" w:hAnsi="宋体" w:cs="宋体"/>
          <w:color w:val="auto"/>
          <w:kern w:val="0"/>
          <w:szCs w:val="21"/>
          <w:highlight w:val="none"/>
        </w:rPr>
      </w:pPr>
    </w:p>
    <w:p w14:paraId="18493F3A">
      <w:pPr>
        <w:pageBreakBefore w:val="0"/>
        <w:kinsoku/>
        <w:overflowPunct/>
        <w:topLinePunct w:val="0"/>
        <w:bidi w:val="0"/>
        <w:snapToGrid w:val="0"/>
        <w:spacing w:line="360" w:lineRule="auto"/>
        <w:rPr>
          <w:rFonts w:hint="eastAsia" w:ascii="宋体" w:hAnsi="宋体" w:cs="宋体"/>
          <w:color w:val="auto"/>
          <w:kern w:val="0"/>
          <w:szCs w:val="21"/>
          <w:highlight w:val="none"/>
        </w:rPr>
      </w:pPr>
    </w:p>
    <w:p w14:paraId="26B1950E">
      <w:pPr>
        <w:pageBreakBefore w:val="0"/>
        <w:kinsoku/>
        <w:overflowPunct/>
        <w:topLinePunct w:val="0"/>
        <w:bidi w:val="0"/>
        <w:snapToGrid w:val="0"/>
        <w:spacing w:line="360" w:lineRule="auto"/>
        <w:rPr>
          <w:rFonts w:hint="eastAsia" w:ascii="宋体" w:hAnsi="宋体" w:cs="宋体"/>
          <w:color w:val="auto"/>
          <w:kern w:val="0"/>
          <w:szCs w:val="21"/>
          <w:highlight w:val="none"/>
        </w:rPr>
      </w:pPr>
    </w:p>
    <w:p w14:paraId="62FED220">
      <w:pPr>
        <w:pageBreakBefore w:val="0"/>
        <w:kinsoku/>
        <w:overflowPunct/>
        <w:topLinePunct w:val="0"/>
        <w:bidi w:val="0"/>
        <w:snapToGrid w:val="0"/>
        <w:spacing w:line="360" w:lineRule="auto"/>
        <w:rPr>
          <w:rFonts w:hint="eastAsia" w:ascii="宋体" w:hAnsi="宋体" w:cs="宋体"/>
          <w:color w:val="auto"/>
          <w:kern w:val="0"/>
          <w:szCs w:val="21"/>
          <w:highlight w:val="none"/>
        </w:rPr>
      </w:pPr>
    </w:p>
    <w:p w14:paraId="407A62A8">
      <w:pPr>
        <w:pageBreakBefore w:val="0"/>
        <w:kinsoku/>
        <w:overflowPunct/>
        <w:topLinePunct w:val="0"/>
        <w:bidi w:val="0"/>
        <w:snapToGrid w:val="0"/>
        <w:spacing w:line="360" w:lineRule="auto"/>
        <w:rPr>
          <w:rFonts w:hint="eastAsia" w:ascii="宋体" w:hAnsi="宋体" w:cs="宋体"/>
          <w:color w:val="auto"/>
          <w:kern w:val="0"/>
          <w:szCs w:val="21"/>
          <w:highlight w:val="none"/>
        </w:rPr>
      </w:pPr>
    </w:p>
    <w:p w14:paraId="57628246">
      <w:pPr>
        <w:pageBreakBefore w:val="0"/>
        <w:kinsoku/>
        <w:overflowPunct/>
        <w:topLinePunct w:val="0"/>
        <w:bidi w:val="0"/>
        <w:snapToGrid w:val="0"/>
        <w:spacing w:line="360" w:lineRule="auto"/>
        <w:rPr>
          <w:rFonts w:hint="eastAsia" w:ascii="宋体" w:hAnsi="宋体" w:cs="宋体"/>
          <w:color w:val="auto"/>
          <w:kern w:val="0"/>
          <w:szCs w:val="21"/>
          <w:highlight w:val="none"/>
        </w:rPr>
      </w:pPr>
    </w:p>
    <w:p w14:paraId="144068CA">
      <w:pPr>
        <w:pageBreakBefore w:val="0"/>
        <w:kinsoku/>
        <w:overflowPunct/>
        <w:topLinePunct w:val="0"/>
        <w:bidi w:val="0"/>
        <w:snapToGrid w:val="0"/>
        <w:spacing w:line="360" w:lineRule="auto"/>
        <w:rPr>
          <w:rFonts w:hint="eastAsia" w:ascii="宋体" w:hAnsi="宋体" w:cs="宋体"/>
          <w:color w:val="auto"/>
          <w:kern w:val="0"/>
          <w:szCs w:val="21"/>
          <w:highlight w:val="none"/>
        </w:rPr>
      </w:pPr>
    </w:p>
    <w:p w14:paraId="0FAB0A09">
      <w:pPr>
        <w:pageBreakBefore w:val="0"/>
        <w:kinsoku/>
        <w:overflowPunct/>
        <w:topLinePunct w:val="0"/>
        <w:bidi w:val="0"/>
        <w:snapToGrid w:val="0"/>
        <w:spacing w:line="360" w:lineRule="auto"/>
        <w:rPr>
          <w:rFonts w:hint="eastAsia" w:ascii="宋体" w:hAnsi="宋体" w:cs="宋体"/>
          <w:color w:val="auto"/>
          <w:kern w:val="0"/>
          <w:szCs w:val="21"/>
          <w:highlight w:val="none"/>
        </w:rPr>
      </w:pPr>
    </w:p>
    <w:p w14:paraId="77B44D6F">
      <w:pPr>
        <w:pageBreakBefore w:val="0"/>
        <w:kinsoku/>
        <w:overflowPunct/>
        <w:topLinePunct w:val="0"/>
        <w:bidi w:val="0"/>
        <w:snapToGrid w:val="0"/>
        <w:spacing w:line="360" w:lineRule="auto"/>
        <w:rPr>
          <w:rFonts w:hint="eastAsia" w:ascii="宋体" w:hAnsi="宋体" w:cs="宋体"/>
          <w:color w:val="auto"/>
          <w:kern w:val="0"/>
          <w:szCs w:val="21"/>
          <w:highlight w:val="none"/>
        </w:rPr>
      </w:pPr>
    </w:p>
    <w:p w14:paraId="5AF44237">
      <w:pPr>
        <w:pageBreakBefore w:val="0"/>
        <w:kinsoku/>
        <w:overflowPunct/>
        <w:topLinePunct w:val="0"/>
        <w:bidi w:val="0"/>
        <w:snapToGrid w:val="0"/>
        <w:spacing w:line="360" w:lineRule="auto"/>
        <w:rPr>
          <w:rFonts w:hint="eastAsia" w:ascii="宋体" w:hAnsi="宋体" w:cs="宋体"/>
          <w:color w:val="auto"/>
          <w:kern w:val="0"/>
          <w:szCs w:val="21"/>
          <w:highlight w:val="none"/>
        </w:rPr>
      </w:pPr>
    </w:p>
    <w:p w14:paraId="1234C191">
      <w:pPr>
        <w:pStyle w:val="4"/>
        <w:rPr>
          <w:rFonts w:hint="eastAsia" w:ascii="宋体" w:hAnsi="宋体" w:cs="宋体"/>
          <w:color w:val="auto"/>
          <w:kern w:val="0"/>
          <w:szCs w:val="21"/>
          <w:highlight w:val="none"/>
        </w:rPr>
      </w:pPr>
    </w:p>
    <w:p w14:paraId="0DCFE0DA">
      <w:pPr>
        <w:rPr>
          <w:rFonts w:hint="eastAsia" w:ascii="宋体" w:hAnsi="宋体" w:cs="宋体"/>
          <w:color w:val="auto"/>
          <w:kern w:val="0"/>
          <w:szCs w:val="21"/>
          <w:highlight w:val="none"/>
        </w:rPr>
      </w:pPr>
    </w:p>
    <w:p w14:paraId="3DD4B501">
      <w:pPr>
        <w:pStyle w:val="4"/>
        <w:rPr>
          <w:rFonts w:hint="eastAsia" w:ascii="宋体" w:hAnsi="宋体" w:cs="宋体"/>
          <w:color w:val="auto"/>
          <w:kern w:val="0"/>
          <w:szCs w:val="21"/>
          <w:highlight w:val="none"/>
        </w:rPr>
      </w:pPr>
    </w:p>
    <w:p w14:paraId="678C0B5B">
      <w:pPr>
        <w:rPr>
          <w:rFonts w:hint="eastAsia" w:ascii="宋体" w:hAnsi="宋体" w:cs="宋体"/>
          <w:color w:val="auto"/>
          <w:kern w:val="0"/>
          <w:szCs w:val="21"/>
          <w:highlight w:val="none"/>
        </w:rPr>
      </w:pPr>
    </w:p>
    <w:p w14:paraId="50BDB703">
      <w:pPr>
        <w:pStyle w:val="4"/>
        <w:rPr>
          <w:rFonts w:hint="eastAsia" w:ascii="宋体" w:hAnsi="宋体" w:cs="宋体"/>
          <w:color w:val="auto"/>
          <w:kern w:val="0"/>
          <w:szCs w:val="21"/>
          <w:highlight w:val="none"/>
        </w:rPr>
      </w:pPr>
    </w:p>
    <w:p w14:paraId="600EF42F">
      <w:pPr>
        <w:rPr>
          <w:rFonts w:hint="eastAsia" w:ascii="宋体" w:hAnsi="宋体" w:cs="宋体"/>
          <w:color w:val="auto"/>
          <w:kern w:val="0"/>
          <w:szCs w:val="21"/>
          <w:highlight w:val="none"/>
        </w:rPr>
      </w:pPr>
    </w:p>
    <w:p w14:paraId="767D2D83">
      <w:pPr>
        <w:pStyle w:val="4"/>
        <w:rPr>
          <w:rFonts w:hint="eastAsia" w:ascii="宋体" w:hAnsi="宋体" w:cs="宋体"/>
          <w:color w:val="auto"/>
          <w:kern w:val="0"/>
          <w:szCs w:val="21"/>
          <w:highlight w:val="none"/>
        </w:rPr>
      </w:pPr>
    </w:p>
    <w:p w14:paraId="0E209D6F">
      <w:pPr>
        <w:rPr>
          <w:rFonts w:hint="eastAsia" w:ascii="宋体" w:hAnsi="宋体" w:cs="宋体"/>
          <w:color w:val="auto"/>
          <w:kern w:val="0"/>
          <w:szCs w:val="21"/>
          <w:highlight w:val="none"/>
        </w:rPr>
      </w:pPr>
    </w:p>
    <w:p w14:paraId="068633F1">
      <w:pPr>
        <w:pStyle w:val="4"/>
        <w:rPr>
          <w:rFonts w:hint="eastAsia" w:ascii="宋体" w:hAnsi="宋体" w:cs="宋体"/>
          <w:color w:val="auto"/>
          <w:kern w:val="0"/>
          <w:szCs w:val="21"/>
          <w:highlight w:val="none"/>
        </w:rPr>
      </w:pPr>
    </w:p>
    <w:p w14:paraId="76A22B1C">
      <w:pPr>
        <w:rPr>
          <w:rFonts w:hint="eastAsia" w:ascii="宋体" w:hAnsi="宋体" w:cs="宋体"/>
          <w:color w:val="auto"/>
          <w:kern w:val="0"/>
          <w:szCs w:val="21"/>
          <w:highlight w:val="none"/>
        </w:rPr>
      </w:pPr>
    </w:p>
    <w:p w14:paraId="7C5C85BE">
      <w:pPr>
        <w:pStyle w:val="4"/>
        <w:rPr>
          <w:rFonts w:hint="eastAsia"/>
          <w:color w:val="auto"/>
          <w:highlight w:val="none"/>
        </w:rPr>
      </w:pPr>
    </w:p>
    <w:p w14:paraId="3CC26413">
      <w:pPr>
        <w:pageBreakBefore w:val="0"/>
        <w:kinsoku/>
        <w:overflowPunct/>
        <w:topLinePunct w:val="0"/>
        <w:bidi w:val="0"/>
        <w:snapToGrid w:val="0"/>
        <w:spacing w:line="360" w:lineRule="auto"/>
        <w:rPr>
          <w:rFonts w:hint="eastAsia" w:ascii="宋体" w:hAnsi="宋体" w:cs="宋体"/>
          <w:color w:val="auto"/>
          <w:kern w:val="0"/>
          <w:szCs w:val="21"/>
          <w:highlight w:val="none"/>
        </w:rPr>
      </w:pPr>
    </w:p>
    <w:p w14:paraId="7867E21A">
      <w:pPr>
        <w:pageBreakBefore w:val="0"/>
        <w:kinsoku/>
        <w:overflowPunct/>
        <w:topLinePunct w:val="0"/>
        <w:bidi w:val="0"/>
        <w:snapToGrid w:val="0"/>
        <w:spacing w:line="360" w:lineRule="auto"/>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附件</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p>
    <w:p w14:paraId="1F4ADB8C">
      <w:pPr>
        <w:pageBreakBefore w:val="0"/>
        <w:kinsoku/>
        <w:overflowPunct/>
        <w:topLinePunct w:val="0"/>
        <w:bidi w:val="0"/>
        <w:snapToGrid w:val="0"/>
        <w:spacing w:line="360" w:lineRule="auto"/>
        <w:jc w:val="center"/>
        <w:rPr>
          <w:rFonts w:hint="eastAsia" w:ascii="宋体" w:hAnsi="宋体" w:cs="宋体"/>
          <w:color w:val="auto"/>
          <w:kern w:val="0"/>
          <w:sz w:val="24"/>
          <w:szCs w:val="24"/>
          <w:highlight w:val="none"/>
        </w:rPr>
      </w:pPr>
    </w:p>
    <w:p w14:paraId="3CCC4E78">
      <w:pPr>
        <w:pageBreakBefore w:val="0"/>
        <w:kinsoku/>
        <w:overflowPunct/>
        <w:topLinePunct w:val="0"/>
        <w:bidi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习惯性违章行为</w:t>
      </w:r>
    </w:p>
    <w:p w14:paraId="6534DEFE">
      <w:pPr>
        <w:pStyle w:val="4"/>
        <w:rPr>
          <w:color w:val="auto"/>
          <w:highlight w:val="none"/>
        </w:rPr>
      </w:pPr>
    </w:p>
    <w:p w14:paraId="102B6A0A">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1．进入施工生产区域的人员不正确穿戴使用劳动防护用品。</w:t>
      </w:r>
    </w:p>
    <w:p w14:paraId="605AC300">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2．作业人员随意解除、挪动已设置的安全措施或擅自穿、跨越安全围栏或超越安全警戒线。</w:t>
      </w:r>
    </w:p>
    <w:p w14:paraId="00DD37F7">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3．在行人道口或人口密集区从事高处作业，工作地点的下面不设围栏、未设专人看守或其他安全措施。</w:t>
      </w:r>
    </w:p>
    <w:p w14:paraId="058B73E7">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4．高处作业不系安全带、安全带系在移动或不牢固的物件上、换位时失去安全带保护；高处作业人员不系安全绳、安全绳低挂高用。</w:t>
      </w:r>
    </w:p>
    <w:p w14:paraId="1A487FE6">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5．高处作业不用绳索传递物品，随手上下抛掷器具、材料。</w:t>
      </w:r>
    </w:p>
    <w:p w14:paraId="17B7DD33">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6．施工现场临时搭建的建筑物不符合安全使用要求。</w:t>
      </w:r>
    </w:p>
    <w:p w14:paraId="018B7639">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7．未对因建设工程施工可能造成损害的毗邻建筑物、构筑物和地下管线等采取专项防护措施。</w:t>
      </w:r>
    </w:p>
    <w:p w14:paraId="7697EF7A">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8．施工现场的井、洞、坑、沟、口等危险处不设明显警示标志，未采取加盖板或设置围栏等防护措施。</w:t>
      </w:r>
    </w:p>
    <w:p w14:paraId="2EE2A299">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9．临水、临空、临边等部位不设安全防护栏杆和挡脚板。</w:t>
      </w:r>
    </w:p>
    <w:p w14:paraId="18FA2D1B">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10．上下层垂直立体作业无隔离防护措施，或错开作业期间无专人监护。</w:t>
      </w:r>
    </w:p>
    <w:p w14:paraId="156F6E9B">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11．在高处平台、孔洞边缘倚坐或跨越栏杆。</w:t>
      </w:r>
    </w:p>
    <w:p w14:paraId="69ACE316">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12．高边坡作业未在作业面上方设置防护设施。</w:t>
      </w:r>
    </w:p>
    <w:p w14:paraId="0490A83C">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13．隧洞作业未采取必要的安全措施。</w:t>
      </w:r>
    </w:p>
    <w:p w14:paraId="00484CB2">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14．将运行中转动设备的防护罩打开；将手伸入运动中转动设备的遮拦内；戴手套或用抹布对转动部分进行清扫或进行其他工作。</w:t>
      </w:r>
    </w:p>
    <w:p w14:paraId="7D10687C">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15．空气压缩机房的维修平台和电动机地坑的周围无防护栏杆，或栏杆下部无防护网（板），地沟未铺设盖板；移动式空压机无防雨、防晒、隔离防拦等设施。</w:t>
      </w:r>
    </w:p>
    <w:p w14:paraId="2BCBFE50">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16．现场倒闸操作不戴绝缘手套，雷雨天气巡视或操作室外高压设备不穿绝缘靴。</w:t>
      </w:r>
    </w:p>
    <w:p w14:paraId="3FD520B9">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17．停电作业不验电接地或不按规定顺序装拆接地线、不按规定使用个人保安线。</w:t>
      </w:r>
    </w:p>
    <w:p w14:paraId="5419C853">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18．在带电设备周围使用钢卷尺、皮卷尺和线尺（夹有金属丝者）进行测量工作。</w:t>
      </w:r>
    </w:p>
    <w:p w14:paraId="4B451D30">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19．在带电设备周围使用金属梯子进行作业；在户外变电站和高压室内不按规定使用和搬运梯子、管子等长物。</w:t>
      </w:r>
    </w:p>
    <w:p w14:paraId="36885673">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20．未经值班人员许可，擅自进入带电运行设备区域。</w:t>
      </w:r>
    </w:p>
    <w:p w14:paraId="242624E9">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21．水上作业不佩戴救生工具。</w:t>
      </w:r>
    </w:p>
    <w:p w14:paraId="363D5E58">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22．建设项目施工单位不严格按照安全设施的施工图纸和设计要求施工。</w:t>
      </w:r>
    </w:p>
    <w:p w14:paraId="1B72C4ED">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23．作业人员不按照审批后的施工方案进行作业或随意变动施工方案；擅自扩大工作范围、工作内容。</w:t>
      </w:r>
    </w:p>
    <w:p w14:paraId="2B7D9C1D">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24．开工前没有对所有作业人员进行安全技术交底、不明确工作范围、安全措施不交代或交代不清，盲目开工。</w:t>
      </w:r>
    </w:p>
    <w:p w14:paraId="0F21414A">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25．专责监护人不认真履行监护职责，从事与监护无关的工作。</w:t>
      </w:r>
    </w:p>
    <w:p w14:paraId="72296EA2">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26．对基坑支护与降水、土方开挖与边坡防护、模板、起重吊装、脚手架、拆除、爆破等单项工程无专项施工方案和安全技术措施，或专项施工方案未完善编、审、批手续，或方案不符合强制性标准要求。</w:t>
      </w:r>
    </w:p>
    <w:p w14:paraId="669855BD">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27．组立杆塔、撤杆、撤线或紧线前未按规定使用防倒杆装置等防倒杆措施或采取突然剪断导线、地线、拉线等方法撤杆撤线。</w:t>
      </w:r>
    </w:p>
    <w:p w14:paraId="1235DAB1">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28．使用吊篮载人。</w:t>
      </w:r>
    </w:p>
    <w:p w14:paraId="119DD79A">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29．吊车起吊前未鸣笛示警或起重工作无专人指挥。</w:t>
      </w:r>
    </w:p>
    <w:p w14:paraId="4EE54B7A">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30．起重时凭借栏杆、脚手架、瓷件等起吊物件。</w:t>
      </w:r>
    </w:p>
    <w:p w14:paraId="0C415696">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31．在起吊或牵引过程中，受力钢丝绳周围、上下方、内角侧和起吊物下面，有人逗留和通过。吊运重物时从人头顶通过或吊臂下站人。</w:t>
      </w:r>
    </w:p>
    <w:p w14:paraId="0AB9B79B">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32．龙门吊、塔吊拆卸(安装)工程中未严格按照规定程序执行。</w:t>
      </w:r>
    </w:p>
    <w:p w14:paraId="3CFF52FA">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33．在梯子上作业，无人扶梯子或梯子架设在不稳定的支持物上。</w:t>
      </w:r>
    </w:p>
    <w:p w14:paraId="1C2F4098">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34．施工临时用电未严格执行“三相五线制”、线路敷设不整齐、绝缘不可靠、用其他金属丝代替熔断丝。</w:t>
      </w:r>
    </w:p>
    <w:p w14:paraId="5161547E">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35．配电箱、开关箱及漏电保护开关的配置未实行“三级配电、两级保护”，配电箱内电器设置应按“一机、一闸、一漏”原则设置。</w:t>
      </w:r>
    </w:p>
    <w:p w14:paraId="433F8949">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36．配电箱、开关箱无防雨、防尘和防砸措施。</w:t>
      </w:r>
    </w:p>
    <w:p w14:paraId="1DA8D83E">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37．不按规定使用合格的安全工器具或超过检测周期的安全工器具进行作业。</w:t>
      </w:r>
    </w:p>
    <w:p w14:paraId="0FA6D64C">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38．使用未经检验或检验不合格的特种设备。</w:t>
      </w:r>
    </w:p>
    <w:p w14:paraId="64E5D573">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39．带电作业，不按规定使用绝缘工具。</w:t>
      </w:r>
    </w:p>
    <w:p w14:paraId="29C72CCB">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40．使用电动工器具时未接入漏电保护装置、金属外壳不接地或接地不可靠、或不戴绝缘手套。</w:t>
      </w:r>
    </w:p>
    <w:p w14:paraId="5DECB8EA">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41．使用电动工具时将电源线直接插入插座孔或钩挂在闸刀开关上使用。</w:t>
      </w:r>
    </w:p>
    <w:p w14:paraId="5785AA25">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42．爆破物、有害气体和液体存放处不设明显且符合国际标准的安全警示标志。</w:t>
      </w:r>
    </w:p>
    <w:p w14:paraId="69456798">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43．对有爆炸和火灾危险的场所，未按危险场所等级选择相应的防爆型照明器。</w:t>
      </w:r>
    </w:p>
    <w:p w14:paraId="25295E8D">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44．在易燃物品及重要设备上方进行焊接，下方无监护人，未采取防火等安全措施。</w:t>
      </w:r>
    </w:p>
    <w:p w14:paraId="64D00FE4">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45．在宿舍、办公室、休息室内存放易燃易爆物品，使用电炉。</w:t>
      </w:r>
    </w:p>
    <w:p w14:paraId="21F3EFCC">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46．未履行有关手续即对有压力、带电、充油的容器及管道施焊。</w:t>
      </w:r>
    </w:p>
    <w:p w14:paraId="32C176C7">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47．消防设施配备不足或使用已过期失效的消防器材。</w:t>
      </w:r>
    </w:p>
    <w:p w14:paraId="7663E166">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48．爆破作业时无专人指挥、无统一信号和专人警戒。</w:t>
      </w:r>
    </w:p>
    <w:p w14:paraId="3573A1B2">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49．特种作业人员不持证上岗或非特种作业人员进行特种作业。</w:t>
      </w:r>
    </w:p>
    <w:p w14:paraId="474C3AA0">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50．无证驾驶、酒后驾驶、客货混装。</w:t>
      </w:r>
    </w:p>
    <w:p w14:paraId="00BCB6D6">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51．机器的传动部分没有装防护罩或其他防护设备，露出的轴端没有设护盖。</w:t>
      </w:r>
    </w:p>
    <w:p w14:paraId="58C54C85">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52．高空作业搭设的脚手架不符合安全要求。</w:t>
      </w:r>
    </w:p>
    <w:p w14:paraId="316EBB5D">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53．深沟、深坑四周无安全警戒线，夜间无警告红灯。</w:t>
      </w:r>
    </w:p>
    <w:p w14:paraId="497201A5">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54．起重机械，如绞磨、汽车吊、卷扬机等无制动和逆止装置，或制动装置失灵、不灵敏。</w:t>
      </w:r>
    </w:p>
    <w:p w14:paraId="7A279560">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55．易燃易爆区、重点防火区内的防火设施不全或符合规定要求。</w:t>
      </w:r>
    </w:p>
    <w:p w14:paraId="6B6710B4">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56．电器防误闭锁装置不全。</w:t>
      </w:r>
    </w:p>
    <w:p w14:paraId="5B28D8BF">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57．高低压线路对地、对建筑物等安全距离不够。</w:t>
      </w:r>
    </w:p>
    <w:p w14:paraId="6104B4FA">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58．电气设备外壳无接地。</w:t>
      </w:r>
    </w:p>
    <w:p w14:paraId="53951D5B">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59．临时电源无漏电保护器。</w:t>
      </w:r>
    </w:p>
    <w:p w14:paraId="34B0E61D">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60．未建立和完善各级人员安全生产责任制，使各级人员安全管理职责不清、安全责任不明。</w:t>
      </w:r>
    </w:p>
    <w:p w14:paraId="0980E1FB">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61．不建立健全安全生产管理制度和基础台帐。</w:t>
      </w:r>
    </w:p>
    <w:p w14:paraId="551FDD62">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62．未按规定设置安全监督机构和配置安全员。</w:t>
      </w:r>
    </w:p>
    <w:p w14:paraId="4B594BB4">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63．未按规定落实安全生产措施、计划、资金。</w:t>
      </w:r>
    </w:p>
    <w:p w14:paraId="28136753">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64．未按规定配备符合国家标准和行业标准的安全防护装置、安全工器具和个人防护用品。</w:t>
      </w:r>
    </w:p>
    <w:p w14:paraId="781F4624">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65．施工单位不为现场从事危险作业人员依法办理保险的凭证。</w:t>
      </w:r>
    </w:p>
    <w:p w14:paraId="3929889F">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66．新进场人员（包括农民工）未进行安全教育或未配证上岗作业的；或安排非特种作业人员进行特种作业的。</w:t>
      </w:r>
    </w:p>
    <w:p w14:paraId="56B79A14">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67．临时工从事有危险的工作时，未派专人监护。</w:t>
      </w:r>
    </w:p>
    <w:p w14:paraId="0425F97C">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68．违章指挥，强令工人冒险作业。</w:t>
      </w:r>
    </w:p>
    <w:p w14:paraId="44750A0F">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69．对排查出的安全隐患未制定整改计划或未落实整改治理措施。</w:t>
      </w:r>
    </w:p>
    <w:p w14:paraId="51E42970">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70．使用无相应资质的单位在施工现场安装、拆卸施工起重机械和整体提升脚手架、模板等自升式架设设施。</w:t>
      </w:r>
    </w:p>
    <w:p w14:paraId="58064EAB">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71．对承包方未进行资质审查或违规进行工程发包。</w:t>
      </w:r>
    </w:p>
    <w:p w14:paraId="52846FC9">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72．承发包工程未依法签订安全协议，未明确双方应承担的安全责任。</w:t>
      </w:r>
    </w:p>
    <w:p w14:paraId="1E6F08AC">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73．建设工程中租用未经安全性能检测或者经检测不合格的机械设备和施工机具。</w:t>
      </w:r>
    </w:p>
    <w:p w14:paraId="34682DCA">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74.  未按要求编制生产安全事故应急救援预案和施工度汛方案。</w:t>
      </w:r>
    </w:p>
    <w:p w14:paraId="072B0BAC">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75．在尚未竣工的建筑物内设置员工集体宿舍。</w:t>
      </w:r>
    </w:p>
    <w:p w14:paraId="6417F028">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76．发生施工安全事故后，不按规定程序进行报告或不遵循“四不放过”原则组织开展事故调查及处理。</w:t>
      </w:r>
    </w:p>
    <w:p w14:paraId="4F3664E9">
      <w:pPr>
        <w:pageBreakBefore w:val="0"/>
        <w:kinsoku/>
        <w:overflowPunct/>
        <w:topLinePunct w:val="0"/>
        <w:bidi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77. 法律法规、强制性规范规定的其他违章行为。</w:t>
      </w:r>
    </w:p>
    <w:p w14:paraId="0737116A">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Fonts w:hint="eastAsia" w:ascii="宋体" w:hAnsi="宋体" w:cs="宋体"/>
          <w:color w:val="auto"/>
          <w:kern w:val="0"/>
          <w:szCs w:val="21"/>
          <w:highlight w:val="none"/>
        </w:rPr>
      </w:pPr>
    </w:p>
    <w:p w14:paraId="23AEB88F">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甲方：（盖章）</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乙方：（盖章）</w:t>
      </w:r>
    </w:p>
    <w:p w14:paraId="602D0CC6">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法定代表人（或授权的代理人）</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法定代表人（或授权的代理人）</w:t>
      </w:r>
      <w:r>
        <w:rPr>
          <w:rFonts w:hint="eastAsia" w:ascii="宋体" w:hAnsi="宋体" w:cs="宋体"/>
          <w:color w:val="auto"/>
          <w:kern w:val="0"/>
          <w:szCs w:val="21"/>
          <w:highlight w:val="none"/>
          <w:lang w:eastAsia="zh-CN"/>
        </w:rPr>
        <w:t>：</w:t>
      </w:r>
    </w:p>
    <w:p w14:paraId="1D0BEFD9">
      <w:pPr>
        <w:pageBreakBefore w:val="0"/>
        <w:kinsoku/>
        <w:overflowPunct/>
        <w:topLinePunct w:val="0"/>
        <w:bidi w:val="0"/>
        <w:snapToGrid w:val="0"/>
        <w:spacing w:line="360" w:lineRule="auto"/>
        <w:ind w:firstLine="6090" w:firstLineChars="2900"/>
        <w:jc w:val="both"/>
        <w:rPr>
          <w:rFonts w:hint="eastAsia" w:ascii="宋体" w:hAnsi="宋体" w:cs="宋体"/>
          <w:color w:val="auto"/>
          <w:kern w:val="0"/>
          <w:szCs w:val="21"/>
          <w:highlight w:val="none"/>
        </w:rPr>
      </w:pPr>
      <w:r>
        <w:rPr>
          <w:rFonts w:hint="eastAsia" w:ascii="宋体" w:hAnsi="宋体" w:cs="宋体"/>
          <w:color w:val="auto"/>
          <w:kern w:val="0"/>
          <w:szCs w:val="21"/>
          <w:highlight w:val="none"/>
        </w:rPr>
        <w:t>时间：</w:t>
      </w:r>
      <w:r>
        <w:rPr>
          <w:rFonts w:hint="eastAsia" w:ascii="宋体" w:hAnsi="宋体" w:cs="宋体"/>
          <w:color w:val="auto"/>
          <w:kern w:val="0"/>
          <w:szCs w:val="21"/>
          <w:highlight w:val="none"/>
          <w:lang w:val="en-US" w:eastAsia="zh-CN"/>
        </w:rPr>
        <w:t xml:space="preserve">     年   月    日</w:t>
      </w:r>
      <w:bookmarkStart w:id="362" w:name="_Toc33183804"/>
    </w:p>
    <w:p w14:paraId="098EC656">
      <w:pPr>
        <w:pageBreakBefore w:val="0"/>
        <w:kinsoku/>
        <w:overflowPunct/>
        <w:topLinePunct w:val="0"/>
        <w:bidi w:val="0"/>
        <w:snapToGrid w:val="0"/>
        <w:spacing w:line="360" w:lineRule="auto"/>
        <w:jc w:val="both"/>
        <w:rPr>
          <w:rFonts w:hint="eastAsia" w:ascii="宋体" w:hAnsi="宋体" w:cs="宋体"/>
          <w:color w:val="auto"/>
          <w:kern w:val="0"/>
          <w:szCs w:val="21"/>
          <w:highlight w:val="none"/>
        </w:rPr>
      </w:pPr>
    </w:p>
    <w:p w14:paraId="55BA6592">
      <w:pPr>
        <w:pageBreakBefore w:val="0"/>
        <w:kinsoku/>
        <w:overflowPunct/>
        <w:topLinePunct w:val="0"/>
        <w:bidi w:val="0"/>
        <w:snapToGrid w:val="0"/>
        <w:spacing w:line="360" w:lineRule="auto"/>
        <w:jc w:val="both"/>
        <w:rPr>
          <w:rFonts w:hint="eastAsia" w:ascii="宋体" w:hAnsi="宋体" w:cs="宋体"/>
          <w:color w:val="auto"/>
          <w:kern w:val="0"/>
          <w:szCs w:val="21"/>
          <w:highlight w:val="none"/>
        </w:rPr>
      </w:pPr>
    </w:p>
    <w:p w14:paraId="73576A24">
      <w:pPr>
        <w:pageBreakBefore w:val="0"/>
        <w:kinsoku/>
        <w:overflowPunct/>
        <w:topLinePunct w:val="0"/>
        <w:bidi w:val="0"/>
        <w:snapToGrid w:val="0"/>
        <w:spacing w:line="360" w:lineRule="auto"/>
        <w:jc w:val="both"/>
        <w:rPr>
          <w:rFonts w:hint="eastAsia" w:ascii="宋体" w:hAnsi="宋体" w:cs="宋体"/>
          <w:color w:val="auto"/>
          <w:kern w:val="0"/>
          <w:szCs w:val="21"/>
          <w:highlight w:val="none"/>
        </w:rPr>
      </w:pPr>
    </w:p>
    <w:p w14:paraId="6D6A11A5">
      <w:pPr>
        <w:pageBreakBefore w:val="0"/>
        <w:kinsoku/>
        <w:overflowPunct/>
        <w:topLinePunct w:val="0"/>
        <w:bidi w:val="0"/>
        <w:snapToGrid w:val="0"/>
        <w:spacing w:line="360" w:lineRule="auto"/>
        <w:jc w:val="both"/>
        <w:rPr>
          <w:rFonts w:hint="eastAsia" w:ascii="宋体" w:hAnsi="宋体" w:cs="宋体"/>
          <w:color w:val="auto"/>
          <w:kern w:val="0"/>
          <w:szCs w:val="21"/>
          <w:highlight w:val="none"/>
        </w:rPr>
      </w:pPr>
    </w:p>
    <w:p w14:paraId="76F70CC0">
      <w:pPr>
        <w:pageBreakBefore w:val="0"/>
        <w:kinsoku/>
        <w:overflowPunct/>
        <w:topLinePunct w:val="0"/>
        <w:bidi w:val="0"/>
        <w:snapToGrid w:val="0"/>
        <w:spacing w:line="360" w:lineRule="auto"/>
        <w:jc w:val="both"/>
        <w:rPr>
          <w:rFonts w:hint="eastAsia" w:ascii="宋体" w:hAnsi="宋体" w:cs="宋体"/>
          <w:color w:val="auto"/>
          <w:kern w:val="0"/>
          <w:szCs w:val="21"/>
          <w:highlight w:val="none"/>
        </w:rPr>
      </w:pPr>
    </w:p>
    <w:p w14:paraId="5CF4D371">
      <w:pPr>
        <w:pageBreakBefore w:val="0"/>
        <w:kinsoku/>
        <w:overflowPunct/>
        <w:topLinePunct w:val="0"/>
        <w:bidi w:val="0"/>
        <w:snapToGrid w:val="0"/>
        <w:spacing w:line="360" w:lineRule="auto"/>
        <w:jc w:val="both"/>
        <w:rPr>
          <w:rFonts w:hint="eastAsia" w:ascii="宋体" w:hAnsi="宋体" w:cs="宋体"/>
          <w:color w:val="auto"/>
          <w:kern w:val="0"/>
          <w:szCs w:val="21"/>
          <w:highlight w:val="none"/>
        </w:rPr>
      </w:pPr>
    </w:p>
    <w:p w14:paraId="024309A4">
      <w:pPr>
        <w:pageBreakBefore w:val="0"/>
        <w:kinsoku/>
        <w:overflowPunct/>
        <w:topLinePunct w:val="0"/>
        <w:bidi w:val="0"/>
        <w:snapToGrid w:val="0"/>
        <w:spacing w:line="360" w:lineRule="auto"/>
        <w:jc w:val="both"/>
        <w:rPr>
          <w:rFonts w:hint="eastAsia" w:ascii="宋体" w:hAnsi="宋体" w:cs="宋体"/>
          <w:color w:val="auto"/>
          <w:kern w:val="0"/>
          <w:szCs w:val="21"/>
          <w:highlight w:val="none"/>
        </w:rPr>
      </w:pPr>
    </w:p>
    <w:p w14:paraId="0F4CDFDE">
      <w:pPr>
        <w:pageBreakBefore w:val="0"/>
        <w:kinsoku/>
        <w:overflowPunct/>
        <w:topLinePunct w:val="0"/>
        <w:bidi w:val="0"/>
        <w:snapToGrid w:val="0"/>
        <w:spacing w:line="360" w:lineRule="auto"/>
        <w:jc w:val="both"/>
        <w:rPr>
          <w:rFonts w:hint="eastAsia" w:ascii="宋体" w:hAnsi="宋体" w:cs="宋体"/>
          <w:color w:val="auto"/>
          <w:kern w:val="0"/>
          <w:szCs w:val="21"/>
          <w:highlight w:val="none"/>
        </w:rPr>
      </w:pPr>
    </w:p>
    <w:p w14:paraId="3EA2903F">
      <w:pPr>
        <w:pageBreakBefore w:val="0"/>
        <w:kinsoku/>
        <w:overflowPunct/>
        <w:topLinePunct w:val="0"/>
        <w:bidi w:val="0"/>
        <w:snapToGrid w:val="0"/>
        <w:spacing w:line="360" w:lineRule="auto"/>
        <w:jc w:val="both"/>
        <w:rPr>
          <w:rFonts w:hint="eastAsia" w:ascii="宋体" w:hAnsi="宋体" w:cs="宋体"/>
          <w:color w:val="auto"/>
          <w:kern w:val="0"/>
          <w:szCs w:val="21"/>
          <w:highlight w:val="none"/>
        </w:rPr>
      </w:pPr>
    </w:p>
    <w:p w14:paraId="2C868B0A">
      <w:pPr>
        <w:pageBreakBefore w:val="0"/>
        <w:kinsoku/>
        <w:overflowPunct/>
        <w:topLinePunct w:val="0"/>
        <w:bidi w:val="0"/>
        <w:snapToGrid w:val="0"/>
        <w:spacing w:line="360" w:lineRule="auto"/>
        <w:jc w:val="both"/>
        <w:rPr>
          <w:rFonts w:hint="eastAsia" w:ascii="宋体" w:hAnsi="宋体" w:cs="宋体"/>
          <w:color w:val="auto"/>
          <w:kern w:val="0"/>
          <w:szCs w:val="21"/>
          <w:highlight w:val="none"/>
        </w:rPr>
      </w:pPr>
    </w:p>
    <w:p w14:paraId="63C20BEE">
      <w:pPr>
        <w:pageBreakBefore w:val="0"/>
        <w:kinsoku/>
        <w:overflowPunct/>
        <w:topLinePunct w:val="0"/>
        <w:bidi w:val="0"/>
        <w:snapToGrid w:val="0"/>
        <w:spacing w:line="360" w:lineRule="auto"/>
        <w:jc w:val="both"/>
        <w:rPr>
          <w:rFonts w:hint="eastAsia" w:ascii="宋体" w:hAnsi="宋体" w:cs="宋体"/>
          <w:color w:val="auto"/>
          <w:kern w:val="0"/>
          <w:szCs w:val="21"/>
          <w:highlight w:val="none"/>
        </w:rPr>
      </w:pPr>
    </w:p>
    <w:p w14:paraId="3506CF27">
      <w:pPr>
        <w:pageBreakBefore w:val="0"/>
        <w:kinsoku/>
        <w:overflowPunct/>
        <w:topLinePunct w:val="0"/>
        <w:bidi w:val="0"/>
        <w:snapToGrid w:val="0"/>
        <w:spacing w:line="360" w:lineRule="auto"/>
        <w:jc w:val="both"/>
        <w:rPr>
          <w:rFonts w:hint="eastAsia" w:ascii="宋体" w:hAnsi="宋体" w:cs="宋体"/>
          <w:color w:val="auto"/>
          <w:kern w:val="0"/>
          <w:szCs w:val="21"/>
          <w:highlight w:val="none"/>
        </w:rPr>
      </w:pPr>
    </w:p>
    <w:p w14:paraId="4B596E0B">
      <w:pPr>
        <w:pageBreakBefore w:val="0"/>
        <w:kinsoku/>
        <w:overflowPunct/>
        <w:topLinePunct w:val="0"/>
        <w:bidi w:val="0"/>
        <w:snapToGrid w:val="0"/>
        <w:spacing w:line="360" w:lineRule="auto"/>
        <w:jc w:val="both"/>
        <w:rPr>
          <w:rFonts w:hint="eastAsia" w:ascii="宋体" w:hAnsi="宋体" w:cs="宋体"/>
          <w:color w:val="auto"/>
          <w:kern w:val="0"/>
          <w:szCs w:val="21"/>
          <w:highlight w:val="none"/>
        </w:rPr>
      </w:pPr>
    </w:p>
    <w:p w14:paraId="07FAB9F6">
      <w:pPr>
        <w:pageBreakBefore w:val="0"/>
        <w:kinsoku/>
        <w:overflowPunct/>
        <w:topLinePunct w:val="0"/>
        <w:bidi w:val="0"/>
        <w:snapToGrid w:val="0"/>
        <w:spacing w:line="360" w:lineRule="auto"/>
        <w:jc w:val="both"/>
        <w:rPr>
          <w:rFonts w:hint="eastAsia" w:ascii="宋体" w:hAnsi="宋体" w:cs="宋体"/>
          <w:color w:val="auto"/>
          <w:kern w:val="0"/>
          <w:szCs w:val="21"/>
          <w:highlight w:val="none"/>
        </w:rPr>
      </w:pPr>
    </w:p>
    <w:p w14:paraId="086477DF">
      <w:pPr>
        <w:pageBreakBefore w:val="0"/>
        <w:kinsoku/>
        <w:overflowPunct/>
        <w:topLinePunct w:val="0"/>
        <w:bidi w:val="0"/>
        <w:snapToGrid w:val="0"/>
        <w:spacing w:line="360" w:lineRule="auto"/>
        <w:jc w:val="both"/>
        <w:rPr>
          <w:rFonts w:hint="eastAsia" w:ascii="宋体" w:hAnsi="宋体" w:cs="宋体"/>
          <w:color w:val="auto"/>
          <w:kern w:val="0"/>
          <w:szCs w:val="21"/>
          <w:highlight w:val="none"/>
        </w:rPr>
      </w:pPr>
    </w:p>
    <w:p w14:paraId="6669873F">
      <w:pPr>
        <w:pageBreakBefore w:val="0"/>
        <w:kinsoku/>
        <w:overflowPunct/>
        <w:topLinePunct w:val="0"/>
        <w:bidi w:val="0"/>
        <w:snapToGrid w:val="0"/>
        <w:spacing w:line="360" w:lineRule="auto"/>
        <w:jc w:val="both"/>
        <w:rPr>
          <w:rFonts w:hint="eastAsia" w:ascii="宋体" w:hAnsi="宋体" w:cs="宋体"/>
          <w:color w:val="auto"/>
          <w:kern w:val="0"/>
          <w:szCs w:val="21"/>
          <w:highlight w:val="none"/>
        </w:rPr>
      </w:pPr>
    </w:p>
    <w:p w14:paraId="28DE8D55">
      <w:pPr>
        <w:pageBreakBefore w:val="0"/>
        <w:kinsoku/>
        <w:overflowPunct/>
        <w:topLinePunct w:val="0"/>
        <w:bidi w:val="0"/>
        <w:snapToGrid w:val="0"/>
        <w:spacing w:line="360" w:lineRule="auto"/>
        <w:jc w:val="both"/>
        <w:rPr>
          <w:rFonts w:hint="eastAsia" w:ascii="宋体" w:hAnsi="宋体" w:cs="宋体"/>
          <w:color w:val="auto"/>
          <w:kern w:val="0"/>
          <w:szCs w:val="21"/>
          <w:highlight w:val="none"/>
        </w:rPr>
      </w:pPr>
    </w:p>
    <w:p w14:paraId="16531D8B">
      <w:pPr>
        <w:pageBreakBefore w:val="0"/>
        <w:kinsoku/>
        <w:overflowPunct/>
        <w:topLinePunct w:val="0"/>
        <w:bidi w:val="0"/>
        <w:snapToGrid w:val="0"/>
        <w:spacing w:line="360" w:lineRule="auto"/>
        <w:jc w:val="both"/>
        <w:rPr>
          <w:rFonts w:hint="eastAsia" w:ascii="宋体" w:hAnsi="宋体" w:cs="宋体"/>
          <w:color w:val="auto"/>
          <w:kern w:val="0"/>
          <w:szCs w:val="21"/>
          <w:highlight w:val="none"/>
        </w:rPr>
      </w:pPr>
    </w:p>
    <w:p w14:paraId="78EDB5B1">
      <w:pPr>
        <w:pageBreakBefore w:val="0"/>
        <w:kinsoku/>
        <w:overflowPunct/>
        <w:topLinePunct w:val="0"/>
        <w:bidi w:val="0"/>
        <w:snapToGrid w:val="0"/>
        <w:spacing w:line="360" w:lineRule="auto"/>
        <w:jc w:val="both"/>
        <w:rPr>
          <w:rFonts w:hint="eastAsia" w:ascii="宋体" w:hAnsi="宋体" w:cs="宋体"/>
          <w:color w:val="auto"/>
          <w:kern w:val="0"/>
          <w:szCs w:val="21"/>
          <w:highlight w:val="none"/>
        </w:rPr>
      </w:pPr>
    </w:p>
    <w:p w14:paraId="59697861">
      <w:pPr>
        <w:pageBreakBefore w:val="0"/>
        <w:kinsoku/>
        <w:overflowPunct/>
        <w:topLinePunct w:val="0"/>
        <w:bidi w:val="0"/>
        <w:snapToGrid w:val="0"/>
        <w:spacing w:line="360" w:lineRule="auto"/>
        <w:jc w:val="both"/>
        <w:rPr>
          <w:rFonts w:hint="eastAsia" w:ascii="宋体" w:hAnsi="宋体" w:cs="宋体"/>
          <w:color w:val="auto"/>
          <w:kern w:val="0"/>
          <w:szCs w:val="21"/>
          <w:highlight w:val="none"/>
        </w:rPr>
      </w:pPr>
    </w:p>
    <w:p w14:paraId="6A0BBE61">
      <w:pPr>
        <w:pageBreakBefore w:val="0"/>
        <w:kinsoku/>
        <w:overflowPunct/>
        <w:topLinePunct w:val="0"/>
        <w:bidi w:val="0"/>
        <w:snapToGrid w:val="0"/>
        <w:spacing w:line="360" w:lineRule="auto"/>
        <w:jc w:val="both"/>
        <w:rPr>
          <w:rFonts w:hint="eastAsia" w:ascii="宋体" w:hAnsi="宋体" w:cs="宋体"/>
          <w:color w:val="auto"/>
          <w:kern w:val="0"/>
          <w:szCs w:val="21"/>
          <w:highlight w:val="none"/>
        </w:rPr>
      </w:pPr>
    </w:p>
    <w:p w14:paraId="05F4050C">
      <w:pPr>
        <w:pageBreakBefore w:val="0"/>
        <w:kinsoku/>
        <w:overflowPunct/>
        <w:topLinePunct w:val="0"/>
        <w:bidi w:val="0"/>
        <w:snapToGrid w:val="0"/>
        <w:spacing w:line="360" w:lineRule="auto"/>
        <w:jc w:val="both"/>
        <w:rPr>
          <w:rFonts w:hint="eastAsia" w:ascii="宋体" w:hAnsi="宋体" w:cs="宋体"/>
          <w:color w:val="auto"/>
          <w:kern w:val="0"/>
          <w:szCs w:val="21"/>
          <w:highlight w:val="none"/>
        </w:rPr>
      </w:pPr>
    </w:p>
    <w:p w14:paraId="515AC80A">
      <w:pPr>
        <w:pageBreakBefore w:val="0"/>
        <w:kinsoku/>
        <w:overflowPunct/>
        <w:topLinePunct w:val="0"/>
        <w:bidi w:val="0"/>
        <w:snapToGrid w:val="0"/>
        <w:spacing w:line="360" w:lineRule="auto"/>
        <w:jc w:val="both"/>
        <w:rPr>
          <w:rFonts w:hint="eastAsia" w:ascii="宋体" w:hAnsi="宋体" w:cs="宋体"/>
          <w:color w:val="auto"/>
          <w:kern w:val="0"/>
          <w:szCs w:val="21"/>
          <w:highlight w:val="none"/>
        </w:rPr>
      </w:pPr>
    </w:p>
    <w:p w14:paraId="775812CA">
      <w:pPr>
        <w:pageBreakBefore w:val="0"/>
        <w:kinsoku/>
        <w:overflowPunct/>
        <w:topLinePunct w:val="0"/>
        <w:bidi w:val="0"/>
        <w:snapToGrid w:val="0"/>
        <w:spacing w:line="360" w:lineRule="auto"/>
        <w:jc w:val="both"/>
        <w:rPr>
          <w:rFonts w:hint="eastAsia" w:ascii="宋体" w:hAnsi="宋体" w:cs="宋体"/>
          <w:color w:val="auto"/>
          <w:kern w:val="0"/>
          <w:szCs w:val="21"/>
          <w:highlight w:val="none"/>
        </w:rPr>
      </w:pPr>
    </w:p>
    <w:p w14:paraId="7E49A36A">
      <w:pPr>
        <w:pageBreakBefore w:val="0"/>
        <w:kinsoku/>
        <w:overflowPunct/>
        <w:topLinePunct w:val="0"/>
        <w:bidi w:val="0"/>
        <w:snapToGrid w:val="0"/>
        <w:spacing w:line="360" w:lineRule="auto"/>
        <w:jc w:val="both"/>
        <w:rPr>
          <w:rFonts w:hint="eastAsia" w:ascii="宋体" w:hAnsi="宋体" w:cs="宋体"/>
          <w:color w:val="auto"/>
          <w:kern w:val="0"/>
          <w:szCs w:val="21"/>
          <w:highlight w:val="none"/>
        </w:rPr>
      </w:pPr>
    </w:p>
    <w:p w14:paraId="0F72A45E">
      <w:pPr>
        <w:pageBreakBefore w:val="0"/>
        <w:kinsoku/>
        <w:overflowPunct/>
        <w:topLinePunct w:val="0"/>
        <w:bidi w:val="0"/>
        <w:snapToGrid w:val="0"/>
        <w:spacing w:line="360" w:lineRule="auto"/>
        <w:jc w:val="both"/>
        <w:rPr>
          <w:rFonts w:hint="eastAsia" w:ascii="宋体" w:hAnsi="宋体" w:cs="宋体"/>
          <w:color w:val="auto"/>
          <w:kern w:val="0"/>
          <w:szCs w:val="21"/>
          <w:highlight w:val="none"/>
        </w:rPr>
      </w:pPr>
    </w:p>
    <w:p w14:paraId="7565224E">
      <w:pPr>
        <w:pageBreakBefore w:val="0"/>
        <w:kinsoku/>
        <w:overflowPunct/>
        <w:topLinePunct w:val="0"/>
        <w:bidi w:val="0"/>
        <w:snapToGrid w:val="0"/>
        <w:spacing w:line="360" w:lineRule="auto"/>
        <w:jc w:val="both"/>
        <w:rPr>
          <w:rFonts w:hint="eastAsia" w:ascii="宋体" w:hAnsi="宋体" w:eastAsia="宋体" w:cs="宋体"/>
          <w:color w:val="auto"/>
          <w:kern w:val="0"/>
          <w:szCs w:val="21"/>
          <w:highlight w:val="none"/>
          <w:lang w:eastAsia="zh-CN"/>
        </w:rPr>
      </w:pPr>
      <w:bookmarkStart w:id="447" w:name="_GoBack"/>
      <w:bookmarkEnd w:id="447"/>
      <w:r>
        <w:rPr>
          <w:rFonts w:hint="eastAsia" w:ascii="宋体" w:hAnsi="宋体" w:cs="宋体"/>
          <w:color w:val="auto"/>
          <w:kern w:val="0"/>
          <w:szCs w:val="21"/>
          <w:highlight w:val="none"/>
        </w:rPr>
        <w:t>附件</w:t>
      </w:r>
      <w:bookmarkEnd w:id="362"/>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lang w:eastAsia="zh-CN"/>
        </w:rPr>
        <w:t>：</w:t>
      </w:r>
    </w:p>
    <w:p w14:paraId="2DBD8483">
      <w:pPr>
        <w:pageBreakBefore w:val="0"/>
        <w:kinsoku/>
        <w:overflowPunct/>
        <w:topLinePunct w:val="0"/>
        <w:bidi w:val="0"/>
        <w:spacing w:line="360" w:lineRule="auto"/>
        <w:ind w:firstLine="482" w:firstLineChars="200"/>
        <w:rPr>
          <w:rFonts w:ascii="宋体" w:hAnsi="宋体" w:cs="宋体"/>
          <w:b/>
          <w:color w:val="auto"/>
          <w:sz w:val="24"/>
          <w:szCs w:val="24"/>
          <w:highlight w:val="none"/>
        </w:rPr>
      </w:pPr>
    </w:p>
    <w:p w14:paraId="6AE62710">
      <w:pPr>
        <w:keepNext w:val="0"/>
        <w:keepLines w:val="0"/>
        <w:pageBreakBefore w:val="0"/>
        <w:widowControl/>
        <w:kinsoku/>
        <w:wordWrap/>
        <w:overflowPunct/>
        <w:topLinePunct w:val="0"/>
        <w:bidi w:val="0"/>
        <w:snapToGrid w:val="0"/>
        <w:spacing w:line="360" w:lineRule="auto"/>
        <w:ind w:firstLine="480" w:firstLineChars="200"/>
        <w:jc w:val="center"/>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重庆市水利工程建设廉政合同</w:t>
      </w:r>
    </w:p>
    <w:p w14:paraId="6635D9C5">
      <w:pPr>
        <w:pStyle w:val="4"/>
        <w:rPr>
          <w:color w:val="auto"/>
          <w:highlight w:val="none"/>
        </w:rPr>
      </w:pPr>
    </w:p>
    <w:p w14:paraId="5D99B758">
      <w:pPr>
        <w:keepNext w:val="0"/>
        <w:keepLines w:val="0"/>
        <w:pageBreakBefore w:val="0"/>
        <w:widowControl/>
        <w:kinsoku/>
        <w:wordWrap/>
        <w:overflowPunct/>
        <w:topLinePunct w:val="0"/>
        <w:bidi w:val="0"/>
        <w:snapToGrid w:val="0"/>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工程合同编号：</w:t>
      </w:r>
      <w:r>
        <w:rPr>
          <w:rFonts w:hint="eastAsia" w:ascii="宋体" w:hAnsi="宋体" w:cs="宋体"/>
          <w:color w:val="auto"/>
          <w:kern w:val="0"/>
          <w:szCs w:val="21"/>
          <w:highlight w:val="none"/>
          <w:u w:val="single"/>
        </w:rPr>
        <w:t xml:space="preserve">                                     </w:t>
      </w:r>
    </w:p>
    <w:p w14:paraId="4E42D356">
      <w:pPr>
        <w:keepNext w:val="0"/>
        <w:keepLines w:val="0"/>
        <w:pageBreakBefore w:val="0"/>
        <w:widowControl/>
        <w:kinsoku/>
        <w:wordWrap/>
        <w:overflowPunct/>
        <w:topLinePunct w:val="0"/>
        <w:bidi w:val="0"/>
        <w:snapToGrid w:val="0"/>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廉政合同编号：</w:t>
      </w:r>
      <w:r>
        <w:rPr>
          <w:rFonts w:hint="eastAsia" w:ascii="宋体" w:hAnsi="宋体" w:cs="宋体"/>
          <w:color w:val="auto"/>
          <w:kern w:val="0"/>
          <w:szCs w:val="21"/>
          <w:highlight w:val="none"/>
          <w:u w:val="single"/>
        </w:rPr>
        <w:t xml:space="preserve">                                     </w:t>
      </w:r>
    </w:p>
    <w:p w14:paraId="55601A55">
      <w:pPr>
        <w:keepNext w:val="0"/>
        <w:keepLines w:val="0"/>
        <w:pageBreakBefore w:val="0"/>
        <w:widowControl/>
        <w:kinsoku/>
        <w:wordWrap/>
        <w:overflowPunct/>
        <w:topLinePunct w:val="0"/>
        <w:bidi w:val="0"/>
        <w:spacing w:line="360" w:lineRule="auto"/>
        <w:ind w:right="-884" w:rightChars="-421" w:firstLine="420" w:firstLineChars="200"/>
        <w:textAlignment w:val="baseline"/>
        <w:rPr>
          <w:rFonts w:hint="eastAsia" w:ascii="宋体" w:hAnsi="宋体" w:eastAsia="宋体" w:cs="Times New Roman"/>
          <w:b w:val="0"/>
          <w:bCs/>
          <w:snapToGrid w:val="0"/>
          <w:color w:val="auto"/>
          <w:spacing w:val="0"/>
          <w:w w:val="100"/>
          <w:kern w:val="0"/>
          <w:sz w:val="21"/>
          <w:szCs w:val="21"/>
          <w:highlight w:val="none"/>
          <w:u w:val="single"/>
          <w:lang w:val="en-US" w:eastAsia="zh-CN" w:bidi="ar-SA"/>
        </w:rPr>
      </w:pPr>
      <w:r>
        <w:rPr>
          <w:rFonts w:hint="eastAsia" w:ascii="宋体" w:hAnsi="宋体" w:cs="宋体"/>
          <w:color w:val="auto"/>
          <w:kern w:val="0"/>
          <w:szCs w:val="21"/>
          <w:highlight w:val="none"/>
        </w:rPr>
        <w:t>工程项目名称：</w:t>
      </w:r>
      <w:r>
        <w:rPr>
          <w:rFonts w:hint="eastAsia" w:ascii="宋体" w:hAnsi="宋体" w:cs="宋体"/>
          <w:color w:val="auto"/>
          <w:kern w:val="0"/>
          <w:szCs w:val="21"/>
          <w:highlight w:val="none"/>
          <w:u w:val="single"/>
        </w:rPr>
        <w:t xml:space="preserve"> </w:t>
      </w:r>
      <w:r>
        <w:rPr>
          <w:rFonts w:hint="eastAsia"/>
          <w:color w:val="auto"/>
          <w:szCs w:val="21"/>
          <w:highlight w:val="none"/>
          <w:u w:val="single"/>
          <w:lang w:val="en-US" w:eastAsia="zh-CN"/>
        </w:rPr>
        <w:t xml:space="preserve">  </w:t>
      </w:r>
      <w:r>
        <w:rPr>
          <w:rFonts w:hint="eastAsia" w:ascii="宋体" w:hAnsi="宋体" w:cs="Times New Roman"/>
          <w:b w:val="0"/>
          <w:bCs/>
          <w:snapToGrid w:val="0"/>
          <w:color w:val="auto"/>
          <w:spacing w:val="0"/>
          <w:w w:val="100"/>
          <w:kern w:val="0"/>
          <w:sz w:val="21"/>
          <w:szCs w:val="21"/>
          <w:highlight w:val="none"/>
          <w:u w:val="single"/>
          <w:lang w:val="en-US" w:eastAsia="zh-CN" w:bidi="ar-SA"/>
        </w:rPr>
        <w:t>南川区冷水关镇、峰岩乡抗旱水源工程</w:t>
      </w:r>
    </w:p>
    <w:p w14:paraId="32B4E2D5">
      <w:pPr>
        <w:keepNext w:val="0"/>
        <w:keepLines w:val="0"/>
        <w:pageBreakBefore w:val="0"/>
        <w:widowControl/>
        <w:kinsoku/>
        <w:wordWrap/>
        <w:overflowPunct/>
        <w:topLinePunct w:val="0"/>
        <w:bidi w:val="0"/>
        <w:snapToGrid w:val="0"/>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工程项目地址：</w:t>
      </w:r>
      <w:r>
        <w:rPr>
          <w:rFonts w:hint="eastAsia"/>
          <w:color w:val="auto"/>
          <w:szCs w:val="21"/>
          <w:highlight w:val="none"/>
          <w:u w:val="single"/>
          <w:lang w:val="en-US" w:eastAsia="zh-CN"/>
        </w:rPr>
        <w:t xml:space="preserve">   </w:t>
      </w:r>
      <w:r>
        <w:rPr>
          <w:rFonts w:hint="eastAsia" w:ascii="宋体" w:hAnsi="宋体" w:cs="Times New Roman"/>
          <w:b w:val="0"/>
          <w:bCs/>
          <w:snapToGrid w:val="0"/>
          <w:color w:val="auto"/>
          <w:spacing w:val="0"/>
          <w:w w:val="100"/>
          <w:kern w:val="0"/>
          <w:sz w:val="21"/>
          <w:szCs w:val="21"/>
          <w:highlight w:val="none"/>
          <w:u w:val="single"/>
          <w:lang w:val="en-US" w:eastAsia="zh-CN" w:bidi="ar-SA"/>
        </w:rPr>
        <w:t>南川区冷水关镇、峰岩乡</w:t>
      </w:r>
      <w:r>
        <w:rPr>
          <w:rFonts w:hint="eastAsia" w:ascii="宋体" w:hAnsi="宋体" w:cs="宋体"/>
          <w:color w:val="auto"/>
          <w:kern w:val="0"/>
          <w:szCs w:val="21"/>
          <w:highlight w:val="none"/>
          <w:u w:val="single"/>
        </w:rPr>
        <w:t xml:space="preserve"> </w:t>
      </w:r>
    </w:p>
    <w:p w14:paraId="3B4C1C18">
      <w:pPr>
        <w:keepNext w:val="0"/>
        <w:keepLines w:val="0"/>
        <w:pageBreakBefore w:val="0"/>
        <w:widowControl/>
        <w:tabs>
          <w:tab w:val="left" w:pos="3840"/>
          <w:tab w:val="left" w:pos="5300"/>
        </w:tabs>
        <w:kinsoku/>
        <w:wordWrap/>
        <w:overflowPunct/>
        <w:topLinePunct w:val="0"/>
        <w:autoSpaceDE w:val="0"/>
        <w:autoSpaceDN w:val="0"/>
        <w:bidi w:val="0"/>
        <w:adjustRightInd w:val="0"/>
        <w:snapToGrid w:val="0"/>
        <w:spacing w:line="360" w:lineRule="auto"/>
        <w:ind w:firstLine="420" w:firstLineChars="20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项目法人（甲方）：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bCs/>
          <w:snapToGrid w:val="0"/>
          <w:color w:val="auto"/>
          <w:kern w:val="0"/>
          <w:sz w:val="21"/>
          <w:szCs w:val="21"/>
          <w:highlight w:val="none"/>
          <w:u w:val="single"/>
          <w:lang w:val="zh-CN"/>
        </w:rPr>
        <w:t>重庆市南川区泽禹供水有限责任公司</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1FE13F6">
      <w:pPr>
        <w:keepNext w:val="0"/>
        <w:keepLines w:val="0"/>
        <w:pageBreakBefore w:val="0"/>
        <w:widowControl/>
        <w:kinsoku/>
        <w:wordWrap/>
        <w:overflowPunct/>
        <w:topLinePunct w:val="0"/>
        <w:bidi w:val="0"/>
        <w:snapToGrid w:val="0"/>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施工单位（乙方）：</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仿宋_GB2312"/>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 xml:space="preserve">    </w:t>
      </w:r>
    </w:p>
    <w:p w14:paraId="44B37E3F">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为加强水利工程建设中的党风廉政建设，保证工程建设高效优质，保证建设资金的安全和有效使用以及投资效益，双方特订立本廉政合同。</w:t>
      </w:r>
    </w:p>
    <w:p w14:paraId="4B9BC2B4">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第一条  双方的责任：</w:t>
      </w:r>
    </w:p>
    <w:p w14:paraId="07C239B3">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（一）严格遵守党和国家有关法律法规及水行政主管部门的规定。</w:t>
      </w:r>
    </w:p>
    <w:p w14:paraId="19FA3528">
      <w:pPr>
        <w:pageBreakBefore w:val="0"/>
        <w:kinsoku/>
        <w:overflowPunct/>
        <w:topLinePunct w:val="0"/>
        <w:bidi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（二）严格执行</w:t>
      </w:r>
      <w:r>
        <w:rPr>
          <w:rFonts w:hint="eastAsia"/>
          <w:color w:val="auto"/>
          <w:szCs w:val="21"/>
          <w:highlight w:val="none"/>
          <w:u w:val="single"/>
          <w:lang w:val="en-US" w:eastAsia="zh-CN"/>
        </w:rPr>
        <w:t xml:space="preserve"> </w:t>
      </w:r>
      <w:r>
        <w:rPr>
          <w:rFonts w:hint="eastAsia" w:ascii="宋体" w:hAnsi="宋体" w:cs="Times New Roman"/>
          <w:b w:val="0"/>
          <w:bCs/>
          <w:snapToGrid w:val="0"/>
          <w:color w:val="auto"/>
          <w:spacing w:val="0"/>
          <w:w w:val="100"/>
          <w:kern w:val="0"/>
          <w:sz w:val="21"/>
          <w:szCs w:val="21"/>
          <w:highlight w:val="none"/>
          <w:u w:val="single"/>
          <w:lang w:val="en-US" w:eastAsia="zh-CN" w:bidi="ar-SA"/>
        </w:rPr>
        <w:t>南川区冷水关镇、峰岩乡抗旱水源工程</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建设工程的合同，自觉遵守合同。</w:t>
      </w:r>
    </w:p>
    <w:p w14:paraId="4CCFD98F">
      <w:pPr>
        <w:pageBreakBefore w:val="0"/>
        <w:kinsoku/>
        <w:overflowPunct/>
        <w:topLinePunct w:val="0"/>
        <w:bidi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（三）双方的业务活动坚持公开、公正、诚信、透明原则（法律认定的商业秘密和合同文件另有规定的除外），不得损害国家和集体利益，不得违反工程建设管理规章制度。</w:t>
      </w:r>
    </w:p>
    <w:p w14:paraId="42EDB21C">
      <w:pPr>
        <w:pageBreakBefore w:val="0"/>
        <w:kinsoku/>
        <w:overflowPunct/>
        <w:topLinePunct w:val="0"/>
        <w:bidi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（四）建立健全廉政制度，开展廉政教育，设立廉政告示牌，公布举报电话，监督并认真查处违法违纪行为。</w:t>
      </w:r>
    </w:p>
    <w:p w14:paraId="5DBE3C12">
      <w:pPr>
        <w:pageBreakBefore w:val="0"/>
        <w:kinsoku/>
        <w:overflowPunct/>
        <w:topLinePunct w:val="0"/>
        <w:bidi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（五）任何一方发现对方在业务活动中有违反廉政规定的行为，有及时提醒对方纠正的权利和义务。</w:t>
      </w:r>
    </w:p>
    <w:p w14:paraId="72D85BCE">
      <w:pPr>
        <w:pageBreakBefore w:val="0"/>
        <w:kinsoku/>
        <w:overflowPunct/>
        <w:topLinePunct w:val="0"/>
        <w:bidi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（六）发现对方严重违反本合同的行为，任何一方有向上级有关部门举报、建议给予处理并要求告知处理结果的权利。</w:t>
      </w:r>
    </w:p>
    <w:p w14:paraId="1154549F">
      <w:pPr>
        <w:pageBreakBefore w:val="0"/>
        <w:kinsoku/>
        <w:overflowPunct/>
        <w:topLinePunct w:val="0"/>
        <w:bidi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第二条  甲方应遵守的内容：</w:t>
      </w:r>
    </w:p>
    <w:p w14:paraId="6E78E4A2">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（一）甲方及其工作人员不得索取、接受或者变相接受乙方的财物。不得在乙方报销任何应由甲方或个人支付的费用等。</w:t>
      </w:r>
    </w:p>
    <w:p w14:paraId="3E6E7C2A">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（二）甲方工作人员不得接受可能影响公正执行公务的礼品、宴请以及旅游、健身、娱乐等活动安排，不得接受乙方提供的通讯工具、交通工具和高档办公用品等。</w:t>
      </w:r>
    </w:p>
    <w:p w14:paraId="0DCBAAE2">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（三）甲方及其工作人员不得要求或者接受乙方为其住房装修、婚丧嫁娶活动、配偶子女的工作安排以及出国出境、旅游等提供方便等。</w:t>
      </w:r>
    </w:p>
    <w:p w14:paraId="55304A85">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（四）甲方工作人员的配偶、子女不得从事与甲方工程有关的材料设备供应、工程分包、劳务等经济活动等。</w:t>
      </w:r>
    </w:p>
    <w:p w14:paraId="41F1F51C">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（五）除本合同规定外，甲方及其工作人员不得以任何理由向乙方推荐分包单位，不得要求乙方购买合同规定外的材料和设备。</w:t>
      </w:r>
    </w:p>
    <w:p w14:paraId="6C731616">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第三条  乙方应遵守的内容：</w:t>
      </w:r>
    </w:p>
    <w:p w14:paraId="5B30E890">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（一）乙方不得以任何理由向甲方及其工作人员行贿或馈赠财物。</w:t>
      </w:r>
    </w:p>
    <w:p w14:paraId="5C1CC573">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（二）乙方不得以任何名义为甲方及其工作人员报销应由甲方单位或个人支付的任何费用。</w:t>
      </w:r>
    </w:p>
    <w:p w14:paraId="37B1FD63">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（三）乙方不得以任何理由邀请甲方及其工作人员外出旅游或安排甲方工作人员参加超标准宴请及娱乐活动。</w:t>
      </w:r>
    </w:p>
    <w:p w14:paraId="18149799">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（四）乙方不得为甲方单位和个人购置或提供通讯工具、交通工具和高档办公用品等。</w:t>
      </w:r>
    </w:p>
    <w:p w14:paraId="791B6F19">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（五）乙方及其工作人员应严格按监理规程办事，不得为谋取私利向监理人员非法行贿，私下串通，损害甲方利益。同时必须对监理单位和工程监理人员履行向甲方承诺的上述其他廉政义务。</w:t>
      </w:r>
    </w:p>
    <w:p w14:paraId="43A8F89B">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六）乙方如果发现甲方工作人员或工程监理人员有违反廉政规定的行为，应向甲方组织或上级单位举报。甲方和工程监理部门不得找任何借口对乙方进行报复。甲方对举报属实或严格遵守廉政合同的乙方，在同等条件下给予承接后续工程的优先邀请投标权。</w:t>
      </w:r>
    </w:p>
    <w:p w14:paraId="07A7CB85">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第四条  违约责任：</w:t>
      </w:r>
    </w:p>
    <w:p w14:paraId="13A68389">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（一）甲方及其工作人员违反本合同第一、二条，按管理权限，依据有关规定给予党纪、政纪或组织处理；涉嫌犯罪的，移交司法机关追究刑事责任；给乙方单位造成经济损失的，应予以赔偿。</w:t>
      </w:r>
    </w:p>
    <w:p w14:paraId="3C10A12D">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二）乙方及其工作人员违反本合同第一、三条的，按管理权限，依据有关规定，给予党纪、政纪或组织处理；给甲方单位造成经济损失的，应予以赔偿；情节严重的，甲方建议水行政主管部门给予乙方二至五年内不得进入其主管的水利工程建设市场的处罚。</w:t>
      </w:r>
    </w:p>
    <w:p w14:paraId="76A8C03B">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三）乙方及其工作人员违反本《廉政合同》规定，根据查证金额的10倍，由乙方向甲方承担违约金，并在工程进度款中扣除，后续进度款不足的在履约保证金中扣除。若仍不足以支付违约金，甲方还可向乙方继续追讨。</w:t>
      </w:r>
    </w:p>
    <w:p w14:paraId="553C6F9D">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第五条  本《廉政合同》的监督单位为项目所在地水行政主管部门纪检监察机构。</w:t>
      </w:r>
    </w:p>
    <w:p w14:paraId="5492925D">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第六条  本合同有效期为甲乙双方签署之日起至该合同工程完工验收后止。</w:t>
      </w:r>
    </w:p>
    <w:p w14:paraId="0BCC625D">
      <w:pPr>
        <w:pageBreakBefore w:val="0"/>
        <w:kinsoku/>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第七条  本合同作为</w:t>
      </w:r>
      <w:r>
        <w:rPr>
          <w:rFonts w:hint="eastAsia"/>
          <w:color w:val="auto"/>
          <w:szCs w:val="21"/>
          <w:highlight w:val="none"/>
          <w:u w:val="single"/>
          <w:lang w:val="en-US" w:eastAsia="zh-CN"/>
        </w:rPr>
        <w:t xml:space="preserve"> </w:t>
      </w:r>
      <w:r>
        <w:rPr>
          <w:rFonts w:hint="eastAsia" w:ascii="宋体" w:hAnsi="宋体" w:cs="Times New Roman"/>
          <w:b w:val="0"/>
          <w:bCs/>
          <w:snapToGrid w:val="0"/>
          <w:color w:val="auto"/>
          <w:spacing w:val="0"/>
          <w:w w:val="100"/>
          <w:kern w:val="0"/>
          <w:sz w:val="21"/>
          <w:szCs w:val="21"/>
          <w:highlight w:val="none"/>
          <w:u w:val="single"/>
          <w:lang w:val="en-US" w:eastAsia="zh-CN" w:bidi="ar-SA"/>
        </w:rPr>
        <w:t>南川区冷水关镇、峰岩乡抗旱水源工程</w:t>
      </w:r>
      <w:r>
        <w:rPr>
          <w:rFonts w:hint="eastAsia" w:ascii="宋体" w:hAnsi="宋体" w:cs="宋体"/>
          <w:color w:val="auto"/>
          <w:kern w:val="0"/>
          <w:szCs w:val="21"/>
          <w:highlight w:val="none"/>
        </w:rPr>
        <w:t>施工合同的附件，与工程施工合同具有同等的法律效力，经甲乙双方监督单位加盖公章，法定代表人或授权代理人签名后生效。</w:t>
      </w:r>
    </w:p>
    <w:p w14:paraId="4C83FF9F">
      <w:pPr>
        <w:pageBreakBefore w:val="0"/>
        <w:kinsoku/>
        <w:overflowPunct/>
        <w:topLinePunct w:val="0"/>
        <w:bidi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第八条  本合同一式叁份，甲、乙双方及监督单位各执一份。</w:t>
      </w:r>
    </w:p>
    <w:p w14:paraId="1E4135D0">
      <w:pPr>
        <w:keepNext w:val="0"/>
        <w:keepLines w:val="0"/>
        <w:pageBreakBefore w:val="0"/>
        <w:widowControl/>
        <w:kinsoku/>
        <w:wordWrap/>
        <w:overflowPunct/>
        <w:topLinePunct w:val="0"/>
        <w:autoSpaceDE/>
        <w:autoSpaceDN/>
        <w:bidi w:val="0"/>
        <w:adjustRightInd/>
        <w:snapToGrid w:val="0"/>
        <w:spacing w:line="360" w:lineRule="auto"/>
        <w:ind w:firstLine="0" w:firstLineChars="0"/>
        <w:textAlignment w:val="baseline"/>
        <w:rPr>
          <w:rFonts w:hint="eastAsia" w:ascii="宋体" w:hAnsi="宋体" w:cs="宋体"/>
          <w:color w:val="auto"/>
          <w:kern w:val="0"/>
          <w:szCs w:val="21"/>
          <w:highlight w:val="none"/>
        </w:rPr>
      </w:pPr>
    </w:p>
    <w:p w14:paraId="76F761D1">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 xml:space="preserve">甲方单位：（盖章）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乙方单位：（盖章）</w:t>
      </w:r>
    </w:p>
    <w:p w14:paraId="77B0390F">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法定代表人（或授权的代理人）：                   法定代表人：</w:t>
      </w:r>
    </w:p>
    <w:p w14:paraId="658D9D63">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 xml:space="preserve">地址：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地址：</w:t>
      </w:r>
    </w:p>
    <w:p w14:paraId="0CF8E9BE">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电话：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电话：</w:t>
      </w:r>
    </w:p>
    <w:p w14:paraId="480B5264">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Fonts w:hint="eastAsia" w:ascii="宋体" w:hAnsi="宋体" w:cs="宋体"/>
          <w:color w:val="auto"/>
          <w:kern w:val="0"/>
          <w:szCs w:val="21"/>
          <w:highlight w:val="none"/>
        </w:rPr>
      </w:pPr>
    </w:p>
    <w:p w14:paraId="1498E1F6">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监督单位：（盖章）</w:t>
      </w:r>
    </w:p>
    <w:p w14:paraId="081A0F67">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电话：</w:t>
      </w:r>
      <w:r>
        <w:rPr>
          <w:rFonts w:hint="eastAsia" w:ascii="宋体" w:hAnsi="宋体" w:cs="宋体"/>
          <w:color w:val="auto"/>
          <w:kern w:val="0"/>
          <w:szCs w:val="21"/>
          <w:highlight w:val="none"/>
          <w:lang w:val="en-US" w:eastAsia="zh-CN"/>
        </w:rPr>
        <w:t xml:space="preserve">                                                        </w:t>
      </w:r>
    </w:p>
    <w:p w14:paraId="2B6EE126">
      <w:pPr>
        <w:pageBreakBefore w:val="0"/>
        <w:kinsoku/>
        <w:overflowPunct/>
        <w:topLinePunct w:val="0"/>
        <w:bidi w:val="0"/>
        <w:snapToGrid w:val="0"/>
        <w:spacing w:line="360" w:lineRule="auto"/>
        <w:jc w:val="right"/>
        <w:rPr>
          <w:rFonts w:ascii="宋体" w:hAnsi="宋体" w:cs="宋体"/>
          <w:color w:val="auto"/>
          <w:kern w:val="0"/>
          <w:szCs w:val="21"/>
          <w:highlight w:val="none"/>
        </w:rPr>
      </w:pPr>
      <w:r>
        <w:rPr>
          <w:rFonts w:hint="eastAsia" w:ascii="宋体" w:hAnsi="宋体" w:cs="宋体"/>
          <w:color w:val="auto"/>
          <w:kern w:val="0"/>
          <w:szCs w:val="21"/>
          <w:highlight w:val="none"/>
        </w:rPr>
        <w:t>年   月   日</w:t>
      </w:r>
    </w:p>
    <w:p w14:paraId="24A16106">
      <w:pPr>
        <w:spacing w:line="480" w:lineRule="auto"/>
        <w:rPr>
          <w:rFonts w:ascii="宋体" w:hAnsi="宋体"/>
          <w:b w:val="0"/>
          <w:bCs w:val="0"/>
          <w:color w:val="auto"/>
          <w:szCs w:val="21"/>
          <w:highlight w:val="none"/>
        </w:rPr>
      </w:pPr>
      <w:r>
        <w:rPr>
          <w:rFonts w:hint="eastAsia" w:ascii="宋体" w:hAnsi="宋体" w:cs="宋体"/>
          <w:b/>
          <w:color w:val="auto"/>
          <w:szCs w:val="21"/>
          <w:highlight w:val="none"/>
        </w:rPr>
        <w:br w:type="page"/>
      </w:r>
      <w:r>
        <w:rPr>
          <w:rFonts w:hint="eastAsia" w:ascii="宋体" w:hAnsi="宋体"/>
          <w:b w:val="0"/>
          <w:bCs w:val="0"/>
          <w:color w:val="auto"/>
          <w:szCs w:val="21"/>
          <w:highlight w:val="none"/>
        </w:rPr>
        <w:t>附件</w:t>
      </w:r>
      <w:r>
        <w:rPr>
          <w:rFonts w:hint="eastAsia" w:ascii="宋体" w:hAnsi="宋体"/>
          <w:b w:val="0"/>
          <w:bCs w:val="0"/>
          <w:color w:val="auto"/>
          <w:szCs w:val="21"/>
          <w:highlight w:val="none"/>
          <w:lang w:val="en-US" w:eastAsia="zh-CN"/>
        </w:rPr>
        <w:t>5</w:t>
      </w:r>
      <w:r>
        <w:rPr>
          <w:rFonts w:hint="eastAsia" w:ascii="宋体" w:hAnsi="宋体"/>
          <w:b w:val="0"/>
          <w:bCs w:val="0"/>
          <w:color w:val="auto"/>
          <w:szCs w:val="21"/>
          <w:highlight w:val="none"/>
        </w:rPr>
        <w:t>：</w:t>
      </w:r>
    </w:p>
    <w:p w14:paraId="5FE72E83">
      <w:pPr>
        <w:spacing w:before="156" w:beforeLines="50" w:after="156" w:afterLines="50" w:line="480" w:lineRule="auto"/>
        <w:jc w:val="center"/>
        <w:rPr>
          <w:rFonts w:ascii="宋体" w:hAnsi="宋体"/>
          <w:b w:val="0"/>
          <w:bCs w:val="0"/>
          <w:color w:val="auto"/>
          <w:sz w:val="28"/>
          <w:szCs w:val="28"/>
          <w:highlight w:val="none"/>
        </w:rPr>
      </w:pPr>
      <w:bookmarkStart w:id="363" w:name="_Toc247431422"/>
      <w:bookmarkStart w:id="364" w:name="_Toc336680145"/>
      <w:bookmarkStart w:id="365" w:name="_Toc448406299"/>
      <w:bookmarkStart w:id="366" w:name="_Toc435689499"/>
      <w:bookmarkStart w:id="367" w:name="_Toc239510288"/>
      <w:bookmarkStart w:id="368" w:name="_Toc435690184"/>
      <w:r>
        <w:rPr>
          <w:rFonts w:hint="eastAsia" w:ascii="宋体" w:hAnsi="宋体"/>
          <w:b w:val="0"/>
          <w:bCs w:val="0"/>
          <w:color w:val="auto"/>
          <w:sz w:val="28"/>
          <w:szCs w:val="28"/>
          <w:highlight w:val="none"/>
        </w:rPr>
        <w:t>安全管理协议</w:t>
      </w:r>
      <w:bookmarkEnd w:id="363"/>
      <w:bookmarkEnd w:id="364"/>
      <w:bookmarkEnd w:id="365"/>
      <w:bookmarkEnd w:id="366"/>
      <w:bookmarkEnd w:id="367"/>
      <w:bookmarkEnd w:id="368"/>
    </w:p>
    <w:p w14:paraId="2CDC30B8">
      <w:pPr>
        <w:snapToGrid w:val="0"/>
        <w:spacing w:line="360" w:lineRule="auto"/>
        <w:ind w:firstLine="420" w:firstLineChars="200"/>
        <w:rPr>
          <w:rFonts w:ascii="宋体" w:hAnsi="宋体"/>
          <w:b w:val="0"/>
          <w:bCs w:val="0"/>
          <w:color w:val="auto"/>
          <w:szCs w:val="21"/>
          <w:highlight w:val="none"/>
          <w:u w:val="single"/>
        </w:rPr>
      </w:pPr>
      <w:r>
        <w:rPr>
          <w:rFonts w:hint="eastAsia" w:ascii="宋体" w:hAnsi="宋体"/>
          <w:b w:val="0"/>
          <w:bCs w:val="0"/>
          <w:color w:val="auto"/>
          <w:szCs w:val="21"/>
          <w:highlight w:val="none"/>
        </w:rPr>
        <w:t>发包人（全称）：</w:t>
      </w:r>
      <w:r>
        <w:rPr>
          <w:rFonts w:hint="eastAsia" w:ascii="宋体" w:hAnsi="宋体" w:eastAsia="宋体"/>
          <w:bCs/>
          <w:snapToGrid w:val="0"/>
          <w:color w:val="auto"/>
          <w:kern w:val="0"/>
          <w:sz w:val="21"/>
          <w:szCs w:val="21"/>
          <w:highlight w:val="none"/>
          <w:u w:val="single"/>
          <w:lang w:val="en-US" w:eastAsia="zh-CN"/>
        </w:rPr>
        <w:t>重庆市南川区泽禹供水有限责任公司</w:t>
      </w:r>
      <w:r>
        <w:rPr>
          <w:rFonts w:hint="eastAsia" w:ascii="宋体" w:hAnsi="宋体" w:eastAsia="宋体"/>
          <w:bCs/>
          <w:snapToGrid w:val="0"/>
          <w:color w:val="auto"/>
          <w:kern w:val="0"/>
          <w:sz w:val="21"/>
          <w:szCs w:val="21"/>
          <w:highlight w:val="none"/>
          <w:u w:val="single"/>
          <w:lang w:val="zh-CN"/>
        </w:rPr>
        <w:t xml:space="preserve"> </w:t>
      </w:r>
    </w:p>
    <w:p w14:paraId="045B2ECC">
      <w:pPr>
        <w:snapToGrid w:val="0"/>
        <w:spacing w:line="360" w:lineRule="auto"/>
        <w:ind w:firstLine="420" w:firstLineChars="200"/>
        <w:rPr>
          <w:rFonts w:ascii="宋体" w:hAnsi="宋体"/>
          <w:b w:val="0"/>
          <w:bCs w:val="0"/>
          <w:color w:val="auto"/>
          <w:szCs w:val="21"/>
          <w:highlight w:val="none"/>
          <w:u w:val="single"/>
        </w:rPr>
      </w:pPr>
      <w:r>
        <w:rPr>
          <w:rFonts w:hint="eastAsia" w:ascii="宋体" w:hAnsi="宋体"/>
          <w:b w:val="0"/>
          <w:bCs w:val="0"/>
          <w:color w:val="auto"/>
          <w:szCs w:val="21"/>
          <w:highlight w:val="none"/>
        </w:rPr>
        <w:t>承包人（全称）：</w:t>
      </w:r>
      <w:r>
        <w:rPr>
          <w:rFonts w:hint="eastAsia" w:ascii="宋体" w:hAnsi="宋体" w:cs="宋体"/>
          <w:b w:val="0"/>
          <w:bCs w:val="0"/>
          <w:color w:val="auto"/>
          <w:w w:val="99"/>
          <w:kern w:val="0"/>
          <w:sz w:val="24"/>
          <w:szCs w:val="24"/>
          <w:highlight w:val="none"/>
          <w:u w:val="single"/>
          <w:lang w:val="en-US" w:eastAsia="zh-CN"/>
        </w:rPr>
        <w:t xml:space="preserve"> </w:t>
      </w:r>
      <w:r>
        <w:rPr>
          <w:rFonts w:hint="eastAsia" w:ascii="宋体" w:hAnsi="宋体" w:eastAsia="宋体" w:cs="宋体"/>
          <w:b w:val="0"/>
          <w:bCs w:val="0"/>
          <w:color w:val="auto"/>
          <w:w w:val="99"/>
          <w:kern w:val="0"/>
          <w:sz w:val="24"/>
          <w:szCs w:val="24"/>
          <w:highlight w:val="none"/>
          <w:u w:val="single"/>
          <w:lang w:val="en-US" w:eastAsia="zh-CN"/>
        </w:rPr>
        <w:t xml:space="preserve"> </w:t>
      </w:r>
      <w:r>
        <w:rPr>
          <w:rFonts w:hint="eastAsia" w:ascii="宋体" w:hAnsi="宋体" w:cs="宋体"/>
          <w:b w:val="0"/>
          <w:bCs w:val="0"/>
          <w:color w:val="auto"/>
          <w:w w:val="99"/>
          <w:kern w:val="0"/>
          <w:sz w:val="24"/>
          <w:szCs w:val="24"/>
          <w:highlight w:val="none"/>
          <w:u w:val="single"/>
          <w:lang w:val="en-US" w:eastAsia="zh-CN"/>
        </w:rPr>
        <w:t xml:space="preserve">                           </w:t>
      </w:r>
      <w:r>
        <w:rPr>
          <w:rFonts w:hint="eastAsia" w:ascii="宋体" w:hAnsi="宋体" w:eastAsia="宋体" w:cs="宋体"/>
          <w:b w:val="0"/>
          <w:bCs w:val="0"/>
          <w:color w:val="auto"/>
          <w:w w:val="99"/>
          <w:kern w:val="0"/>
          <w:sz w:val="24"/>
          <w:szCs w:val="24"/>
          <w:highlight w:val="none"/>
          <w:u w:val="single"/>
          <w:lang w:val="en-US" w:eastAsia="zh-CN"/>
        </w:rPr>
        <w:t xml:space="preserve">    </w:t>
      </w:r>
    </w:p>
    <w:p w14:paraId="34686EB6">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baseline"/>
        <w:rPr>
          <w:rFonts w:ascii="宋体" w:hAnsi="宋体"/>
          <w:b w:val="0"/>
          <w:bCs w:val="0"/>
          <w:color w:val="auto"/>
          <w:szCs w:val="21"/>
          <w:highlight w:val="none"/>
        </w:rPr>
      </w:pPr>
      <w:r>
        <w:rPr>
          <w:rFonts w:hint="eastAsia" w:ascii="宋体" w:hAnsi="宋体"/>
          <w:b w:val="0"/>
          <w:bCs w:val="0"/>
          <w:color w:val="auto"/>
          <w:szCs w:val="21"/>
          <w:highlight w:val="none"/>
        </w:rPr>
        <w:t>为了确保实现</w:t>
      </w:r>
      <w:r>
        <w:rPr>
          <w:rFonts w:hint="eastAsia" w:ascii="宋体" w:hAnsi="宋体"/>
          <w:b w:val="0"/>
          <w:bCs w:val="0"/>
          <w:color w:val="auto"/>
          <w:szCs w:val="21"/>
          <w:highlight w:val="none"/>
          <w:u w:val="single"/>
          <w:lang w:val="en-US" w:eastAsia="zh-CN"/>
        </w:rPr>
        <w:t>南川区冷水关镇、峰岩乡抗旱水源工程</w:t>
      </w:r>
      <w:r>
        <w:rPr>
          <w:rFonts w:hint="eastAsia" w:ascii="宋体" w:hAnsi="宋体"/>
          <w:b w:val="0"/>
          <w:bCs w:val="0"/>
          <w:color w:val="auto"/>
          <w:szCs w:val="21"/>
          <w:highlight w:val="none"/>
        </w:rPr>
        <w:t>安全生产目标，进一步明确双方的安全管理责任，加强安全生产管理工作的协调、管理力度，</w:t>
      </w:r>
      <w:r>
        <w:rPr>
          <w:rFonts w:hint="eastAsia" w:ascii="宋体" w:hAnsi="宋体"/>
          <w:b w:val="0"/>
          <w:bCs w:val="0"/>
          <w:color w:val="auto"/>
          <w:szCs w:val="21"/>
          <w:highlight w:val="none"/>
          <w:u w:val="single"/>
          <w:lang w:val="en-US" w:eastAsia="zh-CN"/>
        </w:rPr>
        <w:t>重庆市南川区泽禹供水有限责任公司</w:t>
      </w:r>
      <w:r>
        <w:rPr>
          <w:rFonts w:hint="eastAsia" w:ascii="宋体" w:hAnsi="宋体"/>
          <w:b w:val="0"/>
          <w:bCs w:val="0"/>
          <w:color w:val="auto"/>
          <w:szCs w:val="21"/>
          <w:highlight w:val="none"/>
        </w:rPr>
        <w:t>（以下简称“发包人”）与</w:t>
      </w:r>
      <w:r>
        <w:rPr>
          <w:rFonts w:hint="eastAsia" w:ascii="宋体" w:hAnsi="宋体"/>
          <w:b w:val="0"/>
          <w:bCs w:val="0"/>
          <w:color w:val="auto"/>
          <w:szCs w:val="21"/>
          <w:highlight w:val="none"/>
          <w:u w:val="single"/>
          <w:lang w:val="en-US" w:eastAsia="zh-CN"/>
        </w:rPr>
        <w:t xml:space="preserve">      </w:t>
      </w:r>
      <w:r>
        <w:rPr>
          <w:rFonts w:hint="eastAsia" w:ascii="宋体" w:hAnsi="宋体"/>
          <w:b w:val="0"/>
          <w:bCs w:val="0"/>
          <w:color w:val="auto"/>
          <w:szCs w:val="21"/>
          <w:highlight w:val="none"/>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74294EA6">
      <w:pPr>
        <w:spacing w:line="360" w:lineRule="auto"/>
        <w:ind w:firstLine="420" w:firstLineChars="200"/>
        <w:rPr>
          <w:rFonts w:ascii="宋体" w:hAnsi="宋体"/>
          <w:b w:val="0"/>
          <w:bCs w:val="0"/>
          <w:color w:val="auto"/>
          <w:szCs w:val="21"/>
          <w:highlight w:val="none"/>
        </w:rPr>
      </w:pPr>
      <w:bookmarkStart w:id="369" w:name="_Toc239510289"/>
      <w:bookmarkStart w:id="370" w:name="_Toc247431423"/>
      <w:bookmarkStart w:id="371" w:name="_Toc247418263"/>
      <w:bookmarkStart w:id="372" w:name="_Toc532375700"/>
      <w:r>
        <w:rPr>
          <w:rFonts w:hint="eastAsia" w:ascii="宋体" w:hAnsi="宋体"/>
          <w:b w:val="0"/>
          <w:bCs w:val="0"/>
          <w:color w:val="auto"/>
          <w:szCs w:val="21"/>
          <w:highlight w:val="none"/>
        </w:rPr>
        <w:t>一、协议有效期限</w:t>
      </w:r>
      <w:bookmarkEnd w:id="369"/>
      <w:bookmarkEnd w:id="370"/>
      <w:bookmarkEnd w:id="371"/>
      <w:bookmarkEnd w:id="372"/>
    </w:p>
    <w:p w14:paraId="128DAF80">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本协议中所涉及的安全管理责任自合同签订之日起开始生效，至合同工程全部完工验收且经发包人与承包人签订移交协议生效后之日终止。</w:t>
      </w:r>
    </w:p>
    <w:p w14:paraId="2431A2F0">
      <w:pPr>
        <w:spacing w:line="360" w:lineRule="auto"/>
        <w:ind w:firstLine="420" w:firstLineChars="200"/>
        <w:rPr>
          <w:rFonts w:ascii="宋体" w:hAnsi="宋体"/>
          <w:b w:val="0"/>
          <w:bCs w:val="0"/>
          <w:color w:val="auto"/>
          <w:szCs w:val="21"/>
          <w:highlight w:val="none"/>
        </w:rPr>
      </w:pPr>
      <w:bookmarkStart w:id="373" w:name="_Toc532375701"/>
      <w:bookmarkStart w:id="374" w:name="_Toc247418264"/>
      <w:bookmarkStart w:id="375" w:name="_Toc247431424"/>
      <w:bookmarkStart w:id="376" w:name="_Toc239510290"/>
      <w:r>
        <w:rPr>
          <w:rFonts w:hint="eastAsia" w:ascii="宋体" w:hAnsi="宋体"/>
          <w:b w:val="0"/>
          <w:bCs w:val="0"/>
          <w:color w:val="auto"/>
          <w:szCs w:val="21"/>
          <w:highlight w:val="none"/>
        </w:rPr>
        <w:t>二、责任目标</w:t>
      </w:r>
      <w:bookmarkEnd w:id="373"/>
      <w:bookmarkEnd w:id="374"/>
      <w:bookmarkEnd w:id="375"/>
      <w:bookmarkEnd w:id="376"/>
    </w:p>
    <w:p w14:paraId="3F0FD7C1">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（一）承包人承诺承担和履行合同和发包人所规定的安全责任，且满足要求。</w:t>
      </w:r>
    </w:p>
    <w:p w14:paraId="6E91549F">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（二）承包人的安全控制目标是确保本工程在实施过程中：</w:t>
      </w:r>
    </w:p>
    <w:p w14:paraId="4721550F">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1．不发生人身重伤事故；</w:t>
      </w:r>
    </w:p>
    <w:p w14:paraId="03459396">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2．不发生火灾事故；</w:t>
      </w:r>
    </w:p>
    <w:p w14:paraId="1B104BF1">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3．不发生负有同等及以上事故责任的造成人身重伤的一般交通事故；</w:t>
      </w:r>
    </w:p>
    <w:p w14:paraId="508F0902">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4．不发生集体食物中毒事件（同时5人及以上的食物中毒）；</w:t>
      </w:r>
    </w:p>
    <w:p w14:paraId="4CB33D44">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5．不发生流行性传染病 （无甲型传染病、其他常见传染病未形成多人同时患病）；</w:t>
      </w:r>
    </w:p>
    <w:p w14:paraId="49EC19C9">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6．不发生重大环境污染事件（生活、工业垃圾及其他污染物造成环境污染和大面积水土流失）；</w:t>
      </w:r>
    </w:p>
    <w:p w14:paraId="6A279AFD">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7．不发生对施工区附近生产、生活造成重大影响的事件（如造成重大设备损坏、重大财产损失、人员伤害等）；</w:t>
      </w:r>
    </w:p>
    <w:p w14:paraId="28C384B1">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8．不发生治安保卫事件（构成刑事拘留及以上的事件、盗窃直接损失超过1万元人民币的事件）。</w:t>
      </w:r>
    </w:p>
    <w:p w14:paraId="45397E09">
      <w:pPr>
        <w:spacing w:line="360" w:lineRule="auto"/>
        <w:ind w:firstLine="420" w:firstLineChars="200"/>
        <w:jc w:val="left"/>
        <w:rPr>
          <w:rFonts w:ascii="宋体" w:hAnsi="宋体"/>
          <w:b w:val="0"/>
          <w:bCs w:val="0"/>
          <w:color w:val="auto"/>
          <w:szCs w:val="21"/>
          <w:highlight w:val="none"/>
        </w:rPr>
      </w:pPr>
      <w:bookmarkStart w:id="377" w:name="_Toc239510291"/>
      <w:bookmarkStart w:id="378" w:name="_Toc247431425"/>
      <w:bookmarkStart w:id="379" w:name="_Toc247418265"/>
      <w:r>
        <w:rPr>
          <w:rFonts w:hint="eastAsia" w:ascii="宋体" w:hAnsi="宋体"/>
          <w:b w:val="0"/>
          <w:bCs w:val="0"/>
          <w:color w:val="auto"/>
          <w:szCs w:val="21"/>
          <w:highlight w:val="none"/>
        </w:rPr>
        <w:t>（三）承包人承诺在施工中控制以下安全事故的发生：</w:t>
      </w:r>
      <w:bookmarkEnd w:id="377"/>
      <w:bookmarkEnd w:id="378"/>
      <w:bookmarkEnd w:id="379"/>
    </w:p>
    <w:p w14:paraId="7354009B">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1．人员轻伤事故。</w:t>
      </w:r>
    </w:p>
    <w:p w14:paraId="24F3D1C5">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2．负有同等及以上事故责任的人身轻伤交通事故。</w:t>
      </w:r>
    </w:p>
    <w:p w14:paraId="6DA81561">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3．其他安全未遂事故和异常事件。</w:t>
      </w:r>
    </w:p>
    <w:p w14:paraId="7B02AB6D">
      <w:pPr>
        <w:spacing w:line="360" w:lineRule="auto"/>
        <w:ind w:firstLine="420" w:firstLineChars="200"/>
        <w:rPr>
          <w:rFonts w:ascii="宋体" w:hAnsi="宋体"/>
          <w:b w:val="0"/>
          <w:bCs w:val="0"/>
          <w:color w:val="auto"/>
          <w:szCs w:val="21"/>
          <w:highlight w:val="none"/>
        </w:rPr>
      </w:pPr>
      <w:bookmarkStart w:id="380" w:name="_Toc247418266"/>
      <w:bookmarkStart w:id="381" w:name="_Toc247431426"/>
      <w:bookmarkStart w:id="382" w:name="_Toc239510292"/>
      <w:bookmarkStart w:id="383" w:name="_Toc532375702"/>
      <w:r>
        <w:rPr>
          <w:rFonts w:hint="eastAsia" w:ascii="宋体" w:hAnsi="宋体"/>
          <w:b w:val="0"/>
          <w:bCs w:val="0"/>
          <w:color w:val="auto"/>
          <w:szCs w:val="21"/>
          <w:highlight w:val="none"/>
        </w:rPr>
        <w:t>三、安全责任</w:t>
      </w:r>
      <w:bookmarkEnd w:id="380"/>
      <w:bookmarkEnd w:id="381"/>
      <w:bookmarkEnd w:id="382"/>
      <w:bookmarkEnd w:id="383"/>
    </w:p>
    <w:p w14:paraId="01EE163C">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1．承包人负有安全生产的管理责任和直接责任。</w:t>
      </w:r>
    </w:p>
    <w:p w14:paraId="6CA9D15C">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2．承包人的法人或签署合同的公司总经理或受委托的代理人对合同安全负有全面的领导责任。</w:t>
      </w:r>
    </w:p>
    <w:p w14:paraId="3950AC87">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3．承包人项目经理对施工现场的安全工作负有全面的直接领导责任。</w:t>
      </w:r>
    </w:p>
    <w:p w14:paraId="5C21DDE7">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4．承包人保证执行“谁施工、谁负责”的施工安全原则。</w:t>
      </w:r>
    </w:p>
    <w:p w14:paraId="010BDB4A">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5．承包人保证服从发包人对安全工作的统一协调和管理。</w:t>
      </w:r>
    </w:p>
    <w:p w14:paraId="7E62D341">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6．承包人保证对本工程项目安全生产条件及其管理资源自行投入，保证安全资金的专款专用。</w:t>
      </w:r>
    </w:p>
    <w:p w14:paraId="0361EE01">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7．承包人保证建立本工程项目的安全管理体系及安全保证体系（注：项目安全管理大纲/手册、管理性的程序文件等）。</w:t>
      </w:r>
    </w:p>
    <w:p w14:paraId="5F4714C5">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8．承包人保证现场的安全管理专职人员必须持有建设主管部门安全生产培训考核合格证书。</w:t>
      </w:r>
    </w:p>
    <w:p w14:paraId="5DF23873">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9．承包人保证为现场所有工作人员（含分包商员工及劳务人员）配备符合国家标准的有承包人和/或其下属分包商标志的个人基本劳动保护用品。</w:t>
      </w:r>
    </w:p>
    <w:p w14:paraId="22353D0C">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10．承包人保证按照国家法律规定为现场所有工作人员（含分包商员工及劳务人员）购买意外伤害保险。</w:t>
      </w:r>
    </w:p>
    <w:p w14:paraId="2BA6ED7D">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11．承包人保证施工生活营地（包括自建的和租用的营地）满足消防、安全用电、卫生防疫、防暴雨、防雷击等方面的安全要求。</w:t>
      </w:r>
    </w:p>
    <w:p w14:paraId="6EE8234F">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12．承包人保证对带入现场的设备、工具、材料按照国家法规和标准进行检测、试验，并持有法定部门出具的检验证书。</w:t>
      </w:r>
    </w:p>
    <w:p w14:paraId="2A17826D">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13．承包人保证制订施工现场的文明施工措施，保护环境、树木和植被，保持施工现场的良好秩序和整洁的作业环境。</w:t>
      </w:r>
    </w:p>
    <w:p w14:paraId="48DA13AF">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14．承包人负责在施工过程中与当地政府、周边群众及其他承包商保持良好的沟通和交流。承包人遇到与周边群众发生纠纷时，应负责协调工作，确保工程能够顺利进行。</w:t>
      </w:r>
    </w:p>
    <w:p w14:paraId="70D259EC">
      <w:pPr>
        <w:spacing w:line="360" w:lineRule="auto"/>
        <w:ind w:firstLine="420" w:firstLineChars="200"/>
        <w:rPr>
          <w:rFonts w:ascii="宋体" w:hAnsi="宋体"/>
          <w:b w:val="0"/>
          <w:bCs w:val="0"/>
          <w:color w:val="auto"/>
          <w:szCs w:val="21"/>
          <w:highlight w:val="none"/>
        </w:rPr>
      </w:pPr>
      <w:bookmarkStart w:id="384" w:name="_Toc532375703"/>
      <w:bookmarkStart w:id="385" w:name="_Toc247418267"/>
      <w:bookmarkStart w:id="386" w:name="_Toc239510293"/>
      <w:bookmarkStart w:id="387" w:name="_Toc247431427"/>
      <w:r>
        <w:rPr>
          <w:rFonts w:hint="eastAsia" w:ascii="宋体" w:hAnsi="宋体"/>
          <w:b w:val="0"/>
          <w:bCs w:val="0"/>
          <w:color w:val="auto"/>
          <w:szCs w:val="21"/>
          <w:highlight w:val="none"/>
        </w:rPr>
        <w:t>四、接口及协调</w:t>
      </w:r>
      <w:bookmarkEnd w:id="384"/>
      <w:bookmarkEnd w:id="385"/>
      <w:bookmarkEnd w:id="386"/>
      <w:bookmarkEnd w:id="387"/>
    </w:p>
    <w:p w14:paraId="59964387">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1．发包人委托监理公司对该工程实施监理，监理公司在安全管理方面代表发包人行使监督检查职能，承包人必须给予配合和支持。</w:t>
      </w:r>
    </w:p>
    <w:p w14:paraId="6F6CF9EA">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2．承包人人员、车辆的出入，带入现场的设备、机具、材料，在现场使用的或直接管理的办公、生活、生产性设施的安全管理须满足发包人现场管理的基本要求。</w:t>
      </w:r>
    </w:p>
    <w:p w14:paraId="615F6634">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3．承包人应指定专职安全管理人员与发包人委托的监理公司接口，参与安全协调和管理。安全协调和管理的内容包括职业健康、工业安全、消防安全、卫生防疫、交通安全、环境保护、治安保卫等各方面。</w:t>
      </w:r>
    </w:p>
    <w:p w14:paraId="072CBF84">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1CBDA7F4">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5．承包人指定的专职安全管理人员应与发包人委托的监理公司建立联系，在业务上接受发包人委托的监理公司的协调和指导。</w:t>
      </w:r>
    </w:p>
    <w:p w14:paraId="3091DB64">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6．开工后承包人的专职安全管理人员应按照发包人委托的监理公司的规定，定期报送安全月度快报、季报、年报和各种专项事故报告等。</w:t>
      </w:r>
    </w:p>
    <w:p w14:paraId="4569DC6D">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7．在工程实体未全部正式移交发包人施工管理部门之前，承包人依旧对施工范围内的安全管理负责。</w:t>
      </w:r>
    </w:p>
    <w:p w14:paraId="37F08E5A">
      <w:pPr>
        <w:spacing w:line="360" w:lineRule="auto"/>
        <w:ind w:firstLine="420" w:firstLineChars="200"/>
        <w:rPr>
          <w:rFonts w:ascii="宋体" w:hAnsi="宋体"/>
          <w:b w:val="0"/>
          <w:bCs w:val="0"/>
          <w:color w:val="auto"/>
          <w:szCs w:val="21"/>
          <w:highlight w:val="none"/>
        </w:rPr>
      </w:pPr>
      <w:bookmarkStart w:id="388" w:name="_Toc532375704"/>
      <w:bookmarkStart w:id="389" w:name="_Toc239510294"/>
      <w:bookmarkStart w:id="390" w:name="_Toc247431428"/>
      <w:bookmarkStart w:id="391" w:name="_Toc247418268"/>
      <w:r>
        <w:rPr>
          <w:rFonts w:hint="eastAsia" w:ascii="宋体" w:hAnsi="宋体"/>
          <w:b w:val="0"/>
          <w:bCs w:val="0"/>
          <w:color w:val="auto"/>
          <w:szCs w:val="21"/>
          <w:highlight w:val="none"/>
        </w:rPr>
        <w:t>五、安全资质审查</w:t>
      </w:r>
      <w:bookmarkEnd w:id="388"/>
      <w:bookmarkEnd w:id="389"/>
      <w:bookmarkEnd w:id="390"/>
      <w:bookmarkEnd w:id="391"/>
    </w:p>
    <w:p w14:paraId="26077B99">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承包人在项目开工前5个工作天内向发包人委托的监理公司提供以下安全资质供审查和存档：</w:t>
      </w:r>
    </w:p>
    <w:p w14:paraId="34AAB561">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1．企业安全生产许可证书复印件。</w:t>
      </w:r>
    </w:p>
    <w:p w14:paraId="4E124A68">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2．企业近三年的施工简历及安全施工业绩证明文件。</w:t>
      </w:r>
    </w:p>
    <w:p w14:paraId="6FD052AC">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3．企业主要安全管理人员（包括项目经理、专职安全管理人员）经建设主管部门安全生产知识考核合格证书。</w:t>
      </w:r>
    </w:p>
    <w:p w14:paraId="1D72921E">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4．特种作业人员资格证书。</w:t>
      </w:r>
    </w:p>
    <w:p w14:paraId="2A72D458">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5．项目安全管理机构及其人员配备（承包人必须配有专职的安全员）。</w:t>
      </w:r>
    </w:p>
    <w:p w14:paraId="10BB6974">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6．适用于项目的安全管理体系及保证体系文件（安全管理大纲及管理程序文件）。</w:t>
      </w:r>
    </w:p>
    <w:p w14:paraId="54A5C5E7">
      <w:pPr>
        <w:spacing w:line="360" w:lineRule="auto"/>
        <w:ind w:firstLine="420" w:firstLineChars="200"/>
        <w:rPr>
          <w:rFonts w:ascii="宋体" w:hAnsi="宋体"/>
          <w:b w:val="0"/>
          <w:bCs w:val="0"/>
          <w:color w:val="auto"/>
          <w:szCs w:val="21"/>
          <w:highlight w:val="none"/>
        </w:rPr>
      </w:pPr>
      <w:bookmarkStart w:id="392" w:name="_Toc239510295"/>
      <w:bookmarkStart w:id="393" w:name="_Toc247431429"/>
      <w:bookmarkStart w:id="394" w:name="_Toc532375705"/>
      <w:bookmarkStart w:id="395" w:name="_Toc247418269"/>
      <w:r>
        <w:rPr>
          <w:rFonts w:hint="eastAsia" w:ascii="宋体" w:hAnsi="宋体"/>
          <w:b w:val="0"/>
          <w:bCs w:val="0"/>
          <w:color w:val="auto"/>
          <w:szCs w:val="21"/>
          <w:highlight w:val="none"/>
        </w:rPr>
        <w:t>六、人员基本素质</w:t>
      </w:r>
      <w:bookmarkEnd w:id="392"/>
      <w:bookmarkEnd w:id="393"/>
      <w:bookmarkEnd w:id="394"/>
      <w:bookmarkEnd w:id="395"/>
    </w:p>
    <w:p w14:paraId="4BD92581">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承包人提供的人员必须满足下列要求：</w:t>
      </w:r>
    </w:p>
    <w:p w14:paraId="13F89715">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4F7D55E5">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2．无刑事案件牵连。</w:t>
      </w:r>
    </w:p>
    <w:p w14:paraId="0AAF9E05">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3．无吸毒、酗酒、赌博、嫖娼等恶习及违法行为。</w:t>
      </w:r>
    </w:p>
    <w:p w14:paraId="16F2CE56">
      <w:pPr>
        <w:spacing w:line="360" w:lineRule="auto"/>
        <w:ind w:firstLine="420" w:firstLineChars="200"/>
        <w:rPr>
          <w:rFonts w:ascii="宋体" w:hAnsi="宋体"/>
          <w:b w:val="0"/>
          <w:bCs w:val="0"/>
          <w:color w:val="auto"/>
          <w:szCs w:val="21"/>
          <w:highlight w:val="none"/>
        </w:rPr>
      </w:pPr>
      <w:bookmarkStart w:id="396" w:name="_Toc532375706"/>
      <w:bookmarkStart w:id="397" w:name="_Toc239510296"/>
      <w:bookmarkStart w:id="398" w:name="_Toc247431430"/>
      <w:bookmarkStart w:id="399" w:name="_Toc247418270"/>
      <w:r>
        <w:rPr>
          <w:rFonts w:hint="eastAsia" w:ascii="宋体" w:hAnsi="宋体"/>
          <w:b w:val="0"/>
          <w:bCs w:val="0"/>
          <w:color w:val="auto"/>
          <w:szCs w:val="21"/>
          <w:highlight w:val="none"/>
        </w:rPr>
        <w:t>七、劳动保护</w:t>
      </w:r>
      <w:bookmarkEnd w:id="396"/>
      <w:bookmarkEnd w:id="397"/>
      <w:bookmarkEnd w:id="398"/>
      <w:bookmarkEnd w:id="399"/>
    </w:p>
    <w:p w14:paraId="33685C7A">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1．承包人负责为本单位任何用工形式的员工提供个人劳动保护用品（包括工作服、安全帽、安全鞋等）。</w:t>
      </w:r>
    </w:p>
    <w:p w14:paraId="4BD3EB76">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2．承包人负责向特殊工种的员工提供特殊劳动保护，否则不得从事特殊工种作业。</w:t>
      </w:r>
    </w:p>
    <w:p w14:paraId="7EF039B0">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3．发包人委托的监理公司有权检查承包人的个人劳动保护用品是否符合国家的相应标准。</w:t>
      </w:r>
    </w:p>
    <w:p w14:paraId="08F4A368">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4． 承包人在特殊风险场所作业而需要特殊防护用品或安全仪表时，必须在上述防护用品全部到位后才能开工。</w:t>
      </w:r>
    </w:p>
    <w:p w14:paraId="3C2EA311">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5．承包人应配备临时安全围栏、警示带、警告标志、防火布等集体防护用品。</w:t>
      </w:r>
    </w:p>
    <w:p w14:paraId="59261DEA">
      <w:pPr>
        <w:spacing w:line="360" w:lineRule="auto"/>
        <w:ind w:firstLine="420" w:firstLineChars="200"/>
        <w:rPr>
          <w:rFonts w:ascii="宋体" w:hAnsi="宋体"/>
          <w:b w:val="0"/>
          <w:bCs w:val="0"/>
          <w:color w:val="auto"/>
          <w:szCs w:val="21"/>
          <w:highlight w:val="none"/>
        </w:rPr>
      </w:pPr>
      <w:bookmarkStart w:id="400" w:name="_Toc247431431"/>
      <w:bookmarkStart w:id="401" w:name="_Toc239510297"/>
      <w:bookmarkStart w:id="402" w:name="_Toc532375707"/>
      <w:bookmarkStart w:id="403" w:name="_Toc247418271"/>
      <w:r>
        <w:rPr>
          <w:rFonts w:hint="eastAsia" w:ascii="宋体" w:hAnsi="宋体"/>
          <w:b w:val="0"/>
          <w:bCs w:val="0"/>
          <w:color w:val="auto"/>
          <w:szCs w:val="21"/>
          <w:highlight w:val="none"/>
        </w:rPr>
        <w:t>八、施工机具与材料</w:t>
      </w:r>
      <w:bookmarkEnd w:id="400"/>
      <w:bookmarkEnd w:id="401"/>
      <w:bookmarkEnd w:id="402"/>
      <w:bookmarkEnd w:id="403"/>
    </w:p>
    <w:p w14:paraId="2EA642AE">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1．承包人对带入现场的施工机械和工器具的安全负责。</w:t>
      </w:r>
    </w:p>
    <w:p w14:paraId="77BD7CD2">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2．对于承包人带入现场的特殊工器具，如起重设备、索具、机动车辆、压缩气瓶等，承包人必须按国家法规和标准进行检测、试验，并持有法定部门出具的检验证书。</w:t>
      </w:r>
    </w:p>
    <w:p w14:paraId="3F47ED3F">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3．对于不属于法定检测的工器具，承包人也必须建立相应的管理、检测制度，这些工器具包括登高工具、脚手架材料、电动工具、安全防护设备及用具等。</w:t>
      </w:r>
    </w:p>
    <w:p w14:paraId="40413719">
      <w:pPr>
        <w:spacing w:line="360" w:lineRule="auto"/>
        <w:ind w:firstLine="420" w:firstLineChars="200"/>
        <w:rPr>
          <w:rFonts w:ascii="宋体" w:hAnsi="宋体"/>
          <w:b w:val="0"/>
          <w:bCs w:val="0"/>
          <w:color w:val="auto"/>
          <w:szCs w:val="21"/>
          <w:highlight w:val="none"/>
        </w:rPr>
      </w:pPr>
      <w:bookmarkStart w:id="404" w:name="_Toc239510298"/>
      <w:bookmarkStart w:id="405" w:name="_Toc247431432"/>
      <w:bookmarkStart w:id="406" w:name="_Toc247418272"/>
      <w:bookmarkStart w:id="407" w:name="_Toc532375708"/>
      <w:r>
        <w:rPr>
          <w:rFonts w:hint="eastAsia" w:ascii="宋体" w:hAnsi="宋体"/>
          <w:b w:val="0"/>
          <w:bCs w:val="0"/>
          <w:color w:val="auto"/>
          <w:szCs w:val="21"/>
          <w:highlight w:val="none"/>
        </w:rPr>
        <w:t>九、开工前安全条件检查</w:t>
      </w:r>
      <w:bookmarkEnd w:id="404"/>
      <w:bookmarkEnd w:id="405"/>
      <w:bookmarkEnd w:id="406"/>
      <w:bookmarkEnd w:id="407"/>
    </w:p>
    <w:p w14:paraId="6CA62E7B">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2CC65750">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4134BC24">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3．发包人委托的监理公司检查发现的缺陷，承包人应在规定期限内完成整改。对于重大缺陷，发包人委托的监理公司有权要求承包人推迟开工，由此对工期产生的影响或经济损失，由承包人承担。</w:t>
      </w:r>
    </w:p>
    <w:p w14:paraId="4404E035">
      <w:pPr>
        <w:spacing w:line="360" w:lineRule="auto"/>
        <w:ind w:firstLine="420" w:firstLineChars="200"/>
        <w:rPr>
          <w:rFonts w:ascii="宋体" w:hAnsi="宋体"/>
          <w:b w:val="0"/>
          <w:bCs w:val="0"/>
          <w:color w:val="auto"/>
          <w:szCs w:val="21"/>
          <w:highlight w:val="none"/>
        </w:rPr>
      </w:pPr>
      <w:bookmarkStart w:id="408" w:name="_Toc532375709"/>
      <w:bookmarkStart w:id="409" w:name="_Toc247431433"/>
      <w:bookmarkStart w:id="410" w:name="_Toc239510299"/>
      <w:bookmarkStart w:id="411" w:name="_Toc247418273"/>
      <w:r>
        <w:rPr>
          <w:rFonts w:hint="eastAsia" w:ascii="宋体" w:hAnsi="宋体"/>
          <w:b w:val="0"/>
          <w:bCs w:val="0"/>
          <w:color w:val="auto"/>
          <w:szCs w:val="21"/>
          <w:highlight w:val="none"/>
        </w:rPr>
        <w:t>十、安全监督</w:t>
      </w:r>
      <w:bookmarkEnd w:id="408"/>
      <w:bookmarkEnd w:id="409"/>
      <w:bookmarkEnd w:id="410"/>
      <w:bookmarkEnd w:id="411"/>
    </w:p>
    <w:p w14:paraId="0C1751E3">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1．承包人应配备有满足项目安全管理需要的专职安全管理人员。</w:t>
      </w:r>
    </w:p>
    <w:p w14:paraId="45AD2052">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2．承包人的专职安全管理人员必须持建设主管部门颁发的安全生产知识考核合格证书。</w:t>
      </w:r>
    </w:p>
    <w:p w14:paraId="2D2DD41C">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3．承包人的专职安全管理人员在业务上接受发包人委托的监理公司和发包人安全管理部门的协调和指导。</w:t>
      </w:r>
    </w:p>
    <w:p w14:paraId="6C78941E">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4．承包人应建立班前安全交底制度；施工期间坚持开展安全检查和日常安全监督并形成相应的记录。</w:t>
      </w:r>
    </w:p>
    <w:p w14:paraId="6BC6D678">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5．承包人应在每个作业区任命兼职安全员，赋予兼职安全员相应的授权和义务，并对兼职安全员进行定期考核。</w:t>
      </w:r>
    </w:p>
    <w:p w14:paraId="09957A13">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6．承包人应接受和配合发包人专业部门及委托的监理公司的监督与安全评价。</w:t>
      </w:r>
    </w:p>
    <w:p w14:paraId="0D46A8BA">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7．发包人和委托的监理公司有权对承包人履行安全管理协议的情况进行监督，并有权对违章行为实行停工和处罚，处罚情况将通知承包人。涉及经济处罚时将直接通知合同管理部门从合同结算中扣除。</w:t>
      </w:r>
    </w:p>
    <w:p w14:paraId="0520006F">
      <w:pPr>
        <w:spacing w:line="360" w:lineRule="auto"/>
        <w:ind w:firstLine="420" w:firstLineChars="200"/>
        <w:rPr>
          <w:rFonts w:ascii="宋体" w:hAnsi="宋体"/>
          <w:b w:val="0"/>
          <w:bCs w:val="0"/>
          <w:color w:val="auto"/>
          <w:szCs w:val="21"/>
          <w:highlight w:val="none"/>
        </w:rPr>
      </w:pPr>
      <w:bookmarkStart w:id="412" w:name="_Toc532375710"/>
      <w:bookmarkStart w:id="413" w:name="_Toc247418274"/>
      <w:bookmarkStart w:id="414" w:name="_Toc239510300"/>
      <w:bookmarkStart w:id="415" w:name="_Toc247431434"/>
      <w:r>
        <w:rPr>
          <w:rFonts w:hint="eastAsia" w:ascii="宋体" w:hAnsi="宋体"/>
          <w:b w:val="0"/>
          <w:bCs w:val="0"/>
          <w:color w:val="auto"/>
          <w:szCs w:val="21"/>
          <w:highlight w:val="none"/>
        </w:rPr>
        <w:t>十一、安全培训与授权</w:t>
      </w:r>
      <w:bookmarkEnd w:id="412"/>
      <w:bookmarkEnd w:id="413"/>
      <w:bookmarkEnd w:id="414"/>
      <w:bookmarkEnd w:id="415"/>
    </w:p>
    <w:p w14:paraId="10CCE622">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1．承包人所有特殊工种人员必须持证上岗，发包人和发包人委托的监理公司有权对其进行抽查。承包人要建立特殊工种定期培训和检查计划，这些工种包括但不限于：机动车驾驶员、焊工、起重工、电工等。</w:t>
      </w:r>
    </w:p>
    <w:p w14:paraId="7FADAD0D">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2．承包人应在特殊工种之外的其他工种中，筛选出高风险工种，并对其开展针对性的专题安全培训。</w:t>
      </w:r>
    </w:p>
    <w:p w14:paraId="38A37FC9">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3．承包人应组织 “入场培训”和考核。发包人委托的监理公司有权监督培训、考核情况或组织抽查考核。</w:t>
      </w:r>
    </w:p>
    <w:p w14:paraId="2A785CD5">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4．承包人应建立安全培训和考核机制，编制培训教材和培训滚动计划。承包人应组织安全考试/考核，建立培训考核记录，发包人委托的监理公司有权查看这些记录。</w:t>
      </w:r>
    </w:p>
    <w:p w14:paraId="23FCBAB8">
      <w:pPr>
        <w:spacing w:line="360" w:lineRule="auto"/>
        <w:ind w:firstLine="420" w:firstLineChars="200"/>
        <w:rPr>
          <w:rFonts w:ascii="宋体" w:hAnsi="宋体"/>
          <w:b w:val="0"/>
          <w:bCs w:val="0"/>
          <w:color w:val="auto"/>
          <w:szCs w:val="21"/>
          <w:highlight w:val="none"/>
        </w:rPr>
      </w:pPr>
      <w:bookmarkStart w:id="416" w:name="_Toc239510301"/>
      <w:bookmarkStart w:id="417" w:name="_Toc247418275"/>
      <w:bookmarkStart w:id="418" w:name="_Toc247431435"/>
      <w:bookmarkStart w:id="419" w:name="_Toc532375711"/>
      <w:r>
        <w:rPr>
          <w:rFonts w:hint="eastAsia" w:ascii="宋体" w:hAnsi="宋体"/>
          <w:b w:val="0"/>
          <w:bCs w:val="0"/>
          <w:color w:val="auto"/>
          <w:szCs w:val="21"/>
          <w:highlight w:val="none"/>
        </w:rPr>
        <w:t>十二、职业健康与卫生防疫</w:t>
      </w:r>
      <w:bookmarkEnd w:id="416"/>
      <w:bookmarkEnd w:id="417"/>
      <w:bookmarkEnd w:id="418"/>
      <w:bookmarkEnd w:id="419"/>
    </w:p>
    <w:p w14:paraId="048237FA">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1．承包人应有特殊健康检查制度，预防有禁忌症患者从事有关职业，如恐高症患者不得从事高空作业，患有心血管疾病的人员不得从事繁重的体力劳动，特殊工种人员的体检应符合国家的规定。</w:t>
      </w:r>
    </w:p>
    <w:p w14:paraId="56C917F7">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2．承包人应保证卫生防疫基本设施的投入，以满足医疗、急救的要求，建立外部医疗支持渠道。</w:t>
      </w:r>
    </w:p>
    <w:p w14:paraId="29A5F9E7">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304B5C8D">
      <w:pPr>
        <w:spacing w:line="360" w:lineRule="auto"/>
        <w:ind w:firstLine="420" w:firstLineChars="200"/>
        <w:rPr>
          <w:rFonts w:ascii="宋体" w:hAnsi="宋体"/>
          <w:b w:val="0"/>
          <w:bCs w:val="0"/>
          <w:color w:val="auto"/>
          <w:szCs w:val="21"/>
          <w:highlight w:val="none"/>
        </w:rPr>
      </w:pPr>
      <w:bookmarkStart w:id="420" w:name="_Toc247431436"/>
      <w:bookmarkStart w:id="421" w:name="_Toc532375712"/>
      <w:bookmarkStart w:id="422" w:name="_Toc247418276"/>
      <w:bookmarkStart w:id="423" w:name="_Toc239510302"/>
      <w:r>
        <w:rPr>
          <w:rFonts w:hint="eastAsia" w:ascii="宋体" w:hAnsi="宋体"/>
          <w:b w:val="0"/>
          <w:bCs w:val="0"/>
          <w:color w:val="auto"/>
          <w:szCs w:val="21"/>
          <w:highlight w:val="none"/>
        </w:rPr>
        <w:t>十三、文明施工与环保要求</w:t>
      </w:r>
      <w:bookmarkEnd w:id="420"/>
      <w:bookmarkEnd w:id="421"/>
      <w:bookmarkEnd w:id="422"/>
      <w:bookmarkEnd w:id="423"/>
    </w:p>
    <w:p w14:paraId="3F10672B">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1．承包人需制订施工现场的文明施工措施，保持良好的施工现场秩序。施工现场的物料堆放要摆放整齐，安全标志和宣传标志要清楚醒目，废料、废物要分类收集，安全通道要畅通。</w:t>
      </w:r>
    </w:p>
    <w:p w14:paraId="2CCC2263">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2．承包人作业时应避免建筑材料抛洒、飞扬、流淌；应尽可能降低噪音、震动。</w:t>
      </w:r>
    </w:p>
    <w:p w14:paraId="074A3DF8">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3．承包人应根据实际需要，在施工现场布置临时卫生设施（洗手间、卫生间等），施工作业不破坏环境卫生，不污染现场环境。</w:t>
      </w:r>
    </w:p>
    <w:p w14:paraId="1E0A22F4">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4．承包人在施工中应充分重视对环境的保护，保护绿色植被，保护古树。施工如需伤害古树，必须报告发包人委托的监理公司，在未得到指令前，禁止擅自伤害古树。</w:t>
      </w:r>
    </w:p>
    <w:p w14:paraId="0DF3A3F9">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51031AC5">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6．承包人在施工中应禁止向环境，排放工业污水、生活污水、废油或其他有害物质。</w:t>
      </w:r>
    </w:p>
    <w:p w14:paraId="5EF48CBF">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6F2A4209">
      <w:pPr>
        <w:spacing w:line="360" w:lineRule="auto"/>
        <w:ind w:firstLine="420" w:firstLineChars="200"/>
        <w:rPr>
          <w:rFonts w:ascii="宋体" w:hAnsi="宋体"/>
          <w:b w:val="0"/>
          <w:bCs w:val="0"/>
          <w:color w:val="auto"/>
          <w:szCs w:val="21"/>
          <w:highlight w:val="none"/>
        </w:rPr>
      </w:pPr>
      <w:bookmarkStart w:id="424" w:name="_Toc532375713"/>
      <w:bookmarkStart w:id="425" w:name="_Toc247418277"/>
      <w:bookmarkStart w:id="426" w:name="_Toc247431437"/>
      <w:bookmarkStart w:id="427" w:name="_Toc239510303"/>
      <w:r>
        <w:rPr>
          <w:rFonts w:hint="eastAsia" w:ascii="宋体" w:hAnsi="宋体"/>
          <w:b w:val="0"/>
          <w:bCs w:val="0"/>
          <w:color w:val="auto"/>
          <w:szCs w:val="21"/>
          <w:highlight w:val="none"/>
        </w:rPr>
        <w:t>十四、工程风险管理与事故预防</w:t>
      </w:r>
      <w:bookmarkEnd w:id="424"/>
      <w:bookmarkEnd w:id="425"/>
      <w:bookmarkEnd w:id="426"/>
      <w:bookmarkEnd w:id="427"/>
    </w:p>
    <w:p w14:paraId="5E9DF1B1">
      <w:pPr>
        <w:spacing w:line="360" w:lineRule="auto"/>
        <w:ind w:firstLine="420" w:firstLineChars="200"/>
        <w:jc w:val="left"/>
        <w:rPr>
          <w:rFonts w:ascii="宋体" w:hAnsi="宋体"/>
          <w:b w:val="0"/>
          <w:bCs w:val="0"/>
          <w:color w:val="auto"/>
          <w:szCs w:val="21"/>
          <w:highlight w:val="none"/>
        </w:rPr>
      </w:pPr>
      <w:bookmarkStart w:id="428" w:name="_Toc247418278"/>
      <w:bookmarkStart w:id="429" w:name="_Toc247431438"/>
      <w:bookmarkStart w:id="430" w:name="_Toc239510304"/>
      <w:r>
        <w:rPr>
          <w:rFonts w:hint="eastAsia" w:ascii="宋体" w:hAnsi="宋体"/>
          <w:b w:val="0"/>
          <w:bCs w:val="0"/>
          <w:color w:val="auto"/>
          <w:szCs w:val="21"/>
          <w:highlight w:val="none"/>
        </w:rPr>
        <w:t>（一）基本要求</w:t>
      </w:r>
      <w:bookmarkEnd w:id="428"/>
      <w:bookmarkEnd w:id="429"/>
      <w:bookmarkEnd w:id="430"/>
    </w:p>
    <w:p w14:paraId="1C37B2BA">
      <w:pPr>
        <w:spacing w:line="360" w:lineRule="auto"/>
        <w:ind w:firstLine="420" w:firstLineChars="200"/>
        <w:jc w:val="left"/>
        <w:rPr>
          <w:rFonts w:ascii="宋体" w:hAnsi="宋体"/>
          <w:b w:val="0"/>
          <w:bCs w:val="0"/>
          <w:color w:val="auto"/>
          <w:szCs w:val="21"/>
          <w:highlight w:val="none"/>
        </w:rPr>
      </w:pPr>
      <w:bookmarkStart w:id="431" w:name="_Toc532375714"/>
      <w:r>
        <w:rPr>
          <w:rFonts w:hint="eastAsia" w:ascii="宋体" w:hAnsi="宋体"/>
          <w:b w:val="0"/>
          <w:bCs w:val="0"/>
          <w:color w:val="auto"/>
          <w:szCs w:val="21"/>
          <w:highlight w:val="none"/>
        </w:rPr>
        <w:t>1．承包人应对施工过程进行全面、深入的危险源识别和风险分析。在施工安全组织设计中提供危险源及重要危险源清单、作业风险分析报告，该报告应包括（但不限于）如下信息：</w:t>
      </w:r>
      <w:bookmarkEnd w:id="431"/>
    </w:p>
    <w:p w14:paraId="0C06B883">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（1）高风险作业和工种清单：作业名称、类别和数量、主要事故风险。</w:t>
      </w:r>
    </w:p>
    <w:p w14:paraId="567B6081">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（2）施工能源和机械的种类、数量和主要事故风险。</w:t>
      </w:r>
    </w:p>
    <w:p w14:paraId="53CAC4A2">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（3）施工作业条件的类型和主要事故风险。</w:t>
      </w:r>
    </w:p>
    <w:p w14:paraId="3C60744A">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（4）主要工艺过程（或施工活动）的类别及其相关的事故风险。</w:t>
      </w:r>
    </w:p>
    <w:p w14:paraId="5A325A75">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（5）主要火灾危险（可燃物、点火源）。</w:t>
      </w:r>
    </w:p>
    <w:p w14:paraId="3026FB29">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（6）主要自然灾害（洪水、大风、雷暴、暴雨、地质灾害等）。</w:t>
      </w:r>
    </w:p>
    <w:p w14:paraId="786F2A9F">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（7）主要环境保护事件（有害垃圾、机械的跑冒滴漏、原材料流失、水土流失等）。</w:t>
      </w:r>
    </w:p>
    <w:p w14:paraId="72DA6C68">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（8）其他。</w:t>
      </w:r>
    </w:p>
    <w:p w14:paraId="5F815DCD">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2．承包人应针对识别出的危险源制定有针对性的事故预防措施并确保在施工中得到有效落实。</w:t>
      </w:r>
    </w:p>
    <w:p w14:paraId="583C4AEA">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3．承包人应建立日常施工活动的动态作业风险分析和安全交底制度。该制度应明确规定风险分析的方法、责任和交底的内容、时间及记录。</w:t>
      </w:r>
    </w:p>
    <w:p w14:paraId="27F60D43">
      <w:pPr>
        <w:spacing w:line="360" w:lineRule="auto"/>
        <w:ind w:firstLine="420" w:firstLineChars="200"/>
        <w:jc w:val="left"/>
        <w:rPr>
          <w:rFonts w:ascii="宋体" w:hAnsi="宋体"/>
          <w:b w:val="0"/>
          <w:bCs w:val="0"/>
          <w:color w:val="auto"/>
          <w:szCs w:val="21"/>
          <w:highlight w:val="none"/>
        </w:rPr>
      </w:pPr>
      <w:bookmarkStart w:id="432" w:name="_Toc247418279"/>
      <w:bookmarkStart w:id="433" w:name="_Toc239510305"/>
      <w:bookmarkStart w:id="434" w:name="_Toc247431439"/>
      <w:r>
        <w:rPr>
          <w:rFonts w:hint="eastAsia" w:ascii="宋体" w:hAnsi="宋体"/>
          <w:b w:val="0"/>
          <w:bCs w:val="0"/>
          <w:color w:val="auto"/>
          <w:szCs w:val="21"/>
          <w:highlight w:val="none"/>
        </w:rPr>
        <w:t>（二）现场作业基本安全条件</w:t>
      </w:r>
      <w:bookmarkEnd w:id="432"/>
      <w:bookmarkEnd w:id="433"/>
      <w:bookmarkEnd w:id="434"/>
    </w:p>
    <w:p w14:paraId="3018A0BE">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5F1AE276">
      <w:pPr>
        <w:spacing w:line="360" w:lineRule="auto"/>
        <w:ind w:firstLine="420" w:firstLineChars="200"/>
        <w:rPr>
          <w:rFonts w:ascii="宋体" w:hAnsi="宋体"/>
          <w:b w:val="0"/>
          <w:bCs w:val="0"/>
          <w:color w:val="auto"/>
          <w:szCs w:val="21"/>
          <w:highlight w:val="none"/>
        </w:rPr>
      </w:pPr>
      <w:bookmarkStart w:id="435" w:name="_Toc532375715"/>
      <w:bookmarkStart w:id="436" w:name="_Toc239510306"/>
      <w:bookmarkStart w:id="437" w:name="_Toc247431440"/>
      <w:bookmarkStart w:id="438" w:name="_Toc247418280"/>
      <w:r>
        <w:rPr>
          <w:rFonts w:hint="eastAsia" w:ascii="宋体" w:hAnsi="宋体"/>
          <w:b w:val="0"/>
          <w:bCs w:val="0"/>
          <w:color w:val="auto"/>
          <w:szCs w:val="21"/>
          <w:highlight w:val="none"/>
        </w:rPr>
        <w:t>十五、事故报告与应急救援</w:t>
      </w:r>
      <w:bookmarkEnd w:id="435"/>
      <w:bookmarkEnd w:id="436"/>
      <w:bookmarkEnd w:id="437"/>
      <w:bookmarkEnd w:id="438"/>
    </w:p>
    <w:p w14:paraId="3B75405A">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1．承包人应制定对于未遂事故及以上级别的安全事件和事故，定期报送安全月度快报、季报、年报和各种专项事故报告等。</w:t>
      </w:r>
    </w:p>
    <w:p w14:paraId="1BE24B08">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2．承包人应建立安全事故统计记录、未遂事故统计记录、违章统计记录，并根据统计情况进行分析，并就分析结果制定相应的预防措施。</w:t>
      </w:r>
    </w:p>
    <w:p w14:paraId="26DEDF98">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3．承包人应建立事故应急救援机制，明确事故处置的基本原则，即现场发生事故时，首先抢救生命，向救援组织报警，并采取措施限制事故扩大。</w:t>
      </w:r>
    </w:p>
    <w:p w14:paraId="352E3626">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4．承包人应建立相应的应急响应组织，以便能迅速处理突发意外。</w:t>
      </w:r>
    </w:p>
    <w:p w14:paraId="3AC48739">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5．承包人应建立专项应急响应预案，包括重大人身伤亡事故的救护预案、火灾响应预案、“四防”预案（防风、防冻、防雷、防暴雨）、重大疫病防护预案、环境污染防护预案、地质灾害防护预案等。</w:t>
      </w:r>
    </w:p>
    <w:p w14:paraId="73254C03">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6．承包人应对应急预案进行适当演练，保证应急预案的可操作性。</w:t>
      </w:r>
    </w:p>
    <w:p w14:paraId="55449468">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7．在工地的其他施工单位发生重大事故时，承包人应无条件立即配合、支持事故抢险。</w:t>
      </w:r>
    </w:p>
    <w:p w14:paraId="49237A2E">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8．承包人必须为事故处置支付各项费用，包括受伤者的抚恤、补偿等费用，并按合同要求赔偿对发包人造成的损失。</w:t>
      </w:r>
    </w:p>
    <w:p w14:paraId="47C0CC7A">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9．由于发包人原因而造成的事故，发包人应负责按事故的具体损失情况给予承包人经济赔偿。</w:t>
      </w:r>
    </w:p>
    <w:p w14:paraId="14B77D80">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10．涉及承包人员工的伤害事故，承包人除要报告发包人委托的监理公司外，还应负责按照国家、行业和本单位上级公司的要求，上报事故。</w:t>
      </w:r>
    </w:p>
    <w:p w14:paraId="6E87F044">
      <w:pPr>
        <w:spacing w:line="360" w:lineRule="auto"/>
        <w:ind w:firstLine="420" w:firstLineChars="200"/>
        <w:rPr>
          <w:rFonts w:ascii="宋体" w:hAnsi="宋体"/>
          <w:b w:val="0"/>
          <w:bCs w:val="0"/>
          <w:color w:val="auto"/>
          <w:szCs w:val="21"/>
          <w:highlight w:val="none"/>
        </w:rPr>
      </w:pPr>
      <w:bookmarkStart w:id="439" w:name="_Toc247418281"/>
      <w:bookmarkStart w:id="440" w:name="_Toc239510307"/>
      <w:bookmarkStart w:id="441" w:name="_Toc532375716"/>
      <w:bookmarkStart w:id="442" w:name="_Toc247431441"/>
      <w:r>
        <w:rPr>
          <w:rFonts w:hint="eastAsia" w:ascii="宋体" w:hAnsi="宋体"/>
          <w:b w:val="0"/>
          <w:bCs w:val="0"/>
          <w:color w:val="auto"/>
          <w:szCs w:val="21"/>
          <w:highlight w:val="none"/>
        </w:rPr>
        <w:t>十六、安全业绩考核</w:t>
      </w:r>
      <w:bookmarkEnd w:id="439"/>
      <w:bookmarkEnd w:id="440"/>
      <w:bookmarkEnd w:id="441"/>
      <w:bookmarkEnd w:id="442"/>
    </w:p>
    <w:p w14:paraId="39C59BF1">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为了落实安全管理的责任，承包人在施工过程中发生安全事故时，承包人除应按国家有关规定承担责任和处罚外，发包人还将按照以下标准进行考核：</w:t>
      </w:r>
    </w:p>
    <w:tbl>
      <w:tblPr>
        <w:tblStyle w:val="8"/>
        <w:tblW w:w="0" w:type="auto"/>
        <w:jc w:val="center"/>
        <w:tblLayout w:type="fixed"/>
        <w:tblCellMar>
          <w:top w:w="0" w:type="dxa"/>
          <w:left w:w="0" w:type="dxa"/>
          <w:bottom w:w="0" w:type="dxa"/>
          <w:right w:w="0" w:type="dxa"/>
        </w:tblCellMar>
      </w:tblPr>
      <w:tblGrid>
        <w:gridCol w:w="3240"/>
        <w:gridCol w:w="3765"/>
      </w:tblGrid>
      <w:tr w14:paraId="2F3784E2">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3A78F59">
            <w:pPr>
              <w:spacing w:line="360" w:lineRule="auto"/>
              <w:ind w:firstLine="420" w:firstLineChars="200"/>
              <w:jc w:val="center"/>
              <w:rPr>
                <w:rFonts w:ascii="宋体" w:hAnsi="宋体"/>
                <w:b w:val="0"/>
                <w:bCs w:val="0"/>
                <w:color w:val="auto"/>
                <w:szCs w:val="21"/>
                <w:highlight w:val="none"/>
              </w:rPr>
            </w:pPr>
            <w:r>
              <w:rPr>
                <w:rFonts w:hint="eastAsia" w:ascii="宋体" w:hAnsi="宋体"/>
                <w:b w:val="0"/>
                <w:bCs w:val="0"/>
                <w:color w:val="auto"/>
                <w:szCs w:val="21"/>
                <w:highlight w:val="none"/>
              </w:rPr>
              <w:t>事件类型</w:t>
            </w:r>
          </w:p>
        </w:tc>
        <w:tc>
          <w:tcPr>
            <w:tcW w:w="37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75303D3">
            <w:pPr>
              <w:spacing w:line="360" w:lineRule="auto"/>
              <w:ind w:firstLine="420" w:firstLineChars="200"/>
              <w:jc w:val="center"/>
              <w:rPr>
                <w:rFonts w:ascii="宋体" w:hAnsi="宋体"/>
                <w:b w:val="0"/>
                <w:bCs w:val="0"/>
                <w:color w:val="auto"/>
                <w:szCs w:val="21"/>
                <w:highlight w:val="none"/>
              </w:rPr>
            </w:pPr>
            <w:r>
              <w:rPr>
                <w:rFonts w:hint="eastAsia" w:ascii="宋体" w:hAnsi="宋体"/>
                <w:b w:val="0"/>
                <w:bCs w:val="0"/>
                <w:color w:val="auto"/>
                <w:szCs w:val="21"/>
                <w:highlight w:val="none"/>
              </w:rPr>
              <w:t>违约金额</w:t>
            </w:r>
          </w:p>
        </w:tc>
      </w:tr>
      <w:tr w14:paraId="0743AFB1">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37C1152">
            <w:pPr>
              <w:spacing w:line="360" w:lineRule="auto"/>
              <w:ind w:firstLine="420" w:firstLineChars="200"/>
              <w:jc w:val="center"/>
              <w:rPr>
                <w:rFonts w:ascii="宋体" w:hAnsi="宋体"/>
                <w:b w:val="0"/>
                <w:bCs w:val="0"/>
                <w:color w:val="auto"/>
                <w:szCs w:val="21"/>
                <w:highlight w:val="none"/>
              </w:rPr>
            </w:pPr>
            <w:r>
              <w:rPr>
                <w:rFonts w:hint="eastAsia" w:ascii="宋体" w:hAnsi="宋体"/>
                <w:b w:val="0"/>
                <w:bCs w:val="0"/>
                <w:color w:val="auto"/>
                <w:szCs w:val="21"/>
                <w:highlight w:val="none"/>
              </w:rPr>
              <w:t>较大事故</w:t>
            </w:r>
          </w:p>
        </w:tc>
        <w:tc>
          <w:tcPr>
            <w:tcW w:w="3765" w:type="dxa"/>
            <w:tcBorders>
              <w:top w:val="single" w:color="auto" w:sz="8" w:space="0"/>
              <w:left w:val="nil"/>
              <w:bottom w:val="single" w:color="auto" w:sz="8" w:space="0"/>
              <w:right w:val="single" w:color="auto" w:sz="8" w:space="0"/>
            </w:tcBorders>
            <w:noWrap w:val="0"/>
            <w:vAlign w:val="center"/>
          </w:tcPr>
          <w:p w14:paraId="197EE642">
            <w:pPr>
              <w:spacing w:line="360" w:lineRule="auto"/>
              <w:ind w:firstLine="420" w:firstLineChars="200"/>
              <w:jc w:val="center"/>
              <w:rPr>
                <w:rFonts w:ascii="宋体" w:hAnsi="宋体"/>
                <w:b w:val="0"/>
                <w:bCs w:val="0"/>
                <w:color w:val="auto"/>
                <w:szCs w:val="21"/>
                <w:highlight w:val="none"/>
              </w:rPr>
            </w:pPr>
            <w:r>
              <w:rPr>
                <w:rFonts w:hint="eastAsia" w:ascii="宋体" w:hAnsi="宋体"/>
                <w:b w:val="0"/>
                <w:bCs w:val="0"/>
                <w:color w:val="auto"/>
                <w:kern w:val="0"/>
                <w:szCs w:val="21"/>
                <w:highlight w:val="none"/>
              </w:rPr>
              <w:t>签约合同价</w:t>
            </w:r>
            <w:r>
              <w:rPr>
                <w:rFonts w:hint="eastAsia" w:ascii="宋体" w:hAnsi="宋体"/>
                <w:b w:val="0"/>
                <w:bCs w:val="0"/>
                <w:color w:val="auto"/>
                <w:szCs w:val="21"/>
                <w:highlight w:val="none"/>
              </w:rPr>
              <w:t>的0.5‰</w:t>
            </w:r>
          </w:p>
        </w:tc>
      </w:tr>
      <w:tr w14:paraId="18563213">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F76281C">
            <w:pPr>
              <w:spacing w:line="360" w:lineRule="auto"/>
              <w:ind w:firstLine="420" w:firstLineChars="200"/>
              <w:jc w:val="center"/>
              <w:rPr>
                <w:rFonts w:ascii="宋体" w:hAnsi="宋体"/>
                <w:b w:val="0"/>
                <w:bCs w:val="0"/>
                <w:color w:val="auto"/>
                <w:szCs w:val="21"/>
                <w:highlight w:val="none"/>
              </w:rPr>
            </w:pPr>
            <w:r>
              <w:rPr>
                <w:rFonts w:hint="eastAsia" w:ascii="宋体" w:hAnsi="宋体"/>
                <w:b w:val="0"/>
                <w:bCs w:val="0"/>
                <w:color w:val="auto"/>
                <w:szCs w:val="21"/>
                <w:highlight w:val="none"/>
              </w:rPr>
              <w:t>重大事故</w:t>
            </w:r>
          </w:p>
        </w:tc>
        <w:tc>
          <w:tcPr>
            <w:tcW w:w="3765" w:type="dxa"/>
            <w:tcBorders>
              <w:top w:val="single" w:color="auto" w:sz="8" w:space="0"/>
              <w:left w:val="nil"/>
              <w:bottom w:val="single" w:color="auto" w:sz="8" w:space="0"/>
              <w:right w:val="single" w:color="auto" w:sz="8" w:space="0"/>
            </w:tcBorders>
            <w:noWrap w:val="0"/>
            <w:vAlign w:val="center"/>
          </w:tcPr>
          <w:p w14:paraId="31C76A1E">
            <w:pPr>
              <w:spacing w:line="360" w:lineRule="auto"/>
              <w:ind w:firstLine="420" w:firstLineChars="200"/>
              <w:jc w:val="center"/>
              <w:rPr>
                <w:rFonts w:ascii="宋体" w:hAnsi="宋体"/>
                <w:b w:val="0"/>
                <w:bCs w:val="0"/>
                <w:color w:val="auto"/>
                <w:szCs w:val="21"/>
                <w:highlight w:val="none"/>
              </w:rPr>
            </w:pPr>
            <w:r>
              <w:rPr>
                <w:rFonts w:hint="eastAsia" w:ascii="宋体" w:hAnsi="宋体"/>
                <w:b w:val="0"/>
                <w:bCs w:val="0"/>
                <w:color w:val="auto"/>
                <w:szCs w:val="21"/>
                <w:highlight w:val="none"/>
              </w:rPr>
              <w:t>签约合同价的2‰</w:t>
            </w:r>
          </w:p>
        </w:tc>
      </w:tr>
      <w:tr w14:paraId="61BE79EB">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8C87608">
            <w:pPr>
              <w:spacing w:line="360" w:lineRule="auto"/>
              <w:ind w:firstLine="420" w:firstLineChars="200"/>
              <w:jc w:val="center"/>
              <w:rPr>
                <w:rFonts w:ascii="宋体" w:hAnsi="宋体"/>
                <w:b w:val="0"/>
                <w:bCs w:val="0"/>
                <w:color w:val="auto"/>
                <w:szCs w:val="21"/>
                <w:highlight w:val="none"/>
              </w:rPr>
            </w:pPr>
            <w:r>
              <w:rPr>
                <w:rFonts w:hint="eastAsia" w:ascii="宋体" w:hAnsi="宋体"/>
                <w:b w:val="0"/>
                <w:bCs w:val="0"/>
                <w:color w:val="auto"/>
                <w:szCs w:val="21"/>
                <w:highlight w:val="none"/>
              </w:rPr>
              <w:t>特别重大事故</w:t>
            </w:r>
          </w:p>
        </w:tc>
        <w:tc>
          <w:tcPr>
            <w:tcW w:w="3765" w:type="dxa"/>
            <w:tcBorders>
              <w:top w:val="single" w:color="auto" w:sz="8" w:space="0"/>
              <w:left w:val="nil"/>
              <w:bottom w:val="single" w:color="auto" w:sz="8" w:space="0"/>
              <w:right w:val="single" w:color="auto" w:sz="8" w:space="0"/>
            </w:tcBorders>
            <w:noWrap w:val="0"/>
            <w:vAlign w:val="center"/>
          </w:tcPr>
          <w:p w14:paraId="2729FC8C">
            <w:pPr>
              <w:spacing w:line="360" w:lineRule="auto"/>
              <w:ind w:firstLine="420" w:firstLineChars="200"/>
              <w:jc w:val="center"/>
              <w:rPr>
                <w:rFonts w:ascii="宋体" w:hAnsi="宋体"/>
                <w:b w:val="0"/>
                <w:bCs w:val="0"/>
                <w:color w:val="auto"/>
                <w:szCs w:val="21"/>
                <w:highlight w:val="none"/>
              </w:rPr>
            </w:pPr>
            <w:r>
              <w:rPr>
                <w:rFonts w:hint="eastAsia" w:ascii="宋体" w:hAnsi="宋体"/>
                <w:b w:val="0"/>
                <w:bCs w:val="0"/>
                <w:color w:val="auto"/>
                <w:szCs w:val="21"/>
                <w:highlight w:val="none"/>
              </w:rPr>
              <w:t>签约合同价的4‰</w:t>
            </w:r>
          </w:p>
        </w:tc>
      </w:tr>
    </w:tbl>
    <w:p w14:paraId="6A979B66">
      <w:pPr>
        <w:spacing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（1）较大事故，是指造成3人以上10人以下死亡，或者10人以上50人以下重伤，或者1000万元以上5000万元以下直接经济损失的事故；</w:t>
      </w:r>
    </w:p>
    <w:p w14:paraId="680B5F58">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ascii="宋体" w:hAnsi="宋体"/>
          <w:b w:val="0"/>
          <w:bCs w:val="0"/>
          <w:color w:val="auto"/>
          <w:szCs w:val="21"/>
          <w:highlight w:val="none"/>
        </w:rPr>
      </w:pPr>
      <w:r>
        <w:rPr>
          <w:rFonts w:hint="eastAsia" w:ascii="宋体" w:hAnsi="宋体"/>
          <w:b w:val="0"/>
          <w:bCs w:val="0"/>
          <w:color w:val="auto"/>
          <w:szCs w:val="21"/>
          <w:highlight w:val="none"/>
        </w:rPr>
        <w:t>（2）重大事故，是指造成10人以上30人以下死亡，或者50人以上100人以下重伤，或者5000万元以上1亿元以下直接经济损失的事故；</w:t>
      </w:r>
    </w:p>
    <w:p w14:paraId="542487C9">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ascii="宋体" w:hAnsi="宋体"/>
          <w:b w:val="0"/>
          <w:bCs w:val="0"/>
          <w:color w:val="auto"/>
          <w:szCs w:val="21"/>
          <w:highlight w:val="none"/>
        </w:rPr>
      </w:pPr>
      <w:r>
        <w:rPr>
          <w:rFonts w:hint="eastAsia" w:ascii="宋体" w:hAnsi="宋体"/>
          <w:b w:val="0"/>
          <w:bCs w:val="0"/>
          <w:color w:val="auto"/>
          <w:szCs w:val="21"/>
          <w:highlight w:val="none"/>
        </w:rPr>
        <w:t>（3）特别重大事故，是指造成30人以上死亡，或者100人以上重伤（包括急性工业中毒，下同），或者1亿元以上直接经济损失的事故；</w:t>
      </w:r>
    </w:p>
    <w:p w14:paraId="73EA1E07">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ascii="宋体" w:hAnsi="宋体"/>
          <w:b w:val="0"/>
          <w:bCs w:val="0"/>
          <w:color w:val="auto"/>
          <w:szCs w:val="21"/>
          <w:highlight w:val="none"/>
        </w:rPr>
      </w:pPr>
      <w:r>
        <w:rPr>
          <w:rFonts w:hint="eastAsia" w:ascii="宋体" w:hAnsi="宋体"/>
          <w:b w:val="0"/>
          <w:bCs w:val="0"/>
          <w:color w:val="auto"/>
          <w:szCs w:val="21"/>
          <w:highlight w:val="none"/>
        </w:rPr>
        <w:t>（4）所称的“以上”包括本数，所称的“以下”不包括本数。</w:t>
      </w:r>
    </w:p>
    <w:p w14:paraId="5C1A5252">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ascii="宋体" w:hAnsi="宋体"/>
          <w:b w:val="0"/>
          <w:bCs w:val="0"/>
          <w:color w:val="auto"/>
          <w:szCs w:val="21"/>
          <w:highlight w:val="none"/>
        </w:rPr>
      </w:pPr>
      <w:r>
        <w:rPr>
          <w:rFonts w:hint="eastAsia" w:ascii="宋体" w:hAnsi="宋体"/>
          <w:b w:val="0"/>
          <w:bCs w:val="0"/>
          <w:color w:val="auto"/>
          <w:szCs w:val="21"/>
          <w:highlight w:val="none"/>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42145C57">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ascii="宋体" w:hAnsi="宋体"/>
          <w:b w:val="0"/>
          <w:bCs w:val="0"/>
          <w:color w:val="auto"/>
          <w:szCs w:val="21"/>
          <w:highlight w:val="none"/>
        </w:rPr>
      </w:pPr>
      <w:bookmarkStart w:id="443" w:name="_Toc532375717"/>
      <w:bookmarkStart w:id="444" w:name="_Toc247431442"/>
      <w:bookmarkStart w:id="445" w:name="_Toc239510308"/>
      <w:bookmarkStart w:id="446" w:name="_Toc247418282"/>
      <w:r>
        <w:rPr>
          <w:rFonts w:hint="eastAsia" w:ascii="宋体" w:hAnsi="宋体"/>
          <w:b w:val="0"/>
          <w:bCs w:val="0"/>
          <w:color w:val="auto"/>
          <w:szCs w:val="21"/>
          <w:highlight w:val="none"/>
        </w:rPr>
        <w:t>十七、协议条款的修订</w:t>
      </w:r>
      <w:bookmarkEnd w:id="443"/>
      <w:bookmarkEnd w:id="444"/>
      <w:bookmarkEnd w:id="445"/>
      <w:bookmarkEnd w:id="446"/>
    </w:p>
    <w:p w14:paraId="3135DA59">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ascii="宋体" w:hAnsi="宋体"/>
          <w:b w:val="0"/>
          <w:bCs w:val="0"/>
          <w:color w:val="auto"/>
          <w:szCs w:val="21"/>
          <w:highlight w:val="none"/>
        </w:rPr>
      </w:pPr>
      <w:r>
        <w:rPr>
          <w:rFonts w:hint="eastAsia" w:ascii="宋体" w:hAnsi="宋体"/>
          <w:b w:val="0"/>
          <w:bCs w:val="0"/>
          <w:color w:val="auto"/>
          <w:szCs w:val="21"/>
          <w:highlight w:val="none"/>
        </w:rPr>
        <w:t>在项目实施过程中，经双方友好协商，本协议的有关条款也可做出相应的修改。</w:t>
      </w:r>
    </w:p>
    <w:p w14:paraId="4EA9D53F">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ascii="宋体" w:hAnsi="宋体"/>
          <w:b w:val="0"/>
          <w:bCs w:val="0"/>
          <w:color w:val="auto"/>
          <w:szCs w:val="21"/>
          <w:highlight w:val="none"/>
        </w:rPr>
      </w:pPr>
      <w:r>
        <w:rPr>
          <w:rFonts w:hint="eastAsia" w:ascii="宋体" w:hAnsi="宋体"/>
          <w:b w:val="0"/>
          <w:bCs w:val="0"/>
          <w:color w:val="auto"/>
          <w:szCs w:val="21"/>
          <w:highlight w:val="none"/>
        </w:rPr>
        <w:t>本工程安全管理协议，由发包人、承包人双方在施工承包合同签订后7天内共同签署，作为施工合同附件。</w:t>
      </w:r>
    </w:p>
    <w:p w14:paraId="32295126">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b w:val="0"/>
          <w:bCs w:val="0"/>
          <w:color w:val="auto"/>
          <w:szCs w:val="21"/>
          <w:highlight w:val="none"/>
        </w:rPr>
      </w:pPr>
    </w:p>
    <w:p w14:paraId="78D74FAB">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cs="宋体"/>
          <w:b w:val="0"/>
          <w:bCs w:val="0"/>
          <w:color w:val="auto"/>
          <w:szCs w:val="21"/>
          <w:highlight w:val="none"/>
          <w:u w:val="single"/>
        </w:rPr>
      </w:pPr>
      <w:r>
        <w:rPr>
          <w:rFonts w:hint="eastAsia" w:ascii="宋体" w:hAnsi="宋体"/>
          <w:b w:val="0"/>
          <w:bCs w:val="0"/>
          <w:color w:val="auto"/>
          <w:szCs w:val="21"/>
          <w:highlight w:val="none"/>
        </w:rPr>
        <w:t>发  包  人（</w:t>
      </w:r>
      <w:r>
        <w:rPr>
          <w:rFonts w:hint="eastAsia" w:ascii="宋体" w:hAnsi="宋体"/>
          <w:b w:val="0"/>
          <w:bCs w:val="0"/>
          <w:color w:val="auto"/>
          <w:szCs w:val="21"/>
          <w:highlight w:val="none"/>
          <w:lang w:val="en-US" w:eastAsia="zh-CN"/>
        </w:rPr>
        <w:t>单位</w:t>
      </w:r>
      <w:r>
        <w:rPr>
          <w:rFonts w:hint="eastAsia" w:ascii="宋体" w:hAnsi="宋体"/>
          <w:b w:val="0"/>
          <w:bCs w:val="0"/>
          <w:color w:val="auto"/>
          <w:szCs w:val="21"/>
          <w:highlight w:val="none"/>
        </w:rPr>
        <w:t>公章）：</w:t>
      </w:r>
      <w:r>
        <w:rPr>
          <w:rFonts w:hint="eastAsia" w:ascii="宋体" w:hAnsi="宋体" w:cs="宋体"/>
          <w:b w:val="0"/>
          <w:bCs w:val="0"/>
          <w:color w:val="auto"/>
          <w:szCs w:val="21"/>
          <w:highlight w:val="none"/>
          <w:u w:val="single"/>
        </w:rPr>
        <w:t xml:space="preserve">                   </w:t>
      </w:r>
      <w:r>
        <w:rPr>
          <w:rFonts w:hint="eastAsia" w:ascii="宋体" w:hAnsi="宋体" w:cs="宋体"/>
          <w:b w:val="0"/>
          <w:bCs w:val="0"/>
          <w:color w:val="auto"/>
          <w:szCs w:val="21"/>
          <w:highlight w:val="none"/>
          <w:u w:val="single"/>
          <w:lang w:val="en-US" w:eastAsia="zh-CN"/>
        </w:rPr>
        <w:t xml:space="preserve"> </w:t>
      </w:r>
      <w:r>
        <w:rPr>
          <w:rFonts w:hint="eastAsia" w:ascii="宋体" w:hAnsi="宋体"/>
          <w:b w:val="0"/>
          <w:bCs w:val="0"/>
          <w:color w:val="auto"/>
          <w:szCs w:val="21"/>
          <w:highlight w:val="none"/>
        </w:rPr>
        <w:t>承  包  人（</w:t>
      </w:r>
      <w:r>
        <w:rPr>
          <w:rFonts w:hint="eastAsia" w:ascii="宋体" w:hAnsi="宋体"/>
          <w:b w:val="0"/>
          <w:bCs w:val="0"/>
          <w:color w:val="auto"/>
          <w:szCs w:val="21"/>
          <w:highlight w:val="none"/>
          <w:lang w:val="en-US" w:eastAsia="zh-CN"/>
        </w:rPr>
        <w:t>单位</w:t>
      </w:r>
      <w:r>
        <w:rPr>
          <w:rFonts w:hint="eastAsia" w:ascii="宋体" w:hAnsi="宋体"/>
          <w:b w:val="0"/>
          <w:bCs w:val="0"/>
          <w:color w:val="auto"/>
          <w:szCs w:val="21"/>
          <w:highlight w:val="none"/>
        </w:rPr>
        <w:t>公章）：</w:t>
      </w:r>
      <w:r>
        <w:rPr>
          <w:rFonts w:hint="eastAsia" w:ascii="宋体" w:hAnsi="宋体" w:cs="宋体"/>
          <w:b w:val="0"/>
          <w:bCs w:val="0"/>
          <w:color w:val="auto"/>
          <w:szCs w:val="21"/>
          <w:highlight w:val="none"/>
          <w:u w:val="single"/>
        </w:rPr>
        <w:t xml:space="preserve">                   </w:t>
      </w:r>
    </w:p>
    <w:p w14:paraId="6B6D4A61">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color w:val="auto"/>
          <w:highlight w:val="none"/>
        </w:rPr>
      </w:pPr>
    </w:p>
    <w:p w14:paraId="17BB6B27">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b w:val="0"/>
          <w:bCs w:val="0"/>
          <w:color w:val="auto"/>
          <w:szCs w:val="21"/>
          <w:highlight w:val="none"/>
        </w:rPr>
      </w:pPr>
      <w:r>
        <w:rPr>
          <w:rFonts w:hint="eastAsia" w:ascii="宋体" w:hAnsi="宋体"/>
          <w:b w:val="0"/>
          <w:bCs w:val="0"/>
          <w:color w:val="auto"/>
          <w:szCs w:val="21"/>
          <w:highlight w:val="none"/>
        </w:rPr>
        <w:t>法定代表人或其委托代理人：</w:t>
      </w:r>
      <w:r>
        <w:rPr>
          <w:rFonts w:hint="eastAsia" w:ascii="宋体" w:hAnsi="宋体" w:cs="宋体"/>
          <w:b w:val="0"/>
          <w:bCs w:val="0"/>
          <w:color w:val="auto"/>
          <w:szCs w:val="21"/>
          <w:highlight w:val="none"/>
          <w:u w:val="single"/>
          <w:lang w:val="en-US" w:eastAsia="zh-CN"/>
        </w:rPr>
        <w:t xml:space="preserve">                 </w:t>
      </w:r>
      <w:r>
        <w:rPr>
          <w:rFonts w:hint="eastAsia" w:ascii="宋体" w:hAnsi="宋体"/>
          <w:b w:val="0"/>
          <w:bCs w:val="0"/>
          <w:color w:val="auto"/>
          <w:szCs w:val="21"/>
          <w:highlight w:val="none"/>
        </w:rPr>
        <w:t>法定代表人或其委托代理人：</w:t>
      </w:r>
      <w:r>
        <w:rPr>
          <w:rFonts w:hint="eastAsia" w:ascii="宋体" w:hAnsi="宋体" w:cs="宋体"/>
          <w:b w:val="0"/>
          <w:bCs w:val="0"/>
          <w:color w:val="auto"/>
          <w:szCs w:val="21"/>
          <w:highlight w:val="none"/>
          <w:u w:val="single"/>
        </w:rPr>
        <w:t xml:space="preserve">                   </w:t>
      </w:r>
      <w:r>
        <w:rPr>
          <w:rFonts w:hint="eastAsia" w:ascii="宋体" w:hAnsi="宋体"/>
          <w:b w:val="0"/>
          <w:bCs w:val="0"/>
          <w:color w:val="auto"/>
          <w:szCs w:val="21"/>
          <w:highlight w:val="none"/>
        </w:rPr>
        <w:t xml:space="preserve"> </w:t>
      </w:r>
    </w:p>
    <w:p w14:paraId="5305EEED">
      <w:pPr>
        <w:keepNext w:val="0"/>
        <w:keepLines w:val="0"/>
        <w:pageBreakBefore w:val="0"/>
        <w:widowControl/>
        <w:kinsoku/>
        <w:wordWrap/>
        <w:overflowPunct/>
        <w:topLinePunct w:val="0"/>
        <w:autoSpaceDE/>
        <w:autoSpaceDN/>
        <w:bidi w:val="0"/>
        <w:adjustRightInd/>
        <w:snapToGrid/>
        <w:spacing w:line="360" w:lineRule="auto"/>
        <w:ind w:firstLine="1260" w:firstLineChars="600"/>
        <w:jc w:val="left"/>
        <w:textAlignment w:val="baseline"/>
        <w:rPr>
          <w:b w:val="0"/>
          <w:bCs w:val="0"/>
          <w:color w:val="auto"/>
          <w:highlight w:val="none"/>
        </w:rPr>
      </w:pPr>
      <w:r>
        <w:rPr>
          <w:rFonts w:hint="eastAsia" w:ascii="宋体" w:hAnsi="宋体"/>
          <w:b w:val="0"/>
          <w:bCs w:val="0"/>
          <w:color w:val="auto"/>
          <w:szCs w:val="21"/>
          <w:highlight w:val="none"/>
        </w:rPr>
        <w:t xml:space="preserve">（签名） </w:t>
      </w:r>
      <w:r>
        <w:rPr>
          <w:rFonts w:hint="eastAsia" w:ascii="宋体" w:hAnsi="宋体"/>
          <w:b w:val="0"/>
          <w:bCs w:val="0"/>
          <w:color w:val="auto"/>
          <w:szCs w:val="21"/>
          <w:highlight w:val="none"/>
          <w:lang w:val="en-US" w:eastAsia="zh-CN"/>
        </w:rPr>
        <w:t xml:space="preserve">                                    </w:t>
      </w:r>
      <w:r>
        <w:rPr>
          <w:rFonts w:hint="eastAsia" w:ascii="宋体" w:hAnsi="宋体"/>
          <w:b w:val="0"/>
          <w:bCs w:val="0"/>
          <w:color w:val="auto"/>
          <w:szCs w:val="21"/>
          <w:highlight w:val="none"/>
        </w:rPr>
        <w:t xml:space="preserve">（签名） </w:t>
      </w:r>
    </w:p>
    <w:p w14:paraId="2DF81A2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Wingdings 2">
    <w:altName w:val="Wingdings"/>
    <w:panose1 w:val="05020102010507070707"/>
    <w:charset w:val="02"/>
    <w:family w:val="swiss"/>
    <w:pitch w:val="default"/>
    <w:sig w:usb0="00000000" w:usb1="00000000" w:usb2="00000000" w:usb3="00000000" w:csb0="80000000" w:csb1="00000000"/>
  </w:font>
  <w:font w:name="MingLiU">
    <w:panose1 w:val="02020509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35E5"/>
    <w:multiLevelType w:val="singleLevel"/>
    <w:tmpl w:val="804E35E5"/>
    <w:lvl w:ilvl="0" w:tentative="0">
      <w:start w:val="1"/>
      <w:numFmt w:val="decimal"/>
      <w:suff w:val="nothing"/>
      <w:lvlText w:val="（%1）"/>
      <w:lvlJc w:val="left"/>
    </w:lvl>
  </w:abstractNum>
  <w:abstractNum w:abstractNumId="1">
    <w:nsid w:val="B09E2471"/>
    <w:multiLevelType w:val="singleLevel"/>
    <w:tmpl w:val="B09E2471"/>
    <w:lvl w:ilvl="0" w:tentative="0">
      <w:start w:val="1"/>
      <w:numFmt w:val="decimal"/>
      <w:suff w:val="nothing"/>
      <w:lvlText w:val="（%1）"/>
      <w:lvlJc w:val="left"/>
    </w:lvl>
  </w:abstractNum>
  <w:abstractNum w:abstractNumId="2">
    <w:nsid w:val="0D9FCA22"/>
    <w:multiLevelType w:val="singleLevel"/>
    <w:tmpl w:val="0D9FCA22"/>
    <w:lvl w:ilvl="0" w:tentative="0">
      <w:start w:val="1"/>
      <w:numFmt w:val="decimal"/>
      <w:suff w:val="nothing"/>
      <w:lvlText w:val="（%1）"/>
      <w:lvlJc w:val="left"/>
    </w:lvl>
  </w:abstractNum>
  <w:abstractNum w:abstractNumId="3">
    <w:nsid w:val="5FED4159"/>
    <w:multiLevelType w:val="singleLevel"/>
    <w:tmpl w:val="5FED4159"/>
    <w:lvl w:ilvl="0" w:tentative="0">
      <w:start w:val="2"/>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426AD"/>
    <w:rsid w:val="4C542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黑体"/>
      <w:kern w:val="2"/>
      <w:sz w:val="21"/>
      <w:szCs w:val="24"/>
      <w:lang w:val="en-US" w:eastAsia="zh-CN" w:bidi="ar-SA"/>
    </w:rPr>
  </w:style>
  <w:style w:type="paragraph" w:styleId="3">
    <w:name w:val="heading 1"/>
    <w:basedOn w:val="1"/>
    <w:next w:val="1"/>
    <w:link w:val="11"/>
    <w:qFormat/>
    <w:uiPriority w:val="0"/>
    <w:pPr>
      <w:keepNext/>
      <w:keepLines/>
      <w:spacing w:before="340" w:after="330" w:line="578" w:lineRule="auto"/>
      <w:outlineLvl w:val="0"/>
    </w:pPr>
    <w:rPr>
      <w:b/>
      <w:bCs/>
      <w:kern w:val="44"/>
      <w:sz w:val="44"/>
      <w:szCs w:val="44"/>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Body Text 2"/>
    <w:basedOn w:val="1"/>
    <w:qFormat/>
    <w:uiPriority w:val="0"/>
    <w:rPr>
      <w:i/>
      <w:iCs/>
      <w:sz w:val="26"/>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Body Text First Indent"/>
    <w:basedOn w:val="4"/>
    <w:qFormat/>
    <w:uiPriority w:val="0"/>
    <w:pPr>
      <w:spacing w:after="120"/>
      <w:ind w:firstLine="420" w:firstLineChars="100"/>
    </w:pPr>
    <w:rPr>
      <w:sz w:val="21"/>
    </w:rPr>
  </w:style>
  <w:style w:type="character" w:customStyle="1" w:styleId="10">
    <w:name w:val="NormalCharacter"/>
    <w:semiHidden/>
    <w:qFormat/>
    <w:uiPriority w:val="0"/>
  </w:style>
  <w:style w:type="character" w:customStyle="1" w:styleId="11">
    <w:name w:val="标题 1 字符"/>
    <w:link w:val="3"/>
    <w:qFormat/>
    <w:uiPriority w:val="0"/>
    <w:rPr>
      <w:b/>
      <w:bCs/>
      <w:kern w:val="44"/>
      <w:sz w:val="44"/>
      <w:szCs w:val="44"/>
    </w:rPr>
  </w:style>
  <w:style w:type="paragraph" w:customStyle="1" w:styleId="12">
    <w:name w:val="列出段落1"/>
    <w:basedOn w:val="1"/>
    <w:qFormat/>
    <w:uiPriority w:val="99"/>
    <w:pPr>
      <w:ind w:firstLine="420" w:firstLineChars="200"/>
    </w:pPr>
    <w:rPr>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74</Pages>
  <Words>0</Words>
  <Characters>0</Characters>
  <Lines>0</Lines>
  <Paragraphs>0</Paragraphs>
  <TotalTime>3</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2025-06-18T03:08:00Z</dcterms:created>
  <dc:creator>重庆市建功盛汇工程项目管理有限公司</dc:creator>
  <cp:lastModifiedBy>重庆市建功盛汇工程项目管理有限公司</cp:lastModifiedBy>
  <dcterms:modified xsi:type="dcterms:W3CDTF">2025-06-18T03:11:54Z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F80E977CD3FE45ACB9F2BCEE466A3336_11</vt:lpwstr>
  </property>
  <property fmtid="{D5CDD505-2E9C-101B-9397-08002B2CF9AE}" pid="4" name="KSOTemplateDocerSaveRecord">
    <vt:lpwstr>eyJoZGlkIjoiNjEwNmMyMjRhOWQ3ZmZmZjc3ODNhNTFlNjQxODBkMGUifQ==</vt:lpwstr>
  </property>
</Properties>
</file>