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3502">
      <w:pPr>
        <w:pStyle w:val="2"/>
        <w:jc w:val="center"/>
        <w:rPr>
          <w:rFonts w:hint="eastAsia" w:ascii="宋体" w:hAnsi="宋体" w:cs="宋体"/>
          <w:b/>
          <w:bCs/>
          <w:color w:val="000000" w:themeColor="text1"/>
          <w:sz w:val="44"/>
          <w:szCs w:val="44"/>
          <w:highlight w:val="none"/>
          <w:lang w:val="en-US" w:eastAsia="zh-CN"/>
          <w14:textFill>
            <w14:solidFill>
              <w14:schemeClr w14:val="tx1"/>
            </w14:solidFill>
          </w14:textFill>
        </w:rPr>
      </w:pPr>
      <w:bookmarkStart w:id="0" w:name="_Toc287620665"/>
    </w:p>
    <w:p w14:paraId="3A7EAF81">
      <w:pPr>
        <w:pStyle w:val="2"/>
        <w:jc w:val="center"/>
        <w:rPr>
          <w:rFonts w:hint="eastAsia" w:ascii="宋体" w:hAnsi="宋体" w:cs="宋体"/>
          <w:b/>
          <w:bCs/>
          <w:color w:val="000000" w:themeColor="text1"/>
          <w:sz w:val="44"/>
          <w:szCs w:val="44"/>
          <w:highlight w:val="none"/>
          <w:lang w:val="en-US" w:eastAsia="zh-CN"/>
          <w14:textFill>
            <w14:solidFill>
              <w14:schemeClr w14:val="tx1"/>
            </w14:solidFill>
          </w14:textFill>
        </w:rPr>
      </w:pPr>
    </w:p>
    <w:p w14:paraId="22AD0FDF">
      <w:pPr>
        <w:pStyle w:val="2"/>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44"/>
          <w:szCs w:val="44"/>
          <w:highlight w:val="none"/>
          <w:lang w:val="en-US" w:eastAsia="zh-CN"/>
          <w14:textFill>
            <w14:solidFill>
              <w14:schemeClr w14:val="tx1"/>
            </w14:solidFill>
          </w14:textFill>
        </w:rPr>
        <w:t>兴隆镇金花村5社烂田湾水源地整治工程</w:t>
      </w:r>
    </w:p>
    <w:p w14:paraId="26D5C956">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3FED167F">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5A9FFA0A">
      <w:pPr>
        <w:rPr>
          <w:rFonts w:ascii="宋体" w:hAnsi="宋体" w:cs="宋体"/>
          <w:color w:val="000000" w:themeColor="text1"/>
          <w:highlight w:val="none"/>
          <w14:textFill>
            <w14:solidFill>
              <w14:schemeClr w14:val="tx1"/>
            </w14:solidFill>
          </w14:textFill>
        </w:rPr>
      </w:pPr>
    </w:p>
    <w:p w14:paraId="54499335">
      <w:pPr>
        <w:rPr>
          <w:rFonts w:ascii="宋体" w:hAnsi="宋体" w:cs="宋体"/>
          <w:color w:val="000000" w:themeColor="text1"/>
          <w:highlight w:val="none"/>
          <w14:textFill>
            <w14:solidFill>
              <w14:schemeClr w14:val="tx1"/>
            </w14:solidFill>
          </w14:textFill>
        </w:rPr>
      </w:pPr>
    </w:p>
    <w:p w14:paraId="1C450BA5">
      <w:pPr>
        <w:rPr>
          <w:color w:val="000000" w:themeColor="text1"/>
          <w:highlight w:val="none"/>
          <w14:textFill>
            <w14:solidFill>
              <w14:schemeClr w14:val="tx1"/>
            </w14:solidFill>
          </w14:textFill>
        </w:rPr>
      </w:pPr>
    </w:p>
    <w:p w14:paraId="74AF787E">
      <w:pPr>
        <w:pStyle w:val="2"/>
        <w:rPr>
          <w:color w:val="000000" w:themeColor="text1"/>
          <w:highlight w:val="none"/>
          <w14:textFill>
            <w14:solidFill>
              <w14:schemeClr w14:val="tx1"/>
            </w14:solidFill>
          </w14:textFill>
        </w:rPr>
      </w:pPr>
    </w:p>
    <w:p w14:paraId="0F3B46C5">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5F0894E0">
      <w:pPr>
        <w:bidi w:val="0"/>
        <w:jc w:val="center"/>
        <w:rPr>
          <w:rFonts w:ascii="宋体" w:hAnsi="宋体" w:cs="宋体"/>
          <w:b/>
          <w:bCs/>
          <w:color w:val="000000" w:themeColor="text1"/>
          <w:szCs w:val="52"/>
          <w:highlight w:val="none"/>
          <w14:textFill>
            <w14:solidFill>
              <w14:schemeClr w14:val="tx1"/>
            </w14:solidFill>
          </w14:textFill>
        </w:rPr>
      </w:pPr>
      <w:bookmarkStart w:id="1" w:name="_Toc32470"/>
      <w:bookmarkStart w:id="2" w:name="_Toc6790"/>
      <w:r>
        <w:rPr>
          <w:rFonts w:hint="eastAsia"/>
          <w:b/>
          <w:bCs/>
          <w:color w:val="000000" w:themeColor="text1"/>
          <w:sz w:val="48"/>
          <w:szCs w:val="48"/>
          <w:highlight w:val="none"/>
          <w14:textFill>
            <w14:solidFill>
              <w14:schemeClr w14:val="tx1"/>
            </w14:solidFill>
          </w14:textFill>
        </w:rPr>
        <w:t>竞争性比选文件</w:t>
      </w:r>
      <w:bookmarkEnd w:id="1"/>
      <w:bookmarkEnd w:id="2"/>
    </w:p>
    <w:p w14:paraId="529D1F57">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50AD5276">
      <w:pPr>
        <w:pStyle w:val="2"/>
        <w:rPr>
          <w:rFonts w:ascii="宋体" w:hAnsi="宋体" w:cs="宋体"/>
          <w:color w:val="000000" w:themeColor="text1"/>
          <w:highlight w:val="none"/>
          <w14:textFill>
            <w14:solidFill>
              <w14:schemeClr w14:val="tx1"/>
            </w14:solidFill>
          </w14:textFill>
        </w:rPr>
      </w:pPr>
    </w:p>
    <w:p w14:paraId="70C5EF32">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20C92425">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4BF32CBE">
      <w:pPr>
        <w:rPr>
          <w:rFonts w:ascii="宋体" w:hAnsi="宋体" w:cs="宋体"/>
          <w:color w:val="000000" w:themeColor="text1"/>
          <w:highlight w:val="none"/>
          <w14:textFill>
            <w14:solidFill>
              <w14:schemeClr w14:val="tx1"/>
            </w14:solidFill>
          </w14:textFill>
        </w:rPr>
      </w:pPr>
    </w:p>
    <w:p w14:paraId="59A8E625">
      <w:pPr>
        <w:pStyle w:val="2"/>
        <w:rPr>
          <w:rFonts w:ascii="宋体" w:hAnsi="宋体" w:cs="宋体"/>
          <w:color w:val="000000" w:themeColor="text1"/>
          <w:highlight w:val="none"/>
          <w14:textFill>
            <w14:solidFill>
              <w14:schemeClr w14:val="tx1"/>
            </w14:solidFill>
          </w14:textFill>
        </w:rPr>
      </w:pPr>
    </w:p>
    <w:p w14:paraId="25B086B2">
      <w:pPr>
        <w:pStyle w:val="2"/>
        <w:rPr>
          <w:rFonts w:ascii="宋体" w:hAnsi="宋体" w:cs="宋体"/>
          <w:color w:val="000000" w:themeColor="text1"/>
          <w:highlight w:val="none"/>
          <w14:textFill>
            <w14:solidFill>
              <w14:schemeClr w14:val="tx1"/>
            </w14:solidFill>
          </w14:textFill>
        </w:rPr>
      </w:pPr>
    </w:p>
    <w:p w14:paraId="2560961F">
      <w:pPr>
        <w:rPr>
          <w:rFonts w:ascii="宋体" w:hAnsi="宋体" w:cs="宋体"/>
          <w:color w:val="000000" w:themeColor="text1"/>
          <w:highlight w:val="none"/>
          <w14:textFill>
            <w14:solidFill>
              <w14:schemeClr w14:val="tx1"/>
            </w14:solidFill>
          </w14:textFill>
        </w:rPr>
      </w:pPr>
    </w:p>
    <w:p w14:paraId="544452F0">
      <w:pPr>
        <w:pStyle w:val="2"/>
        <w:rPr>
          <w:rFonts w:ascii="宋体" w:hAnsi="宋体" w:cs="宋体"/>
          <w:color w:val="000000" w:themeColor="text1"/>
          <w:highlight w:val="none"/>
          <w14:textFill>
            <w14:solidFill>
              <w14:schemeClr w14:val="tx1"/>
            </w14:solidFill>
          </w14:textFill>
        </w:rPr>
      </w:pPr>
    </w:p>
    <w:p w14:paraId="4672AFF0">
      <w:pPr>
        <w:rPr>
          <w:color w:val="000000" w:themeColor="text1"/>
          <w:highlight w:val="none"/>
          <w14:textFill>
            <w14:solidFill>
              <w14:schemeClr w14:val="tx1"/>
            </w14:solidFill>
          </w14:textFill>
        </w:rPr>
      </w:pPr>
    </w:p>
    <w:p w14:paraId="3E7894DF">
      <w:pPr>
        <w:pStyle w:val="2"/>
        <w:rPr>
          <w:color w:val="000000" w:themeColor="text1"/>
          <w:highlight w:val="none"/>
          <w14:textFill>
            <w14:solidFill>
              <w14:schemeClr w14:val="tx1"/>
            </w14:solidFill>
          </w14:textFill>
        </w:rPr>
      </w:pPr>
    </w:p>
    <w:p w14:paraId="18235969">
      <w:pPr>
        <w:rPr>
          <w:color w:val="000000" w:themeColor="text1"/>
          <w:highlight w:val="none"/>
          <w14:textFill>
            <w14:solidFill>
              <w14:schemeClr w14:val="tx1"/>
            </w14:solidFill>
          </w14:textFill>
        </w:rPr>
      </w:pPr>
    </w:p>
    <w:p w14:paraId="2A244169">
      <w:pPr>
        <w:pStyle w:val="2"/>
        <w:rPr>
          <w:color w:val="000000" w:themeColor="text1"/>
          <w:highlight w:val="none"/>
          <w14:textFill>
            <w14:solidFill>
              <w14:schemeClr w14:val="tx1"/>
            </w14:solidFill>
          </w14:textFill>
        </w:rPr>
      </w:pPr>
    </w:p>
    <w:p w14:paraId="041AC52E">
      <w:pPr>
        <w:rPr>
          <w:color w:val="000000" w:themeColor="text1"/>
          <w:highlight w:val="none"/>
          <w14:textFill>
            <w14:solidFill>
              <w14:schemeClr w14:val="tx1"/>
            </w14:solidFill>
          </w14:textFill>
        </w:rPr>
      </w:pPr>
    </w:p>
    <w:p w14:paraId="2BE4EE99">
      <w:pPr>
        <w:bidi w:val="0"/>
        <w:ind w:firstLine="602" w:firstLineChars="200"/>
        <w:jc w:val="both"/>
        <w:rPr>
          <w:b/>
          <w:bCs/>
          <w:color w:val="000000" w:themeColor="text1"/>
          <w:sz w:val="30"/>
          <w:szCs w:val="30"/>
          <w:highlight w:val="none"/>
          <w14:textFill>
            <w14:solidFill>
              <w14:schemeClr w14:val="tx1"/>
            </w14:solidFill>
          </w14:textFill>
        </w:rPr>
      </w:pPr>
      <w:bookmarkStart w:id="3" w:name="_Toc31427"/>
      <w:bookmarkStart w:id="4" w:name="_Toc17995"/>
      <w:r>
        <w:rPr>
          <w:rFonts w:hint="eastAsia"/>
          <w:b/>
          <w:bCs/>
          <w:color w:val="000000" w:themeColor="text1"/>
          <w:sz w:val="30"/>
          <w:szCs w:val="30"/>
          <w:highlight w:val="none"/>
          <w14:textFill>
            <w14:solidFill>
              <w14:schemeClr w14:val="tx1"/>
            </w14:solidFill>
          </w14:textFill>
        </w:rPr>
        <w:t>比 选 人：</w:t>
      </w:r>
      <w:r>
        <w:rPr>
          <w:rFonts w:hint="eastAsia"/>
          <w:b/>
          <w:bCs/>
          <w:color w:val="000000" w:themeColor="text1"/>
          <w:sz w:val="30"/>
          <w:szCs w:val="30"/>
          <w:highlight w:val="none"/>
          <w:lang w:eastAsia="zh-CN"/>
          <w14:textFill>
            <w14:solidFill>
              <w14:schemeClr w14:val="tx1"/>
            </w14:solidFill>
          </w14:textFill>
        </w:rPr>
        <w:t>重庆市南川区兴隆镇人民政府</w:t>
      </w:r>
      <w:r>
        <w:rPr>
          <w:rFonts w:hint="eastAsia"/>
          <w:b/>
          <w:bCs/>
          <w:color w:val="000000" w:themeColor="text1"/>
          <w:sz w:val="30"/>
          <w:szCs w:val="30"/>
          <w:highlight w:val="none"/>
          <w14:textFill>
            <w14:solidFill>
              <w14:schemeClr w14:val="tx1"/>
            </w14:solidFill>
          </w14:textFill>
        </w:rPr>
        <w:t>（盖单位法人章）</w:t>
      </w:r>
      <w:bookmarkEnd w:id="3"/>
      <w:bookmarkEnd w:id="4"/>
    </w:p>
    <w:p w14:paraId="24F07FDF">
      <w:pPr>
        <w:bidi w:val="0"/>
        <w:jc w:val="both"/>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比选代理机构</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：重庆市建功盛汇工程项目管理有限公司</w:t>
      </w:r>
      <w:r>
        <w:rPr>
          <w:rFonts w:hint="eastAsia"/>
          <w:b/>
          <w:bCs/>
          <w:color w:val="000000" w:themeColor="text1"/>
          <w:sz w:val="30"/>
          <w:szCs w:val="30"/>
          <w:highlight w:val="none"/>
          <w14:textFill>
            <w14:solidFill>
              <w14:schemeClr w14:val="tx1"/>
            </w14:solidFill>
          </w14:textFill>
        </w:rPr>
        <w:t>（盖单位法人章）</w:t>
      </w:r>
    </w:p>
    <w:p w14:paraId="17648A6D">
      <w:pPr>
        <w:bidi w:val="0"/>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eastAsia="zh-CN"/>
          <w14:textFill>
            <w14:solidFill>
              <w14:schemeClr w14:val="tx1"/>
            </w14:solidFill>
          </w14:textFill>
        </w:rPr>
        <w:t>2025</w:t>
      </w:r>
      <w:r>
        <w:rPr>
          <w:rFonts w:hint="eastAsia"/>
          <w:b/>
          <w:bCs/>
          <w:color w:val="000000" w:themeColor="text1"/>
          <w:sz w:val="30"/>
          <w:szCs w:val="30"/>
          <w:highlight w:val="none"/>
          <w14:textFill>
            <w14:solidFill>
              <w14:schemeClr w14:val="tx1"/>
            </w14:solidFill>
          </w14:textFill>
        </w:rPr>
        <w:t>年</w:t>
      </w:r>
      <w:r>
        <w:rPr>
          <w:rFonts w:hint="eastAsia"/>
          <w:b/>
          <w:bCs/>
          <w:color w:val="000000" w:themeColor="text1"/>
          <w:sz w:val="30"/>
          <w:szCs w:val="30"/>
          <w:highlight w:val="none"/>
          <w:lang w:val="en-US" w:eastAsia="zh-CN"/>
          <w14:textFill>
            <w14:solidFill>
              <w14:schemeClr w14:val="tx1"/>
            </w14:solidFill>
          </w14:textFill>
        </w:rPr>
        <w:t>3</w:t>
      </w:r>
      <w:r>
        <w:rPr>
          <w:rFonts w:hint="eastAsia"/>
          <w:b/>
          <w:bCs/>
          <w:color w:val="000000" w:themeColor="text1"/>
          <w:sz w:val="30"/>
          <w:szCs w:val="30"/>
          <w:highlight w:val="none"/>
          <w14:textFill>
            <w14:solidFill>
              <w14:schemeClr w14:val="tx1"/>
            </w14:solidFill>
          </w14:textFill>
        </w:rPr>
        <w:t>月</w:t>
      </w:r>
    </w:p>
    <w:p w14:paraId="477E4FC9">
      <w:pP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bookmarkEnd w:id="0"/>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83131"/>
        <w15:color w:val="DBDBDB"/>
        <w:docPartObj>
          <w:docPartGallery w:val="Table of Contents"/>
          <w:docPartUnique/>
        </w:docPartObj>
      </w:sdtPr>
      <w:sdtEndPr>
        <w:rPr>
          <w:rFonts w:ascii="宋体" w:hAnsi="宋体" w:eastAsia="宋体" w:cs="宋体"/>
          <w:color w:val="000000" w:themeColor="text1"/>
          <w:kern w:val="2"/>
          <w:sz w:val="21"/>
          <w:szCs w:val="24"/>
          <w:highlight w:val="none"/>
          <w:lang w:val="en-US" w:eastAsia="zh-CN" w:bidi="ar-SA"/>
          <w14:textFill>
            <w14:solidFill>
              <w14:schemeClr w14:val="tx1"/>
            </w14:solidFill>
          </w14:textFill>
        </w:rPr>
      </w:sdtEndPr>
      <w:sdtContent>
        <w:p w14:paraId="1F852AF0">
          <w:pPr>
            <w:spacing w:before="0" w:beforeLines="0" w:after="0" w:afterLines="0" w:line="240" w:lineRule="auto"/>
            <w:ind w:left="0" w:leftChars="0" w:right="0" w:rightChars="0" w:firstLine="0" w:firstLineChars="0"/>
            <w:jc w:val="center"/>
            <w:rPr>
              <w:b/>
              <w:bCs/>
              <w:color w:val="000000" w:themeColor="text1"/>
              <w:sz w:val="32"/>
              <w:szCs w:val="40"/>
              <w:highlight w:val="none"/>
              <w14:textFill>
                <w14:solidFill>
                  <w14:schemeClr w14:val="tx1"/>
                </w14:solidFill>
              </w14:textFill>
            </w:rPr>
          </w:pPr>
          <w:r>
            <w:rPr>
              <w:rFonts w:ascii="宋体" w:hAnsi="宋体" w:eastAsia="宋体"/>
              <w:b/>
              <w:bCs/>
              <w:color w:val="000000" w:themeColor="text1"/>
              <w:sz w:val="32"/>
              <w:szCs w:val="40"/>
              <w:highlight w:val="none"/>
              <w14:textFill>
                <w14:solidFill>
                  <w14:schemeClr w14:val="tx1"/>
                </w14:solidFill>
              </w14:textFill>
            </w:rPr>
            <w:t>目</w:t>
          </w:r>
          <w:r>
            <w:rPr>
              <w:rFonts w:hint="eastAsia" w:ascii="宋体" w:hAnsi="宋体"/>
              <w:b/>
              <w:bCs/>
              <w:color w:val="000000" w:themeColor="text1"/>
              <w:sz w:val="32"/>
              <w:szCs w:val="40"/>
              <w:highlight w:val="none"/>
              <w:lang w:val="en-US" w:eastAsia="zh-CN"/>
              <w14:textFill>
                <w14:solidFill>
                  <w14:schemeClr w14:val="tx1"/>
                </w14:solidFill>
              </w14:textFill>
            </w:rPr>
            <w:t xml:space="preserve">  </w:t>
          </w:r>
          <w:r>
            <w:rPr>
              <w:rFonts w:ascii="宋体" w:hAnsi="宋体" w:eastAsia="宋体"/>
              <w:b/>
              <w:bCs/>
              <w:color w:val="000000" w:themeColor="text1"/>
              <w:sz w:val="32"/>
              <w:szCs w:val="40"/>
              <w:highlight w:val="none"/>
              <w14:textFill>
                <w14:solidFill>
                  <w14:schemeClr w14:val="tx1"/>
                </w14:solidFill>
              </w14:textFill>
            </w:rPr>
            <w:t>录</w:t>
          </w:r>
        </w:p>
        <w:p w14:paraId="08FF42E9">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fldChar w:fldCharType="begin"/>
          </w:r>
          <w:r>
            <w:rPr>
              <w:rFonts w:ascii="宋体" w:hAnsi="宋体" w:cs="宋体"/>
              <w:color w:val="000000" w:themeColor="text1"/>
              <w:sz w:val="18"/>
              <w:szCs w:val="18"/>
              <w:highlight w:val="none"/>
              <w14:textFill>
                <w14:solidFill>
                  <w14:schemeClr w14:val="tx1"/>
                </w14:solidFill>
              </w14:textFill>
            </w:rPr>
            <w:instrText xml:space="preserve">TOC \o "1-1" \h \u </w:instrText>
          </w:r>
          <w:r>
            <w:rPr>
              <w:rFonts w:ascii="宋体" w:hAnsi="宋体" w:cs="宋体"/>
              <w:color w:val="000000" w:themeColor="text1"/>
              <w:sz w:val="18"/>
              <w:szCs w:val="18"/>
              <w:highlight w:val="none"/>
              <w14:textFill>
                <w14:solidFill>
                  <w14:schemeClr w14:val="tx1"/>
                </w14:solidFill>
              </w14:textFill>
            </w:rPr>
            <w:fldChar w:fldCharType="separate"/>
          </w: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_Toc28046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snapToGrid w:val="0"/>
              <w:color w:val="000000" w:themeColor="text1"/>
              <w:kern w:val="0"/>
              <w:sz w:val="24"/>
              <w:szCs w:val="48"/>
              <w:highlight w:val="none"/>
              <w14:textFill>
                <w14:solidFill>
                  <w14:schemeClr w14:val="tx1"/>
                </w14:solidFill>
              </w14:textFill>
            </w:rPr>
            <w:t xml:space="preserve">第一章 </w:t>
          </w:r>
          <w:r>
            <w:rPr>
              <w:rFonts w:hint="eastAsia" w:ascii="宋体" w:hAnsi="宋体" w:cs="宋体"/>
              <w:b w:val="0"/>
              <w:bCs w:val="0"/>
              <w:snapToGrid w:val="0"/>
              <w:color w:val="000000" w:themeColor="text1"/>
              <w:sz w:val="24"/>
              <w:szCs w:val="48"/>
              <w:highlight w:val="none"/>
              <w14:textFill>
                <w14:solidFill>
                  <w14:schemeClr w14:val="tx1"/>
                </w14:solidFill>
              </w14:textFill>
            </w:rPr>
            <w:t>竞争性比选公告</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_Toc28046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3</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7F747A4C">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_Toc14889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snapToGrid w:val="0"/>
              <w:color w:val="000000" w:themeColor="text1"/>
              <w:kern w:val="0"/>
              <w:sz w:val="24"/>
              <w:szCs w:val="48"/>
              <w:highlight w:val="none"/>
              <w14:textFill>
                <w14:solidFill>
                  <w14:schemeClr w14:val="tx1"/>
                </w14:solidFill>
              </w14:textFill>
            </w:rPr>
            <w:t xml:space="preserve">第二章  </w:t>
          </w:r>
          <w:r>
            <w:rPr>
              <w:rFonts w:hint="eastAsia" w:ascii="宋体" w:hAnsi="宋体" w:cs="宋体"/>
              <w:b w:val="0"/>
              <w:bCs w:val="0"/>
              <w:snapToGrid w:val="0"/>
              <w:color w:val="000000" w:themeColor="text1"/>
              <w:kern w:val="0"/>
              <w:sz w:val="24"/>
              <w:szCs w:val="48"/>
              <w:highlight w:val="none"/>
              <w:lang w:eastAsia="zh-CN"/>
              <w14:textFill>
                <w14:solidFill>
                  <w14:schemeClr w14:val="tx1"/>
                </w14:solidFill>
              </w14:textFill>
            </w:rPr>
            <w:t>投标人</w:t>
          </w:r>
          <w:r>
            <w:rPr>
              <w:rFonts w:hint="eastAsia" w:ascii="宋体" w:hAnsi="宋体" w:cs="宋体"/>
              <w:b w:val="0"/>
              <w:bCs w:val="0"/>
              <w:snapToGrid w:val="0"/>
              <w:color w:val="000000" w:themeColor="text1"/>
              <w:kern w:val="0"/>
              <w:sz w:val="24"/>
              <w:szCs w:val="48"/>
              <w:highlight w:val="none"/>
              <w14:textFill>
                <w14:solidFill>
                  <w14:schemeClr w14:val="tx1"/>
                </w14:solidFill>
              </w14:textFill>
            </w:rPr>
            <w:t>须知</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_Toc14889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5</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3E85340E">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_Toc16888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snapToGrid w:val="0"/>
              <w:color w:val="000000" w:themeColor="text1"/>
              <w:kern w:val="0"/>
              <w:sz w:val="24"/>
              <w:szCs w:val="48"/>
              <w:highlight w:val="none"/>
              <w14:textFill>
                <w14:solidFill>
                  <w14:schemeClr w14:val="tx1"/>
                </w14:solidFill>
              </w14:textFill>
            </w:rPr>
            <w:t>第三章  评标办法（</w:t>
          </w:r>
          <w:r>
            <w:rPr>
              <w:rFonts w:hint="eastAsia" w:ascii="宋体" w:hAnsi="宋体" w:cs="宋体"/>
              <w:b w:val="0"/>
              <w:bCs w:val="0"/>
              <w:snapToGrid w:val="0"/>
              <w:color w:val="000000" w:themeColor="text1"/>
              <w:kern w:val="0"/>
              <w:sz w:val="24"/>
              <w:szCs w:val="48"/>
              <w:highlight w:val="none"/>
              <w:lang w:eastAsia="zh-CN"/>
              <w14:textFill>
                <w14:solidFill>
                  <w14:schemeClr w14:val="tx1"/>
                </w14:solidFill>
              </w14:textFill>
            </w:rPr>
            <w:t>综合评估法</w:t>
          </w:r>
          <w:r>
            <w:rPr>
              <w:rFonts w:hint="eastAsia" w:ascii="宋体" w:hAnsi="宋体" w:cs="宋体"/>
              <w:b w:val="0"/>
              <w:bCs w:val="0"/>
              <w:snapToGrid w:val="0"/>
              <w:color w:val="000000" w:themeColor="text1"/>
              <w:kern w:val="0"/>
              <w:sz w:val="24"/>
              <w:szCs w:val="48"/>
              <w:highlight w:val="none"/>
              <w14:textFill>
                <w14:solidFill>
                  <w14:schemeClr w14:val="tx1"/>
                </w14:solidFill>
              </w14:textFill>
            </w:rPr>
            <w:t>）</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_Toc16888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28</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28F0B323">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_Toc25688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snapToGrid w:val="0"/>
              <w:color w:val="000000" w:themeColor="text1"/>
              <w:kern w:val="0"/>
              <w:sz w:val="24"/>
              <w:szCs w:val="48"/>
              <w:highlight w:val="none"/>
              <w14:textFill>
                <w14:solidFill>
                  <w14:schemeClr w14:val="tx1"/>
                </w14:solidFill>
              </w14:textFill>
            </w:rPr>
            <w:t>第四章 合同条款及格式</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_Toc25688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38</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3AEB8EDC">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_Toc1985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color w:val="000000" w:themeColor="text1"/>
              <w:kern w:val="0"/>
              <w:sz w:val="24"/>
              <w:szCs w:val="48"/>
              <w:highlight w:val="none"/>
              <w14:textFill>
                <w14:solidFill>
                  <w14:schemeClr w14:val="tx1"/>
                </w14:solidFill>
              </w14:textFill>
            </w:rPr>
            <w:t xml:space="preserve">第五章 </w:t>
          </w:r>
          <w:r>
            <w:rPr>
              <w:rFonts w:hint="eastAsia" w:ascii="宋体" w:hAnsi="宋体" w:cs="宋体"/>
              <w:b w:val="0"/>
              <w:bCs w:val="0"/>
              <w:snapToGrid w:val="0"/>
              <w:color w:val="000000" w:themeColor="text1"/>
              <w:kern w:val="0"/>
              <w:sz w:val="24"/>
              <w:szCs w:val="48"/>
              <w:highlight w:val="none"/>
              <w14:textFill>
                <w14:solidFill>
                  <w14:schemeClr w14:val="tx1"/>
                </w14:solidFill>
              </w14:textFill>
            </w:rPr>
            <w:t>工程量清单</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_Toc1985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114</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52C5C754">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_Toc5659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color w:val="000000" w:themeColor="text1"/>
              <w:kern w:val="0"/>
              <w:sz w:val="24"/>
              <w:szCs w:val="48"/>
              <w:highlight w:val="none"/>
              <w14:textFill>
                <w14:solidFill>
                  <w14:schemeClr w14:val="tx1"/>
                </w14:solidFill>
              </w14:textFill>
            </w:rPr>
            <w:t>第六章</w:t>
          </w:r>
          <w:r>
            <w:rPr>
              <w:rFonts w:hint="eastAsia" w:ascii="宋体" w:hAnsi="宋体" w:eastAsia="宋体" w:cs="宋体"/>
              <w:b w:val="0"/>
              <w:bCs w:val="0"/>
              <w:snapToGrid w:val="0"/>
              <w:color w:val="000000" w:themeColor="text1"/>
              <w:kern w:val="0"/>
              <w:sz w:val="24"/>
              <w:szCs w:val="48"/>
              <w:highlight w:val="none"/>
              <w14:textFill>
                <w14:solidFill>
                  <w14:schemeClr w14:val="tx1"/>
                </w14:solidFill>
              </w14:textFill>
            </w:rPr>
            <w:t xml:space="preserve"> 图纸</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_Toc5659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115</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4035D1F1">
          <w:pPr>
            <w:pStyle w:val="31"/>
            <w:tabs>
              <w:tab w:val="right" w:leader="dot" w:pos="9746"/>
            </w:tabs>
            <w:rPr>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_Toc30904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color w:val="000000" w:themeColor="text1"/>
              <w:kern w:val="0"/>
              <w:sz w:val="24"/>
              <w:szCs w:val="48"/>
              <w:highlight w:val="none"/>
              <w14:textFill>
                <w14:solidFill>
                  <w14:schemeClr w14:val="tx1"/>
                </w14:solidFill>
              </w14:textFill>
            </w:rPr>
            <w:t>第七章  技术标准和要求</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_Toc30904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116</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2FC07973">
          <w:pPr>
            <w:pStyle w:val="31"/>
            <w:tabs>
              <w:tab w:val="right" w:leader="dot" w:pos="9746"/>
            </w:tabs>
            <w:rPr>
              <w:color w:val="000000" w:themeColor="text1"/>
              <w:sz w:val="18"/>
              <w:szCs w:val="18"/>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fldChar w:fldCharType="begin"/>
          </w:r>
          <w:r>
            <w:rPr>
              <w:rFonts w:ascii="宋体" w:hAnsi="宋体" w:cs="宋体"/>
              <w:b w:val="0"/>
              <w:bCs w:val="0"/>
              <w:color w:val="000000" w:themeColor="text1"/>
              <w:sz w:val="24"/>
              <w:szCs w:val="24"/>
              <w:highlight w:val="none"/>
              <w14:textFill>
                <w14:solidFill>
                  <w14:schemeClr w14:val="tx1"/>
                </w14:solidFill>
              </w14:textFill>
            </w:rPr>
            <w:instrText xml:space="preserve"> HYPERLINK \l _Toc403 </w:instrText>
          </w:r>
          <w:r>
            <w:rPr>
              <w:rFonts w:ascii="宋体" w:hAnsi="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cs="宋体"/>
              <w:b w:val="0"/>
              <w:bCs w:val="0"/>
              <w:color w:val="000000" w:themeColor="text1"/>
              <w:kern w:val="0"/>
              <w:sz w:val="24"/>
              <w:szCs w:val="48"/>
              <w:highlight w:val="none"/>
              <w14:textFill>
                <w14:solidFill>
                  <w14:schemeClr w14:val="tx1"/>
                </w14:solidFill>
              </w14:textFill>
            </w:rPr>
            <w:t>第八章  投标文件格式</w:t>
          </w:r>
          <w:r>
            <w:rPr>
              <w:b w:val="0"/>
              <w:bCs w:val="0"/>
              <w:color w:val="000000" w:themeColor="text1"/>
              <w:sz w:val="24"/>
              <w:szCs w:val="24"/>
              <w:highlight w:val="none"/>
              <w14:textFill>
                <w14:solidFill>
                  <w14:schemeClr w14:val="tx1"/>
                </w14:solidFill>
              </w14:textFill>
            </w:rPr>
            <w:tab/>
          </w:r>
          <w:r>
            <w:rPr>
              <w:b w:val="0"/>
              <w:bCs w:val="0"/>
              <w:color w:val="000000" w:themeColor="text1"/>
              <w:sz w:val="24"/>
              <w:szCs w:val="24"/>
              <w:highlight w:val="none"/>
              <w14:textFill>
                <w14:solidFill>
                  <w14:schemeClr w14:val="tx1"/>
                </w14:solidFill>
              </w14:textFill>
            </w:rPr>
            <w:fldChar w:fldCharType="begin"/>
          </w:r>
          <w:r>
            <w:rPr>
              <w:b w:val="0"/>
              <w:bCs w:val="0"/>
              <w:color w:val="000000" w:themeColor="text1"/>
              <w:sz w:val="24"/>
              <w:szCs w:val="24"/>
              <w:highlight w:val="none"/>
              <w14:textFill>
                <w14:solidFill>
                  <w14:schemeClr w14:val="tx1"/>
                </w14:solidFill>
              </w14:textFill>
            </w:rPr>
            <w:instrText xml:space="preserve"> PAGEREF _Toc403 \h </w:instrText>
          </w:r>
          <w:r>
            <w:rPr>
              <w:b w:val="0"/>
              <w:bCs w:val="0"/>
              <w:color w:val="000000" w:themeColor="text1"/>
              <w:sz w:val="24"/>
              <w:szCs w:val="24"/>
              <w:highlight w:val="none"/>
              <w14:textFill>
                <w14:solidFill>
                  <w14:schemeClr w14:val="tx1"/>
                </w14:solidFill>
              </w14:textFill>
            </w:rPr>
            <w:fldChar w:fldCharType="separate"/>
          </w:r>
          <w:r>
            <w:rPr>
              <w:b w:val="0"/>
              <w:bCs w:val="0"/>
              <w:color w:val="000000" w:themeColor="text1"/>
              <w:sz w:val="24"/>
              <w:szCs w:val="24"/>
              <w:highlight w:val="none"/>
              <w14:textFill>
                <w14:solidFill>
                  <w14:schemeClr w14:val="tx1"/>
                </w14:solidFill>
              </w14:textFill>
            </w:rPr>
            <w:t>117</w:t>
          </w:r>
          <w:r>
            <w:rPr>
              <w:b w:val="0"/>
              <w:bCs w:val="0"/>
              <w:color w:val="000000" w:themeColor="text1"/>
              <w:sz w:val="24"/>
              <w:szCs w:val="24"/>
              <w:highlight w:val="none"/>
              <w14:textFill>
                <w14:solidFill>
                  <w14:schemeClr w14:val="tx1"/>
                </w14:solidFill>
              </w14:textFill>
            </w:rPr>
            <w:fldChar w:fldCharType="end"/>
          </w:r>
          <w:r>
            <w:rPr>
              <w:rFonts w:ascii="宋体" w:hAnsi="宋体" w:cs="宋体"/>
              <w:b w:val="0"/>
              <w:bCs w:val="0"/>
              <w:color w:val="000000" w:themeColor="text1"/>
              <w:sz w:val="24"/>
              <w:szCs w:val="24"/>
              <w:highlight w:val="none"/>
              <w14:textFill>
                <w14:solidFill>
                  <w14:schemeClr w14:val="tx1"/>
                </w14:solidFill>
              </w14:textFill>
            </w:rPr>
            <w:fldChar w:fldCharType="end"/>
          </w:r>
        </w:p>
        <w:p w14:paraId="19271E7C">
          <w:pPr>
            <w:outlineLvl w:val="9"/>
            <w:rPr>
              <w:rFonts w:ascii="宋体" w:hAnsi="宋体" w:cs="宋体"/>
              <w:color w:val="000000" w:themeColor="text1"/>
              <w:highlight w:val="none"/>
              <w14:textFill>
                <w14:solidFill>
                  <w14:schemeClr w14:val="tx1"/>
                </w14:solidFill>
              </w14:textFill>
            </w:rPr>
          </w:pPr>
          <w:r>
            <w:rPr>
              <w:rFonts w:ascii="宋体" w:hAnsi="宋体" w:cs="宋体"/>
              <w:color w:val="000000" w:themeColor="text1"/>
              <w:sz w:val="20"/>
              <w:szCs w:val="22"/>
              <w:highlight w:val="none"/>
              <w14:textFill>
                <w14:solidFill>
                  <w14:schemeClr w14:val="tx1"/>
                </w14:solidFill>
              </w14:textFill>
            </w:rPr>
            <w:fldChar w:fldCharType="end"/>
          </w:r>
        </w:p>
      </w:sdtContent>
    </w:sdt>
    <w:p w14:paraId="53F37263">
      <w:pPr>
        <w:pStyle w:val="3"/>
        <w:numPr>
          <w:ilvl w:val="0"/>
          <w:numId w:val="0"/>
        </w:numPr>
        <w:spacing w:line="360" w:lineRule="auto"/>
        <w:jc w:val="center"/>
        <w:rPr>
          <w:rFonts w:hint="eastAsia" w:ascii="宋体" w:hAnsi="宋体" w:eastAsia="宋体" w:cs="宋体"/>
          <w:b/>
          <w:bCs/>
          <w:snapToGrid w:val="0"/>
          <w:color w:val="000000" w:themeColor="text1"/>
          <w:kern w:val="0"/>
          <w:sz w:val="36"/>
          <w:szCs w:val="36"/>
          <w:highlight w:val="none"/>
          <w:lang w:val="en-US" w:eastAsia="zh-CN" w:bidi="ar-SA"/>
          <w14:textFill>
            <w14:solidFill>
              <w14:schemeClr w14:val="tx1"/>
            </w14:solidFill>
          </w14:textFill>
        </w:rPr>
        <w:sectPr>
          <w:footerReference r:id="rId3" w:type="default"/>
          <w:pgSz w:w="11906" w:h="16838"/>
          <w:pgMar w:top="1440" w:right="1080" w:bottom="1440" w:left="1080" w:header="851" w:footer="851" w:gutter="0"/>
          <w:pgBorders>
            <w:top w:val="none" w:sz="0" w:space="0"/>
            <w:left w:val="none" w:sz="0" w:space="0"/>
            <w:bottom w:val="none" w:sz="0" w:space="0"/>
            <w:right w:val="none" w:sz="0" w:space="0"/>
          </w:pgBorders>
          <w:pgNumType w:start="1"/>
          <w:cols w:space="720" w:num="1"/>
          <w:docGrid w:type="lines" w:linePitch="312" w:charSpace="0"/>
        </w:sectPr>
      </w:pPr>
      <w:bookmarkStart w:id="5" w:name="_Toc277082535"/>
      <w:bookmarkEnd w:id="5"/>
      <w:bookmarkStart w:id="6" w:name="_Toc287620666"/>
      <w:bookmarkEnd w:id="6"/>
      <w:bookmarkStart w:id="7" w:name="_Toc224103298"/>
      <w:bookmarkEnd w:id="7"/>
      <w:bookmarkStart w:id="8" w:name="_Toc509218691"/>
      <w:bookmarkEnd w:id="8"/>
      <w:bookmarkStart w:id="9" w:name="_Toc430530415"/>
      <w:bookmarkEnd w:id="9"/>
      <w:bookmarkStart w:id="10" w:name="_Toc287607727"/>
      <w:bookmarkEnd w:id="10"/>
      <w:bookmarkStart w:id="11" w:name="_Toc25418"/>
      <w:bookmarkStart w:id="12" w:name="_Toc15315"/>
      <w:bookmarkStart w:id="13" w:name="_Toc28046"/>
    </w:p>
    <w:p w14:paraId="568AB400">
      <w:pPr>
        <w:pStyle w:val="3"/>
        <w:numPr>
          <w:ilvl w:val="0"/>
          <w:numId w:val="0"/>
        </w:numPr>
        <w:spacing w:line="360" w:lineRule="auto"/>
        <w:jc w:val="center"/>
        <w:rPr>
          <w:rFonts w:ascii="宋体" w:hAnsi="宋体" w:cs="宋体"/>
          <w:snapToGrid w:val="0"/>
          <w:color w:val="000000" w:themeColor="text1"/>
          <w:kern w:val="0"/>
          <w:sz w:val="36"/>
          <w:szCs w:val="36"/>
          <w:highlight w:val="none"/>
          <w14:textFill>
            <w14:solidFill>
              <w14:schemeClr w14:val="tx1"/>
            </w14:solidFill>
          </w14:textFill>
        </w:rPr>
      </w:pPr>
      <w:r>
        <w:rPr>
          <w:rFonts w:hint="eastAsia" w:ascii="宋体" w:hAnsi="宋体" w:eastAsia="宋体" w:cs="宋体"/>
          <w:b/>
          <w:bCs/>
          <w:snapToGrid w:val="0"/>
          <w:color w:val="000000" w:themeColor="text1"/>
          <w:kern w:val="0"/>
          <w:sz w:val="36"/>
          <w:szCs w:val="36"/>
          <w:highlight w:val="none"/>
          <w:lang w:val="en-US" w:eastAsia="zh-CN" w:bidi="ar-SA"/>
          <w14:textFill>
            <w14:solidFill>
              <w14:schemeClr w14:val="tx1"/>
            </w14:solidFill>
          </w14:textFill>
        </w:rPr>
        <w:t>第一章</w:t>
      </w:r>
      <w:r>
        <w:rPr>
          <w:rFonts w:hint="eastAsia" w:ascii="宋体" w:hAnsi="宋体" w:cs="宋体"/>
          <w:b/>
          <w:bCs/>
          <w:snapToGrid w:val="0"/>
          <w:color w:val="000000" w:themeColor="text1"/>
          <w:kern w:val="0"/>
          <w:sz w:val="36"/>
          <w:szCs w:val="36"/>
          <w:highlight w:val="none"/>
          <w:lang w:val="en-US" w:eastAsia="zh-CN" w:bidi="ar-SA"/>
          <w14:textFill>
            <w14:solidFill>
              <w14:schemeClr w14:val="tx1"/>
            </w14:solidFill>
          </w14:textFill>
        </w:rPr>
        <w:t xml:space="preserve">  </w:t>
      </w:r>
      <w:r>
        <w:rPr>
          <w:rFonts w:hint="eastAsia" w:ascii="宋体" w:hAnsi="宋体" w:cs="宋体"/>
          <w:snapToGrid w:val="0"/>
          <w:color w:val="000000" w:themeColor="text1"/>
          <w:sz w:val="36"/>
          <w:szCs w:val="36"/>
          <w:highlight w:val="none"/>
          <w14:textFill>
            <w14:solidFill>
              <w14:schemeClr w14:val="tx1"/>
            </w14:solidFill>
          </w14:textFill>
        </w:rPr>
        <w:t>竞争性比选公告</w:t>
      </w:r>
      <w:bookmarkEnd w:id="11"/>
      <w:bookmarkEnd w:id="12"/>
      <w:bookmarkEnd w:id="13"/>
    </w:p>
    <w:p w14:paraId="1CB44348">
      <w:pPr>
        <w:rPr>
          <w:rFonts w:ascii="宋体" w:hAnsi="宋体" w:cs="宋体"/>
          <w:color w:val="000000" w:themeColor="text1"/>
          <w:highlight w:val="none"/>
          <w14:textFill>
            <w14:solidFill>
              <w14:schemeClr w14:val="tx1"/>
            </w14:solidFill>
          </w14:textFill>
        </w:rPr>
      </w:pPr>
    </w:p>
    <w:p w14:paraId="70571C6F">
      <w:pPr>
        <w:pageBreakBefore w:val="0"/>
        <w:widowControl w:val="0"/>
        <w:kinsoku/>
        <w:wordWrap/>
        <w:overflowPunct/>
        <w:topLinePunct w:val="0"/>
        <w:autoSpaceDE w:val="0"/>
        <w:autoSpaceDN w:val="0"/>
        <w:bidi w:val="0"/>
        <w:adjustRightInd w:val="0"/>
        <w:snapToGrid w:val="0"/>
        <w:spacing w:line="456" w:lineRule="auto"/>
        <w:jc w:val="center"/>
        <w:textAlignment w:val="auto"/>
        <w:outlineLvl w:val="1"/>
        <w:rPr>
          <w:rFonts w:hint="eastAsia" w:ascii="宋体" w:hAnsi="宋体" w:cs="宋体"/>
          <w:b/>
          <w:bCs/>
          <w:color w:val="000000" w:themeColor="text1"/>
          <w:kern w:val="0"/>
          <w:sz w:val="28"/>
          <w:szCs w:val="28"/>
          <w:highlight w:val="none"/>
          <w:lang w:eastAsia="zh-CN"/>
          <w14:textFill>
            <w14:solidFill>
              <w14:schemeClr w14:val="tx1"/>
            </w14:solidFill>
          </w14:textFill>
        </w:rPr>
      </w:pPr>
      <w:bookmarkStart w:id="14" w:name="_Toc8720"/>
      <w:bookmarkStart w:id="15" w:name="_Toc16469"/>
      <w:bookmarkStart w:id="16" w:name="_Toc287607728"/>
      <w:bookmarkStart w:id="17" w:name="_Toc17551"/>
      <w:bookmarkStart w:id="18" w:name="_Toc277082536"/>
      <w:bookmarkStart w:id="19" w:name="_Toc287620667"/>
      <w:bookmarkStart w:id="20" w:name="_Toc32243"/>
      <w:bookmarkStart w:id="21" w:name="_Toc430530416"/>
      <w:bookmarkStart w:id="22" w:name="_Toc200359427"/>
      <w:bookmarkStart w:id="23" w:name="_Toc29238"/>
      <w:bookmarkStart w:id="24" w:name="_Toc28133"/>
      <w:bookmarkStart w:id="25" w:name="_Toc509218692"/>
      <w:bookmarkStart w:id="26" w:name="_Toc10089"/>
      <w:bookmarkStart w:id="27" w:name="_Toc200359238"/>
      <w:bookmarkStart w:id="28" w:name="_Toc224103299"/>
      <w:bookmarkStart w:id="29" w:name="_Toc287607744"/>
      <w:bookmarkStart w:id="30" w:name="_Toc287620683"/>
      <w:bookmarkStart w:id="31" w:name="_Toc224103315"/>
      <w:bookmarkStart w:id="32" w:name="_Toc430530432"/>
      <w:r>
        <w:rPr>
          <w:rFonts w:hint="eastAsia" w:ascii="宋体" w:hAnsi="宋体" w:cs="宋体"/>
          <w:b/>
          <w:bCs/>
          <w:color w:val="000000" w:themeColor="text1"/>
          <w:kern w:val="0"/>
          <w:sz w:val="28"/>
          <w:szCs w:val="28"/>
          <w:highlight w:val="none"/>
          <w:lang w:val="en-US" w:eastAsia="zh-CN"/>
          <w14:textFill>
            <w14:solidFill>
              <w14:schemeClr w14:val="tx1"/>
            </w14:solidFill>
          </w14:textFill>
        </w:rPr>
        <w:t>兴隆镇金花村5社烂田湾水源地整治工程</w:t>
      </w:r>
    </w:p>
    <w:p w14:paraId="1C4D00C4">
      <w:pPr>
        <w:pageBreakBefore w:val="0"/>
        <w:widowControl w:val="0"/>
        <w:kinsoku/>
        <w:wordWrap/>
        <w:overflowPunct/>
        <w:topLinePunct w:val="0"/>
        <w:autoSpaceDE w:val="0"/>
        <w:autoSpaceDN w:val="0"/>
        <w:bidi w:val="0"/>
        <w:adjustRightInd w:val="0"/>
        <w:snapToGrid w:val="0"/>
        <w:spacing w:line="456" w:lineRule="auto"/>
        <w:jc w:val="center"/>
        <w:textAlignment w:val="auto"/>
        <w:outlineLvl w:val="1"/>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竞争性比选公告</w:t>
      </w:r>
      <w:bookmarkEnd w:id="14"/>
      <w:bookmarkEnd w:id="15"/>
    </w:p>
    <w:p w14:paraId="68931DA7">
      <w:pPr>
        <w:pStyle w:val="4"/>
        <w:pageBreakBefore w:val="0"/>
        <w:widowControl w:val="0"/>
        <w:kinsoku/>
        <w:wordWrap/>
        <w:overflowPunct/>
        <w:topLinePunct w:val="0"/>
        <w:bidi w:val="0"/>
        <w:spacing w:line="456" w:lineRule="auto"/>
        <w:textAlignment w:val="auto"/>
        <w:rPr>
          <w:rFonts w:ascii="宋体" w:hAnsi="宋体" w:cs="宋体"/>
          <w:snapToGrid w:val="0"/>
          <w:color w:val="000000" w:themeColor="text1"/>
          <w:sz w:val="21"/>
          <w:szCs w:val="21"/>
          <w:highlight w:val="none"/>
          <w14:textFill>
            <w14:solidFill>
              <w14:schemeClr w14:val="tx1"/>
            </w14:solidFill>
          </w14:textFill>
        </w:rPr>
      </w:pPr>
      <w:bookmarkStart w:id="33" w:name="_Toc26385"/>
      <w:r>
        <w:rPr>
          <w:rFonts w:hint="eastAsia" w:ascii="宋体" w:hAnsi="宋体" w:cs="宋体"/>
          <w:snapToGrid w:val="0"/>
          <w:color w:val="000000" w:themeColor="text1"/>
          <w:sz w:val="21"/>
          <w:szCs w:val="21"/>
          <w:highlight w:val="none"/>
          <w14:textFill>
            <w14:solidFill>
              <w14:schemeClr w14:val="tx1"/>
            </w14:solidFill>
          </w14:textFill>
        </w:rPr>
        <w:t>1. 比选条件</w:t>
      </w:r>
      <w:bookmarkEnd w:id="16"/>
      <w:bookmarkEnd w:id="17"/>
      <w:bookmarkEnd w:id="18"/>
      <w:bookmarkEnd w:id="19"/>
      <w:bookmarkEnd w:id="20"/>
      <w:bookmarkEnd w:id="21"/>
      <w:bookmarkEnd w:id="22"/>
      <w:bookmarkEnd w:id="23"/>
      <w:bookmarkEnd w:id="24"/>
      <w:bookmarkEnd w:id="25"/>
      <w:bookmarkEnd w:id="26"/>
      <w:bookmarkEnd w:id="27"/>
      <w:bookmarkEnd w:id="28"/>
      <w:bookmarkEnd w:id="33"/>
    </w:p>
    <w:p w14:paraId="47D52C5B">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56" w:lineRule="auto"/>
        <w:ind w:firstLine="420"/>
        <w:textAlignment w:val="auto"/>
        <w:rPr>
          <w:rFonts w:ascii="宋体" w:hAnsi="宋体" w:cs="宋体"/>
          <w:snapToGrid w:val="0"/>
          <w:color w:val="000000" w:themeColor="text1"/>
          <w:kern w:val="0"/>
          <w:position w:val="-2"/>
          <w:szCs w:val="21"/>
          <w:highlight w:val="none"/>
          <w14:textFill>
            <w14:solidFill>
              <w14:schemeClr w14:val="tx1"/>
            </w14:solidFill>
          </w14:textFill>
        </w:rPr>
      </w:pPr>
      <w:bookmarkStart w:id="34" w:name="_Toc22898"/>
      <w:bookmarkStart w:id="35" w:name="_Toc509218693"/>
      <w:bookmarkStart w:id="36" w:name="_Toc277082537"/>
      <w:bookmarkStart w:id="37" w:name="_Toc200359428"/>
      <w:bookmarkStart w:id="38" w:name="_Toc430530417"/>
      <w:bookmarkStart w:id="39" w:name="_Toc287620668"/>
      <w:bookmarkStart w:id="40" w:name="_Toc200359239"/>
      <w:bookmarkStart w:id="41" w:name="_Toc224103300"/>
      <w:bookmarkStart w:id="42" w:name="_Toc287607729"/>
      <w:r>
        <w:rPr>
          <w:rFonts w:hint="eastAsia" w:ascii="宋体" w:hAnsi="宋体" w:cs="宋体"/>
          <w:snapToGrid w:val="0"/>
          <w:color w:val="000000" w:themeColor="text1"/>
          <w:kern w:val="0"/>
          <w:szCs w:val="21"/>
          <w:highlight w:val="none"/>
          <w14:textFill>
            <w14:solidFill>
              <w14:schemeClr w14:val="tx1"/>
            </w14:solidFill>
          </w14:textFill>
        </w:rPr>
        <w:t>本招标项目</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兴隆镇金花村5社烂田湾水源地整治工程</w:t>
      </w:r>
      <w:r>
        <w:rPr>
          <w:rFonts w:hint="eastAsia" w:ascii="宋体" w:hAnsi="宋体" w:cs="宋体"/>
          <w:snapToGrid w:val="0"/>
          <w:color w:val="000000" w:themeColor="text1"/>
          <w:kern w:val="0"/>
          <w:szCs w:val="21"/>
          <w:highlight w:val="none"/>
          <w14:textFill>
            <w14:solidFill>
              <w14:schemeClr w14:val="tx1"/>
            </w14:solidFill>
          </w14:textFill>
        </w:rPr>
        <w:t>已由</w:t>
      </w:r>
      <w:r>
        <w:rPr>
          <w:rFonts w:hint="eastAsia" w:ascii="宋体" w:hAnsi="宋体" w:cs="宋体"/>
          <w:snapToGrid w:val="0"/>
          <w:color w:val="000000" w:themeColor="text1"/>
          <w:kern w:val="0"/>
          <w:szCs w:val="21"/>
          <w:highlight w:val="none"/>
          <w:lang w:val="en-US" w:eastAsia="zh-CN"/>
          <w14:textFill>
            <w14:solidFill>
              <w14:schemeClr w14:val="tx1"/>
            </w14:solidFill>
          </w14:textFill>
        </w:rPr>
        <w:t>重庆市南川区水利局</w:t>
      </w:r>
      <w:r>
        <w:rPr>
          <w:rFonts w:hint="eastAsia" w:ascii="宋体" w:hAnsi="宋体" w:cs="宋体"/>
          <w:snapToGrid w:val="0"/>
          <w:color w:val="000000" w:themeColor="text1"/>
          <w:kern w:val="0"/>
          <w:szCs w:val="21"/>
          <w:highlight w:val="none"/>
          <w14:textFill>
            <w14:solidFill>
              <w14:schemeClr w14:val="tx1"/>
            </w14:solidFill>
          </w14:textFill>
        </w:rPr>
        <w:t>以</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南川水利发【2024】32号 </w:t>
      </w:r>
      <w:r>
        <w:rPr>
          <w:rFonts w:hint="eastAsia" w:ascii="宋体" w:hAnsi="宋体" w:cs="宋体"/>
          <w:snapToGrid w:val="0"/>
          <w:color w:val="000000" w:themeColor="text1"/>
          <w:kern w:val="0"/>
          <w:szCs w:val="21"/>
          <w:highlight w:val="none"/>
          <w14:textFill>
            <w14:solidFill>
              <w14:schemeClr w14:val="tx1"/>
            </w14:solidFill>
          </w14:textFill>
        </w:rPr>
        <w:t>批准建设，项目业主为</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重庆市南川区兴隆镇人民政府</w:t>
      </w:r>
      <w:r>
        <w:rPr>
          <w:rFonts w:hint="eastAsia" w:ascii="宋体" w:hAnsi="宋体" w:cs="宋体"/>
          <w:snapToGrid w:val="0"/>
          <w:color w:val="000000" w:themeColor="text1"/>
          <w:kern w:val="0"/>
          <w:szCs w:val="21"/>
          <w:highlight w:val="none"/>
          <w14:textFill>
            <w14:solidFill>
              <w14:schemeClr w14:val="tx1"/>
            </w14:solidFill>
          </w14:textFill>
        </w:rPr>
        <w:t>，建设资金来自：</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2024年人饮维修养护工程（第三批）</w:t>
      </w:r>
      <w:r>
        <w:rPr>
          <w:rFonts w:hint="eastAsia" w:ascii="宋体" w:hAnsi="宋体" w:cs="宋体"/>
          <w:snapToGrid w:val="0"/>
          <w:color w:val="000000" w:themeColor="text1"/>
          <w:kern w:val="0"/>
          <w:szCs w:val="21"/>
          <w:highlight w:val="none"/>
          <w14:textFill>
            <w14:solidFill>
              <w14:schemeClr w14:val="tx1"/>
            </w14:solidFill>
          </w14:textFill>
        </w:rPr>
        <w:t>，项目出资比例为</w:t>
      </w:r>
      <w:r>
        <w:rPr>
          <w:rFonts w:hint="eastAsia" w:ascii="宋体" w:hAnsi="宋体" w:cs="宋体"/>
          <w:snapToGrid w:val="0"/>
          <w:color w:val="000000" w:themeColor="text1"/>
          <w:kern w:val="0"/>
          <w:szCs w:val="21"/>
          <w:highlight w:val="none"/>
          <w:u w:val="single"/>
          <w14:textFill>
            <w14:solidFill>
              <w14:schemeClr w14:val="tx1"/>
            </w14:solidFill>
          </w14:textFill>
        </w:rPr>
        <w:t>100%</w:t>
      </w:r>
      <w:r>
        <w:rPr>
          <w:rFonts w:hint="eastAsia" w:ascii="宋体" w:hAnsi="宋体" w:cs="宋体"/>
          <w:snapToGrid w:val="0"/>
          <w:color w:val="000000" w:themeColor="text1"/>
          <w:kern w:val="0"/>
          <w:szCs w:val="21"/>
          <w:highlight w:val="none"/>
          <w14:textFill>
            <w14:solidFill>
              <w14:schemeClr w14:val="tx1"/>
            </w14:solidFill>
          </w14:textFill>
        </w:rPr>
        <w:t>，比选人</w:t>
      </w:r>
      <w:r>
        <w:rPr>
          <w:rFonts w:hint="eastAsia" w:ascii="宋体" w:hAnsi="宋体" w:cs="宋体"/>
          <w:snapToGrid w:val="0"/>
          <w:color w:val="000000" w:themeColor="text1"/>
          <w:kern w:val="0"/>
          <w:position w:val="-2"/>
          <w:szCs w:val="21"/>
          <w:highlight w:val="none"/>
          <w14:textFill>
            <w14:solidFill>
              <w14:schemeClr w14:val="tx1"/>
            </w14:solidFill>
          </w14:textFill>
        </w:rPr>
        <w:t>为</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重庆市南川区兴隆镇人民政府</w:t>
      </w:r>
      <w:r>
        <w:rPr>
          <w:rFonts w:hint="eastAsia" w:ascii="宋体" w:hAnsi="宋体" w:cs="宋体"/>
          <w:snapToGrid w:val="0"/>
          <w:color w:val="000000" w:themeColor="text1"/>
          <w:kern w:val="0"/>
          <w:position w:val="-2"/>
          <w:szCs w:val="21"/>
          <w:highlight w:val="none"/>
          <w14:textFill>
            <w14:solidFill>
              <w14:schemeClr w14:val="tx1"/>
            </w14:solidFill>
          </w14:textFill>
        </w:rPr>
        <w:t>。项目已具备招标条件，现对</w:t>
      </w:r>
      <w:r>
        <w:rPr>
          <w:rFonts w:hint="eastAsia" w:ascii="宋体" w:hAnsi="宋体" w:cs="宋体"/>
          <w:snapToGrid w:val="0"/>
          <w:color w:val="000000" w:themeColor="text1"/>
          <w:kern w:val="0"/>
          <w:position w:val="-2"/>
          <w:szCs w:val="21"/>
          <w:highlight w:val="none"/>
          <w:u w:val="single"/>
          <w14:textFill>
            <w14:solidFill>
              <w14:schemeClr w14:val="tx1"/>
            </w14:solidFill>
          </w14:textFill>
        </w:rPr>
        <w:t>该项目</w:t>
      </w:r>
      <w:r>
        <w:rPr>
          <w:rFonts w:hint="eastAsia" w:ascii="宋体" w:hAnsi="宋体" w:cs="宋体"/>
          <w:snapToGrid w:val="0"/>
          <w:color w:val="000000" w:themeColor="text1"/>
          <w:kern w:val="0"/>
          <w:position w:val="-2"/>
          <w:szCs w:val="21"/>
          <w:highlight w:val="none"/>
          <w14:textFill>
            <w14:solidFill>
              <w14:schemeClr w14:val="tx1"/>
            </w14:solidFill>
          </w14:textFill>
        </w:rPr>
        <w:t>进行竞争性比选。</w:t>
      </w:r>
    </w:p>
    <w:p w14:paraId="61E1F6D3">
      <w:pPr>
        <w:pStyle w:val="4"/>
        <w:pageBreakBefore w:val="0"/>
        <w:widowControl w:val="0"/>
        <w:kinsoku/>
        <w:wordWrap/>
        <w:overflowPunct/>
        <w:topLinePunct w:val="0"/>
        <w:bidi w:val="0"/>
        <w:spacing w:line="456" w:lineRule="auto"/>
        <w:textAlignment w:val="auto"/>
        <w:rPr>
          <w:rFonts w:ascii="宋体" w:hAnsi="宋体" w:cs="宋体"/>
          <w:b/>
          <w:bCs/>
          <w:snapToGrid w:val="0"/>
          <w:color w:val="000000" w:themeColor="text1"/>
          <w:szCs w:val="21"/>
          <w:highlight w:val="none"/>
          <w14:textFill>
            <w14:solidFill>
              <w14:schemeClr w14:val="tx1"/>
            </w14:solidFill>
          </w14:textFill>
        </w:rPr>
      </w:pPr>
      <w:bookmarkStart w:id="43" w:name="_Toc1264"/>
      <w:bookmarkStart w:id="44" w:name="_Toc28505"/>
      <w:r>
        <w:rPr>
          <w:rFonts w:hint="eastAsia" w:ascii="宋体" w:hAnsi="宋体" w:eastAsia="宋体" w:cs="宋体"/>
          <w:color w:val="000000" w:themeColor="text1"/>
          <w:sz w:val="21"/>
          <w:szCs w:val="21"/>
          <w:highlight w:val="none"/>
          <w:lang w:val="en-US" w:eastAsia="zh-CN"/>
          <w14:textFill>
            <w14:solidFill>
              <w14:schemeClr w14:val="tx1"/>
            </w14:solidFill>
          </w14:textFill>
        </w:rPr>
        <w:t>2. 项目概况与比选范围</w:t>
      </w:r>
      <w:bookmarkEnd w:id="34"/>
      <w:bookmarkEnd w:id="35"/>
      <w:bookmarkEnd w:id="36"/>
      <w:bookmarkEnd w:id="37"/>
      <w:bookmarkEnd w:id="38"/>
      <w:bookmarkEnd w:id="39"/>
      <w:bookmarkEnd w:id="40"/>
      <w:bookmarkEnd w:id="41"/>
      <w:bookmarkEnd w:id="42"/>
      <w:bookmarkEnd w:id="43"/>
      <w:bookmarkEnd w:id="44"/>
    </w:p>
    <w:p w14:paraId="46E3C46D">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56" w:lineRule="auto"/>
        <w:ind w:firstLine="420"/>
        <w:textAlignment w:val="auto"/>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2.1 建设地点：</w:t>
      </w:r>
      <w:r>
        <w:rPr>
          <w:rFonts w:hint="eastAsia" w:ascii="宋体" w:hAnsi="宋体" w:eastAsia="宋体" w:cs="宋体"/>
          <w:snapToGrid w:val="0"/>
          <w:color w:val="000000" w:themeColor="text1"/>
          <w:kern w:val="0"/>
          <w:position w:val="-2"/>
          <w:szCs w:val="21"/>
          <w:highlight w:val="none"/>
          <w:lang w:val="en-US" w:eastAsia="zh-CN"/>
          <w14:textFill>
            <w14:solidFill>
              <w14:schemeClr w14:val="tx1"/>
            </w14:solidFill>
          </w14:textFill>
        </w:rPr>
        <w:t>南川区兴隆镇金花村5社</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w:t>
      </w:r>
    </w:p>
    <w:p w14:paraId="27A46D74">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56" w:lineRule="auto"/>
        <w:ind w:firstLine="420"/>
        <w:textAlignment w:val="auto"/>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2.2 项目概况与建设规模：</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挡水建筑物整治、库区防渗及库区耕作道硬化等</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w:t>
      </w:r>
    </w:p>
    <w:p w14:paraId="7DE1C241">
      <w:pPr>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56" w:lineRule="auto"/>
        <w:ind w:firstLine="420"/>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2.3 本次招标项目合同估算金额：</w:t>
      </w:r>
      <w:r>
        <w:rPr>
          <w:rFonts w:hint="eastAsia" w:ascii="宋体" w:hAnsi="宋体" w:eastAsia="宋体" w:cs="宋体"/>
          <w:snapToGrid w:val="0"/>
          <w:color w:val="000000" w:themeColor="text1"/>
          <w:kern w:val="0"/>
          <w:position w:val="-2"/>
          <w:szCs w:val="21"/>
          <w:highlight w:val="none"/>
          <w:u w:val="single"/>
          <w14:textFill>
            <w14:solidFill>
              <w14:schemeClr w14:val="tx1"/>
            </w14:solidFill>
          </w14:textFill>
        </w:rPr>
        <w:t>71259.95</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元</w:t>
      </w:r>
      <w:r>
        <w:rPr>
          <w:rFonts w:hint="eastAsia" w:ascii="宋体" w:hAnsi="宋体" w:cs="宋体"/>
          <w:snapToGrid w:val="0"/>
          <w:color w:val="000000" w:themeColor="text1"/>
          <w:kern w:val="0"/>
          <w:szCs w:val="21"/>
          <w:highlight w:val="none"/>
          <w14:textFill>
            <w14:solidFill>
              <w14:schemeClr w14:val="tx1"/>
            </w14:solidFill>
          </w14:textFill>
        </w:rPr>
        <w:t>。</w:t>
      </w:r>
    </w:p>
    <w:p w14:paraId="16FF1B96">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2.4 招标范围：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本次招标活动所提供的施工设计图所示范围的全部内容以及比选人提供的工程量清单、答疑资料、澄清资料、其他补遗资料等相关内容。</w:t>
      </w:r>
    </w:p>
    <w:p w14:paraId="2D1494E9">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2.5 工期要求：</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30日历天</w:t>
      </w:r>
    </w:p>
    <w:p w14:paraId="1B5BD3C0">
      <w:pPr>
        <w:pStyle w:val="4"/>
        <w:pageBreakBefore w:val="0"/>
        <w:widowControl w:val="0"/>
        <w:kinsoku/>
        <w:wordWrap/>
        <w:overflowPunct/>
        <w:topLinePunct w:val="0"/>
        <w:bidi w:val="0"/>
        <w:spacing w:line="456" w:lineRule="auto"/>
        <w:textAlignment w:val="auto"/>
        <w:rPr>
          <w:color w:val="000000" w:themeColor="text1"/>
          <w:highlight w:val="none"/>
          <w14:textFill>
            <w14:solidFill>
              <w14:schemeClr w14:val="tx1"/>
            </w14:solidFill>
          </w14:textFill>
        </w:rPr>
      </w:pPr>
      <w:bookmarkStart w:id="45" w:name="_Toc21005"/>
      <w:bookmarkStart w:id="46" w:name="_Toc277082538"/>
      <w:bookmarkStart w:id="47" w:name="_Toc200359240"/>
      <w:bookmarkStart w:id="48" w:name="_Toc287620669"/>
      <w:bookmarkStart w:id="49" w:name="_Toc509218694"/>
      <w:bookmarkStart w:id="50" w:name="_Toc19796"/>
      <w:bookmarkStart w:id="51" w:name="_Toc26814"/>
      <w:bookmarkStart w:id="52" w:name="_Toc224103301"/>
      <w:bookmarkStart w:id="53" w:name="_Toc200359429"/>
      <w:bookmarkStart w:id="54" w:name="_Toc287607730"/>
      <w:bookmarkStart w:id="55" w:name="_Toc430530418"/>
      <w:r>
        <w:rPr>
          <w:rFonts w:hint="eastAsia" w:ascii="宋体" w:hAnsi="宋体" w:eastAsia="宋体" w:cs="宋体"/>
          <w:color w:val="000000" w:themeColor="text1"/>
          <w:sz w:val="21"/>
          <w:szCs w:val="21"/>
          <w:highlight w:val="none"/>
          <w14:textFill>
            <w14:solidFill>
              <w14:schemeClr w14:val="tx1"/>
            </w14:solidFill>
          </w14:textFill>
        </w:rPr>
        <w:t xml:space="preserve">3. </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资格要求</w:t>
      </w:r>
      <w:bookmarkEnd w:id="45"/>
      <w:bookmarkEnd w:id="46"/>
      <w:bookmarkEnd w:id="47"/>
      <w:bookmarkEnd w:id="48"/>
      <w:bookmarkEnd w:id="49"/>
      <w:bookmarkEnd w:id="50"/>
      <w:bookmarkEnd w:id="51"/>
      <w:bookmarkEnd w:id="52"/>
      <w:bookmarkEnd w:id="53"/>
      <w:bookmarkEnd w:id="54"/>
      <w:bookmarkEnd w:id="55"/>
    </w:p>
    <w:p w14:paraId="481A8439">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ascii="宋体" w:hAnsi="宋体" w:cs="宋体"/>
          <w:b/>
          <w:bCs/>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  本次招标要求</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须具备以下条件：</w:t>
      </w:r>
    </w:p>
    <w:p w14:paraId="42E2BBEC">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ascii="宋体" w:hAnsi="宋体" w:cs="宋体"/>
          <w:b/>
          <w:bCs/>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本次招标要求</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具备的资质条件：</w:t>
      </w:r>
      <w:r>
        <w:rPr>
          <w:rFonts w:hint="eastAsia" w:ascii="宋体" w:hAnsi="宋体" w:eastAsia="宋体" w:cs="宋体"/>
          <w:snapToGrid w:val="0"/>
          <w:color w:val="000000" w:themeColor="text1"/>
          <w:kern w:val="0"/>
          <w:szCs w:val="21"/>
          <w:highlight w:val="none"/>
          <w14:textFill>
            <w14:solidFill>
              <w14:schemeClr w14:val="tx1"/>
            </w14:solidFill>
          </w14:textFill>
        </w:rPr>
        <w:t>具备建设行政主管部门颁发的水利水电工程施工总承包叁级及以上资质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或</w:t>
      </w:r>
      <w:r>
        <w:rPr>
          <w:rFonts w:hint="eastAsia" w:ascii="宋体" w:hAnsi="宋体"/>
          <w:snapToGrid w:val="0"/>
          <w:color w:val="000000" w:themeColor="text1"/>
          <w:kern w:val="0"/>
          <w:szCs w:val="21"/>
          <w:highlight w:val="none"/>
          <w14:textFill>
            <w14:solidFill>
              <w14:schemeClr w14:val="tx1"/>
            </w14:solidFill>
          </w14:textFill>
        </w:rPr>
        <w:t>建筑工程施工总承包</w:t>
      </w:r>
      <w:r>
        <w:rPr>
          <w:rFonts w:hint="eastAsia" w:ascii="宋体" w:hAnsi="宋体"/>
          <w:snapToGrid w:val="0"/>
          <w:color w:val="000000" w:themeColor="text1"/>
          <w:kern w:val="0"/>
          <w:szCs w:val="21"/>
          <w:highlight w:val="none"/>
          <w:lang w:val="en-US" w:eastAsia="zh-CN"/>
          <w14:textFill>
            <w14:solidFill>
              <w14:schemeClr w14:val="tx1"/>
            </w14:solidFill>
          </w14:textFill>
        </w:rPr>
        <w:t>叁</w:t>
      </w:r>
      <w:r>
        <w:rPr>
          <w:rFonts w:hint="eastAsia" w:ascii="宋体" w:hAnsi="宋体"/>
          <w:snapToGrid w:val="0"/>
          <w:color w:val="000000" w:themeColor="text1"/>
          <w:kern w:val="0"/>
          <w:szCs w:val="21"/>
          <w:highlight w:val="none"/>
          <w14:textFill>
            <w14:solidFill>
              <w14:schemeClr w14:val="tx1"/>
            </w14:solidFill>
          </w14:textFill>
        </w:rPr>
        <w:t>级</w:t>
      </w:r>
      <w:r>
        <w:rPr>
          <w:rFonts w:hint="eastAsia" w:ascii="宋体" w:hAnsi="宋体" w:eastAsia="宋体" w:cs="宋体"/>
          <w:snapToGrid w:val="0"/>
          <w:color w:val="000000" w:themeColor="text1"/>
          <w:kern w:val="0"/>
          <w:szCs w:val="21"/>
          <w:highlight w:val="none"/>
          <w14:textFill>
            <w14:solidFill>
              <w14:schemeClr w14:val="tx1"/>
            </w14:solidFill>
          </w14:textFill>
        </w:rPr>
        <w:t>及以上资质。</w:t>
      </w:r>
    </w:p>
    <w:p w14:paraId="2DBB9373">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3.1.2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还应在人员、设备、资金等方面具有相应的施工能力，详见竞争性比选文件第二章</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须知前附表第1.4.1项内容。</w:t>
      </w:r>
    </w:p>
    <w:p w14:paraId="17E8C9A0">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  本次招标不接受联合体投标。</w:t>
      </w:r>
    </w:p>
    <w:p w14:paraId="08CA618E">
      <w:pPr>
        <w:pageBreakBefore w:val="0"/>
        <w:widowControl w:val="0"/>
        <w:tabs>
          <w:tab w:val="left" w:pos="3840"/>
          <w:tab w:val="left" w:pos="5300"/>
        </w:tabs>
        <w:kinsoku/>
        <w:wordWrap/>
        <w:overflowPunct/>
        <w:topLinePunct w:val="0"/>
        <w:autoSpaceDE w:val="0"/>
        <w:autoSpaceDN w:val="0"/>
        <w:bidi w:val="0"/>
        <w:adjustRightInd w:val="0"/>
        <w:snapToGrid w:val="0"/>
        <w:spacing w:line="456" w:lineRule="auto"/>
        <w:ind w:firstLine="420" w:firstLineChars="200"/>
        <w:jc w:val="left"/>
        <w:textAlignment w:val="auto"/>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3.3  符合本公告项目比选条件要求的库内潜在备选承包商，经</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通过重庆市公共资源交易网（南川区）限额以下工程项目交易系统</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网上注册成功后，在本项目比选公告报名截止时间前，均可登陆重庆市公共资源交易网（南川区）限额以下工程项目交易系统，按系统相关指令进行网上报名。</w:t>
      </w:r>
      <w:bookmarkStart w:id="56" w:name="_Toc224103302"/>
      <w:bookmarkStart w:id="57" w:name="_Toc200359430"/>
      <w:bookmarkStart w:id="58" w:name="_Toc287607731"/>
      <w:bookmarkStart w:id="59" w:name="_Toc277082539"/>
      <w:bookmarkStart w:id="60" w:name="_Toc509218695"/>
      <w:bookmarkStart w:id="61" w:name="_Toc19822"/>
      <w:bookmarkStart w:id="62" w:name="_Toc287620670"/>
      <w:bookmarkStart w:id="63" w:name="_Toc430530419"/>
      <w:bookmarkStart w:id="64" w:name="_Toc200359241"/>
      <w:bookmarkStart w:id="65" w:name="_Toc8123"/>
      <w:bookmarkStart w:id="66" w:name="_Toc6347"/>
      <w:bookmarkStart w:id="67" w:name="_Toc13655"/>
      <w:bookmarkStart w:id="68" w:name="_Toc8964"/>
      <w:bookmarkStart w:id="69" w:name="_Toc27240"/>
    </w:p>
    <w:p w14:paraId="5C767CBF">
      <w:pPr>
        <w:pStyle w:val="4"/>
        <w:spacing w:line="480" w:lineRule="exact"/>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4. </w:t>
      </w:r>
      <w:bookmarkEnd w:id="56"/>
      <w:bookmarkEnd w:id="57"/>
      <w:bookmarkEnd w:id="58"/>
      <w:bookmarkEnd w:id="59"/>
      <w:bookmarkEnd w:id="60"/>
      <w:bookmarkEnd w:id="61"/>
      <w:bookmarkEnd w:id="62"/>
      <w:bookmarkEnd w:id="63"/>
      <w:bookmarkEnd w:id="64"/>
      <w:r>
        <w:rPr>
          <w:rFonts w:hint="eastAsia" w:ascii="宋体" w:hAnsi="宋体" w:cs="宋体"/>
          <w:snapToGrid w:val="0"/>
          <w:color w:val="000000" w:themeColor="text1"/>
          <w:sz w:val="21"/>
          <w:szCs w:val="21"/>
          <w:highlight w:val="none"/>
          <w14:textFill>
            <w14:solidFill>
              <w14:schemeClr w14:val="tx1"/>
            </w14:solidFill>
          </w14:textFill>
        </w:rPr>
        <w:t>竞争性比选文件的获取</w:t>
      </w:r>
      <w:bookmarkEnd w:id="65"/>
      <w:bookmarkEnd w:id="66"/>
      <w:bookmarkEnd w:id="67"/>
      <w:bookmarkEnd w:id="68"/>
      <w:bookmarkEnd w:id="69"/>
    </w:p>
    <w:p w14:paraId="0FE67E13">
      <w:pPr>
        <w:pageBreakBefore w:val="0"/>
        <w:tabs>
          <w:tab w:val="left" w:pos="3045"/>
          <w:tab w:val="left" w:pos="8310"/>
        </w:tabs>
        <w:kinsoku/>
        <w:wordWrap/>
        <w:overflowPunct/>
        <w:topLinePunct w:val="0"/>
        <w:autoSpaceDE w:val="0"/>
        <w:autoSpaceDN w:val="0"/>
        <w:bidi w:val="0"/>
        <w:adjustRightInd w:val="0"/>
        <w:snapToGrid w:val="0"/>
        <w:spacing w:line="360" w:lineRule="auto"/>
        <w:ind w:left="0" w:leftChars="0" w:firstLine="420" w:firstLineChars="200"/>
        <w:rPr>
          <w:rFonts w:hint="eastAsia" w:ascii="宋体" w:hAnsi="宋体"/>
          <w:color w:val="000000" w:themeColor="text1"/>
          <w:szCs w:val="21"/>
          <w:highlight w:val="none"/>
          <w14:textFill>
            <w14:solidFill>
              <w14:schemeClr w14:val="tx1"/>
            </w14:solidFill>
          </w14:textFill>
        </w:rPr>
      </w:pPr>
      <w:bookmarkStart w:id="70" w:name="_Toc224103303"/>
      <w:bookmarkStart w:id="71" w:name="_Toc287607732"/>
      <w:bookmarkStart w:id="72" w:name="_Toc430530420"/>
      <w:bookmarkStart w:id="73" w:name="_Toc287620671"/>
      <w:bookmarkStart w:id="74" w:name="_Toc509218696"/>
      <w:bookmarkStart w:id="75" w:name="_Toc12886"/>
      <w:bookmarkStart w:id="76" w:name="_Toc200359431"/>
      <w:bookmarkStart w:id="77" w:name="_Toc200359242"/>
      <w:bookmarkStart w:id="78" w:name="_Toc277082540"/>
      <w:r>
        <w:rPr>
          <w:rFonts w:hint="eastAsia" w:ascii="宋体" w:hAnsi="宋体"/>
          <w:color w:val="000000" w:themeColor="text1"/>
          <w:szCs w:val="21"/>
          <w:highlight w:val="none"/>
          <w14:textFill>
            <w14:solidFill>
              <w14:schemeClr w14:val="tx1"/>
            </w14:solidFill>
          </w14:textFill>
        </w:rPr>
        <w:t>4.1 凡有意参加投标的</w:t>
      </w: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，请在</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通过重庆市公共资源交易网（南川区）限额以下工程项目交易系统</w:t>
      </w:r>
      <w:r>
        <w:rPr>
          <w:rFonts w:hint="eastAsia" w:ascii="宋体" w:hAnsi="宋体"/>
          <w:color w:val="000000" w:themeColor="text1"/>
          <w:szCs w:val="21"/>
          <w:highlight w:val="none"/>
          <w14:textFill>
            <w14:solidFill>
              <w14:schemeClr w14:val="tx1"/>
            </w14:solidFill>
          </w14:textFill>
        </w:rPr>
        <w:t>下载本项目</w:t>
      </w:r>
      <w:r>
        <w:rPr>
          <w:rFonts w:hint="eastAsia" w:ascii="宋体" w:hAnsi="宋体"/>
          <w:color w:val="000000" w:themeColor="text1"/>
          <w:szCs w:val="21"/>
          <w:highlight w:val="none"/>
          <w:lang w:val="en-US" w:eastAsia="zh-CN"/>
          <w14:textFill>
            <w14:solidFill>
              <w14:schemeClr w14:val="tx1"/>
            </w14:solidFill>
          </w14:textFill>
        </w:rPr>
        <w:t>竞争性比选</w:t>
      </w:r>
      <w:r>
        <w:rPr>
          <w:rFonts w:hint="eastAsia" w:ascii="宋体" w:hAnsi="宋体"/>
          <w:color w:val="000000" w:themeColor="text1"/>
          <w:szCs w:val="21"/>
          <w:highlight w:val="none"/>
          <w14:textFill>
            <w14:solidFill>
              <w14:schemeClr w14:val="tx1"/>
            </w14:solidFill>
          </w14:textFill>
        </w:rPr>
        <w:t>文件以及</w:t>
      </w:r>
      <w:r>
        <w:rPr>
          <w:rFonts w:hint="eastAsia" w:ascii="宋体" w:hAnsi="宋体"/>
          <w:color w:val="000000" w:themeColor="text1"/>
          <w:szCs w:val="21"/>
          <w:highlight w:val="none"/>
          <w:lang w:eastAsia="zh-CN"/>
          <w14:textFill>
            <w14:solidFill>
              <w14:schemeClr w14:val="tx1"/>
            </w14:solidFill>
          </w14:textFill>
        </w:rPr>
        <w:t>图纸(如有）</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工程量清单</w:t>
      </w:r>
      <w:r>
        <w:rPr>
          <w:rFonts w:hint="eastAsia" w:ascii="宋体" w:hAnsi="宋体"/>
          <w:color w:val="000000" w:themeColor="text1"/>
          <w:szCs w:val="21"/>
          <w:highlight w:val="none"/>
          <w14:textFill>
            <w14:solidFill>
              <w14:schemeClr w14:val="tx1"/>
            </w14:solidFill>
          </w14:textFill>
        </w:rPr>
        <w:t>等项目资料，无论</w:t>
      </w: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下载与否，均视为已知晓所有招标内容。</w:t>
      </w:r>
    </w:p>
    <w:p w14:paraId="1055935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请投标人于</w:t>
      </w:r>
      <w:r>
        <w:rPr>
          <w:rFonts w:hint="eastAsia" w:ascii="宋体" w:hAnsi="宋体"/>
          <w:color w:val="000000" w:themeColor="text1"/>
          <w:szCs w:val="21"/>
          <w:highlight w:val="none"/>
          <w:lang w:eastAsia="zh-CN"/>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6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 xml:space="preserve"> 17 </w:t>
      </w:r>
      <w:r>
        <w:rPr>
          <w:rFonts w:hint="eastAsia" w:ascii="宋体" w:hAnsi="宋体"/>
          <w:color w:val="000000" w:themeColor="text1"/>
          <w:szCs w:val="21"/>
          <w:highlight w:val="none"/>
          <w14:textFill>
            <w14:solidFill>
              <w14:schemeClr w14:val="tx1"/>
            </w14:solidFill>
          </w14:textFill>
        </w:rPr>
        <w:t>时前将本工程质疑以书面材料的形式送至</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w:t>
      </w:r>
    </w:p>
    <w:p w14:paraId="33D8B115">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4.3</w:t>
      </w:r>
      <w:r>
        <w:rPr>
          <w:rFonts w:hint="eastAsia" w:ascii="宋体" w:hAnsi="宋体"/>
          <w:color w:val="000000" w:themeColor="text1"/>
          <w:szCs w:val="21"/>
          <w:highlight w:val="none"/>
          <w:lang w:eastAsia="zh-CN"/>
          <w14:textFill>
            <w14:solidFill>
              <w14:schemeClr w14:val="tx1"/>
            </w14:solidFill>
          </w14:textFill>
        </w:rPr>
        <w:t>比选人202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7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17</w:t>
      </w:r>
      <w:r>
        <w:rPr>
          <w:rFonts w:hint="eastAsia" w:ascii="宋体" w:hAnsi="宋体"/>
          <w:color w:val="000000" w:themeColor="text1"/>
          <w:szCs w:val="21"/>
          <w:highlight w:val="none"/>
          <w14:textFill>
            <w14:solidFill>
              <w14:schemeClr w14:val="tx1"/>
            </w14:solidFill>
          </w14:textFill>
        </w:rPr>
        <w:t>时前</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通过重庆市公共资源交易网（南川区）限额以下工程项目交易系统</w:t>
      </w:r>
      <w:r>
        <w:rPr>
          <w:rFonts w:hint="eastAsia" w:ascii="宋体" w:hAnsi="宋体"/>
          <w:color w:val="000000" w:themeColor="text1"/>
          <w:szCs w:val="21"/>
          <w:highlight w:val="none"/>
          <w:lang w:val="en-US" w:eastAsia="zh-CN"/>
          <w14:textFill>
            <w14:solidFill>
              <w14:schemeClr w14:val="tx1"/>
            </w14:solidFill>
          </w14:textFill>
        </w:rPr>
        <w:t>发布澄清或修改</w:t>
      </w:r>
      <w:r>
        <w:rPr>
          <w:rFonts w:hint="eastAsia" w:ascii="宋体" w:hAnsi="宋体"/>
          <w:color w:val="000000" w:themeColor="text1"/>
          <w:szCs w:val="21"/>
          <w:highlight w:val="none"/>
          <w14:textFill>
            <w14:solidFill>
              <w14:schemeClr w14:val="tx1"/>
            </w14:solidFill>
          </w14:textFill>
        </w:rPr>
        <w:t>。</w:t>
      </w:r>
    </w:p>
    <w:p w14:paraId="498ABBB0">
      <w:pPr>
        <w:pStyle w:val="4"/>
        <w:spacing w:line="480" w:lineRule="exact"/>
        <w:rPr>
          <w:rFonts w:ascii="宋体" w:hAnsi="宋体" w:cs="宋体"/>
          <w:snapToGrid w:val="0"/>
          <w:color w:val="000000" w:themeColor="text1"/>
          <w:sz w:val="21"/>
          <w:szCs w:val="21"/>
          <w:highlight w:val="none"/>
          <w14:textFill>
            <w14:solidFill>
              <w14:schemeClr w14:val="tx1"/>
            </w14:solidFill>
          </w14:textFill>
        </w:rPr>
      </w:pPr>
      <w:bookmarkStart w:id="79" w:name="_Toc4013"/>
      <w:bookmarkStart w:id="80" w:name="_Toc23566"/>
      <w:bookmarkStart w:id="81" w:name="_Toc4285"/>
      <w:bookmarkStart w:id="82" w:name="_Toc22757"/>
      <w:bookmarkStart w:id="83" w:name="_Toc14625"/>
      <w:r>
        <w:rPr>
          <w:rFonts w:hint="eastAsia" w:ascii="宋体" w:hAnsi="宋体" w:cs="宋体"/>
          <w:snapToGrid w:val="0"/>
          <w:color w:val="000000" w:themeColor="text1"/>
          <w:sz w:val="21"/>
          <w:szCs w:val="21"/>
          <w:highlight w:val="none"/>
          <w14:textFill>
            <w14:solidFill>
              <w14:schemeClr w14:val="tx1"/>
            </w14:solidFill>
          </w14:textFill>
        </w:rPr>
        <w:t>5. 投标文件的递交</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98FDFA9">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hint="eastAsia" w:ascii="宋体" w:hAnsi="宋体" w:cs="宋体"/>
          <w:snapToGrid w:val="0"/>
          <w:color w:val="000000" w:themeColor="text1"/>
          <w:kern w:val="0"/>
          <w:szCs w:val="21"/>
          <w:highlight w:val="none"/>
          <w14:textFill>
            <w14:solidFill>
              <w14:schemeClr w14:val="tx1"/>
            </w14:solidFill>
          </w14:textFill>
        </w:rPr>
      </w:pPr>
      <w:bookmarkStart w:id="84" w:name="_Toc200359243"/>
      <w:bookmarkStart w:id="85" w:name="_Toc200359432"/>
      <w:bookmarkStart w:id="86" w:name="_Toc224103304"/>
      <w:bookmarkStart w:id="87" w:name="_Toc277082541"/>
      <w:bookmarkStart w:id="88" w:name="_Toc509218697"/>
      <w:bookmarkStart w:id="89" w:name="_Toc287620672"/>
      <w:bookmarkStart w:id="90" w:name="_Toc10918"/>
      <w:bookmarkStart w:id="91" w:name="_Toc287607733"/>
      <w:bookmarkStart w:id="92" w:name="_Toc430530421"/>
      <w:r>
        <w:rPr>
          <w:rFonts w:hint="eastAsia" w:ascii="宋体" w:hAnsi="宋体" w:cs="宋体"/>
          <w:snapToGrid w:val="0"/>
          <w:color w:val="000000" w:themeColor="text1"/>
          <w:kern w:val="0"/>
          <w:szCs w:val="21"/>
          <w:highlight w:val="none"/>
          <w14:textFill>
            <w14:solidFill>
              <w14:schemeClr w14:val="tx1"/>
            </w14:solidFill>
          </w14:textFill>
        </w:rPr>
        <w:t>5.1 投标文件递交开始至结束时间为</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11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9</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时</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00</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分至</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11 </w:t>
      </w:r>
      <w:bookmarkStart w:id="1227" w:name="_GoBack"/>
      <w:bookmarkEnd w:id="1227"/>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9 </w:t>
      </w:r>
      <w:r>
        <w:rPr>
          <w:rFonts w:hint="eastAsia" w:ascii="宋体" w:hAnsi="宋体" w:cs="宋体"/>
          <w:snapToGrid w:val="0"/>
          <w:color w:val="000000" w:themeColor="text1"/>
          <w:kern w:val="0"/>
          <w:szCs w:val="21"/>
          <w:highlight w:val="none"/>
          <w14:textFill>
            <w14:solidFill>
              <w14:schemeClr w14:val="tx1"/>
            </w14:solidFill>
          </w14:textFill>
        </w:rPr>
        <w:t>时</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30 </w:t>
      </w:r>
      <w:r>
        <w:rPr>
          <w:rFonts w:hint="eastAsia" w:ascii="宋体" w:hAnsi="宋体" w:cs="宋体"/>
          <w:snapToGrid w:val="0"/>
          <w:color w:val="000000" w:themeColor="text1"/>
          <w:kern w:val="0"/>
          <w:szCs w:val="21"/>
          <w:highlight w:val="none"/>
          <w14:textFill>
            <w14:solidFill>
              <w14:schemeClr w14:val="tx1"/>
            </w14:solidFill>
          </w14:textFill>
        </w:rPr>
        <w:t>分（北京时间）。</w:t>
      </w:r>
    </w:p>
    <w:p w14:paraId="50F009B4">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递交地点为</w:t>
      </w:r>
      <w:r>
        <w:rPr>
          <w:rFonts w:hint="eastAsia" w:ascii="宋体" w:hAnsi="宋体"/>
          <w:color w:val="000000" w:themeColor="text1"/>
          <w:szCs w:val="21"/>
          <w:highlight w:val="none"/>
          <w:u w:val="single"/>
          <w:lang w:val="en-US" w:eastAsia="zh-CN"/>
          <w14:textFill>
            <w14:solidFill>
              <w14:schemeClr w14:val="tx1"/>
            </w14:solidFill>
          </w14:textFill>
        </w:rPr>
        <w:t>“重庆市公共资源交易中心南川分中心”（重庆市南川区西城街道办事处凤江南路3号商务中心右副楼二楼）接件处</w:t>
      </w:r>
      <w:r>
        <w:rPr>
          <w:rFonts w:hint="eastAsia" w:ascii="宋体" w:hAnsi="宋体" w:cs="宋体"/>
          <w:snapToGrid w:val="0"/>
          <w:color w:val="000000" w:themeColor="text1"/>
          <w:kern w:val="0"/>
          <w:szCs w:val="21"/>
          <w:highlight w:val="none"/>
          <w14:textFill>
            <w14:solidFill>
              <w14:schemeClr w14:val="tx1"/>
            </w14:solidFill>
          </w14:textFill>
        </w:rPr>
        <w:t>。</w:t>
      </w:r>
    </w:p>
    <w:p w14:paraId="56AB193B">
      <w:pPr>
        <w:autoSpaceDE w:val="0"/>
        <w:autoSpaceDN w:val="0"/>
        <w:adjustRightInd w:val="0"/>
        <w:snapToGrid w:val="0"/>
        <w:spacing w:line="480" w:lineRule="exact"/>
        <w:ind w:firstLine="390" w:firstLineChars="186"/>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w:t>
      </w:r>
      <w:r>
        <w:rPr>
          <w:rFonts w:hint="eastAsia" w:ascii="宋体" w:hAnsi="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 xml:space="preserve"> 逾期送达的或者未送达指定地点的投标文件，比选人及比选代理机构不予受理。</w:t>
      </w:r>
    </w:p>
    <w:p w14:paraId="39E2A137">
      <w:pPr>
        <w:pStyle w:val="4"/>
        <w:spacing w:line="480" w:lineRule="exact"/>
        <w:rPr>
          <w:rFonts w:ascii="宋体" w:hAnsi="宋体" w:cs="宋体"/>
          <w:snapToGrid w:val="0"/>
          <w:color w:val="000000" w:themeColor="text1"/>
          <w:sz w:val="21"/>
          <w:szCs w:val="21"/>
          <w:highlight w:val="none"/>
          <w14:textFill>
            <w14:solidFill>
              <w14:schemeClr w14:val="tx1"/>
            </w14:solidFill>
          </w14:textFill>
        </w:rPr>
      </w:pPr>
      <w:bookmarkStart w:id="93" w:name="_Toc20244"/>
      <w:bookmarkStart w:id="94" w:name="_Toc2321"/>
      <w:bookmarkStart w:id="95" w:name="_Toc10670"/>
      <w:bookmarkStart w:id="96" w:name="_Toc3597"/>
      <w:bookmarkStart w:id="97" w:name="_Toc4348"/>
      <w:r>
        <w:rPr>
          <w:rFonts w:hint="eastAsia" w:ascii="宋体" w:hAnsi="宋体" w:cs="宋体"/>
          <w:snapToGrid w:val="0"/>
          <w:color w:val="000000" w:themeColor="text1"/>
          <w:sz w:val="21"/>
          <w:szCs w:val="21"/>
          <w:highlight w:val="none"/>
          <w14:textFill>
            <w14:solidFill>
              <w14:schemeClr w14:val="tx1"/>
            </w14:solidFill>
          </w14:textFill>
        </w:rPr>
        <w:t>6. 发布公告的媒介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CBF6C5">
      <w:pPr>
        <w:widowControl/>
        <w:topLinePunct/>
        <w:spacing w:line="480" w:lineRule="exact"/>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bookmarkStart w:id="98" w:name="_Toc509218698"/>
      <w:bookmarkStart w:id="99" w:name="_Toc287607734"/>
      <w:bookmarkStart w:id="100" w:name="_Toc430530422"/>
      <w:bookmarkStart w:id="101" w:name="_Toc224103305"/>
      <w:bookmarkStart w:id="102" w:name="_Toc277082542"/>
      <w:bookmarkStart w:id="103" w:name="_Toc287620673"/>
      <w:bookmarkStart w:id="104" w:name="_Toc27848"/>
      <w:r>
        <w:rPr>
          <w:rFonts w:hint="eastAsia" w:ascii="宋体" w:hAnsi="宋体" w:cs="宋体"/>
          <w:snapToGrid w:val="0"/>
          <w:color w:val="000000" w:themeColor="text1"/>
          <w:kern w:val="0"/>
          <w:szCs w:val="21"/>
          <w:highlight w:val="none"/>
          <w14:textFill>
            <w14:solidFill>
              <w14:schemeClr w14:val="tx1"/>
            </w14:solidFill>
          </w14:textFill>
        </w:rPr>
        <w:t>本次竞争性比选公告于</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14:textFill>
            <w14:solidFill>
              <w14:schemeClr w14:val="tx1"/>
            </w14:solidFill>
          </w14:textFill>
        </w:rPr>
        <w:t>在</w:t>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重庆市公共资源交易网（南川区）限额以下工程项目交易系统</w:t>
      </w:r>
      <w:r>
        <w:rPr>
          <w:rFonts w:hint="eastAsia" w:ascii="宋体" w:hAnsi="宋体" w:cs="宋体"/>
          <w:snapToGrid w:val="0"/>
          <w:color w:val="000000" w:themeColor="text1"/>
          <w:kern w:val="0"/>
          <w:szCs w:val="21"/>
          <w:highlight w:val="none"/>
          <w:u w:val="none"/>
          <w:lang w:eastAsia="zh-CN"/>
          <w14:textFill>
            <w14:solidFill>
              <w14:schemeClr w14:val="tx1"/>
            </w14:solidFill>
          </w14:textFill>
        </w:rPr>
        <w:t>处</w:t>
      </w:r>
      <w:r>
        <w:rPr>
          <w:rFonts w:hint="eastAsia" w:ascii="宋体" w:hAnsi="宋体" w:cs="宋体"/>
          <w:snapToGrid w:val="0"/>
          <w:color w:val="000000" w:themeColor="text1"/>
          <w:kern w:val="0"/>
          <w:szCs w:val="21"/>
          <w:highlight w:val="none"/>
          <w14:textFill>
            <w14:solidFill>
              <w14:schemeClr w14:val="tx1"/>
            </w14:solidFill>
          </w14:textFill>
        </w:rPr>
        <w:t>发布。</w:t>
      </w:r>
    </w:p>
    <w:p w14:paraId="70BE8C7E">
      <w:pPr>
        <w:pStyle w:val="4"/>
        <w:spacing w:line="360" w:lineRule="exact"/>
        <w:rPr>
          <w:rFonts w:ascii="宋体" w:hAnsi="宋体" w:cs="宋体"/>
          <w:snapToGrid w:val="0"/>
          <w:color w:val="000000" w:themeColor="text1"/>
          <w:sz w:val="21"/>
          <w:szCs w:val="21"/>
          <w:highlight w:val="none"/>
          <w14:textFill>
            <w14:solidFill>
              <w14:schemeClr w14:val="tx1"/>
            </w14:solidFill>
          </w14:textFill>
        </w:rPr>
      </w:pPr>
      <w:bookmarkStart w:id="105" w:name="_Toc17169"/>
      <w:bookmarkStart w:id="106" w:name="_Toc27364"/>
      <w:bookmarkStart w:id="107" w:name="_Toc8434"/>
      <w:bookmarkStart w:id="108" w:name="_Toc24714"/>
      <w:bookmarkStart w:id="109" w:name="_Toc17929"/>
      <w:r>
        <w:rPr>
          <w:rFonts w:hint="eastAsia" w:ascii="宋体" w:hAnsi="宋体" w:cs="宋体"/>
          <w:snapToGrid w:val="0"/>
          <w:color w:val="000000" w:themeColor="text1"/>
          <w:sz w:val="21"/>
          <w:szCs w:val="21"/>
          <w:highlight w:val="none"/>
          <w14:textFill>
            <w14:solidFill>
              <w14:schemeClr w14:val="tx1"/>
            </w14:solidFill>
          </w14:textFill>
        </w:rPr>
        <w:t>7. 联系方式</w:t>
      </w:r>
      <w:bookmarkEnd w:id="98"/>
      <w:bookmarkEnd w:id="99"/>
      <w:bookmarkEnd w:id="100"/>
      <w:bookmarkEnd w:id="101"/>
      <w:bookmarkEnd w:id="102"/>
      <w:bookmarkEnd w:id="103"/>
      <w:bookmarkEnd w:id="104"/>
      <w:bookmarkEnd w:id="105"/>
      <w:bookmarkEnd w:id="106"/>
      <w:bookmarkEnd w:id="107"/>
      <w:bookmarkEnd w:id="108"/>
      <w:bookmarkEnd w:id="109"/>
    </w:p>
    <w:p w14:paraId="3675963B">
      <w:pPr>
        <w:widowControl/>
        <w:topLinePunct/>
        <w:spacing w:line="480" w:lineRule="exact"/>
        <w:ind w:firstLine="420" w:firstLineChars="200"/>
        <w:jc w:val="left"/>
        <w:rPr>
          <w:rFonts w:hint="eastAsia" w:ascii="宋体" w:hAnsi="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比选人：重庆市南川区兴隆镇人民政府</w:t>
      </w:r>
    </w:p>
    <w:p w14:paraId="1EB96C31">
      <w:pPr>
        <w:autoSpaceDE w:val="0"/>
        <w:autoSpaceDN w:val="0"/>
        <w:adjustRightInd w:val="0"/>
        <w:snapToGrid w:val="0"/>
        <w:spacing w:line="480" w:lineRule="exact"/>
        <w:ind w:firstLine="390" w:firstLineChars="186"/>
        <w:jc w:val="left"/>
        <w:rPr>
          <w:rFonts w:hint="eastAsia" w:ascii="宋体" w:hAnsi="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联系人：刘先木 </w:t>
      </w:r>
    </w:p>
    <w:p w14:paraId="34F068D9">
      <w:pPr>
        <w:autoSpaceDE w:val="0"/>
        <w:autoSpaceDN w:val="0"/>
        <w:adjustRightInd w:val="0"/>
        <w:snapToGrid w:val="0"/>
        <w:spacing w:line="480" w:lineRule="exact"/>
        <w:ind w:firstLine="390" w:firstLineChars="186"/>
        <w:jc w:val="left"/>
        <w:rPr>
          <w:rFonts w:hint="eastAsia" w:ascii="宋体" w:hAnsi="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联系方式：13452556717 </w:t>
      </w:r>
    </w:p>
    <w:p w14:paraId="1D55B933">
      <w:pPr>
        <w:autoSpaceDE w:val="0"/>
        <w:autoSpaceDN w:val="0"/>
        <w:adjustRightInd w:val="0"/>
        <w:snapToGrid w:val="0"/>
        <w:spacing w:line="480" w:lineRule="exact"/>
        <w:ind w:firstLine="390" w:firstLineChars="186"/>
        <w:jc w:val="left"/>
        <w:rPr>
          <w:rFonts w:hint="eastAsia" w:ascii="宋体" w:hAnsi="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地  址：重庆市南川区兴隆镇 </w:t>
      </w:r>
    </w:p>
    <w:p w14:paraId="197D4048">
      <w:pPr>
        <w:widowControl/>
        <w:topLinePunct/>
        <w:spacing w:line="480" w:lineRule="exact"/>
        <w:jc w:val="left"/>
        <w:rPr>
          <w:rFonts w:hint="default" w:ascii="宋体" w:hAnsi="宋体" w:cs="宋体"/>
          <w:snapToGrid w:val="0"/>
          <w:color w:val="000000" w:themeColor="text1"/>
          <w:kern w:val="0"/>
          <w:szCs w:val="21"/>
          <w:highlight w:val="none"/>
          <w:lang w:val="en-US" w:eastAsia="zh-CN"/>
          <w14:textFill>
            <w14:solidFill>
              <w14:schemeClr w14:val="tx1"/>
            </w14:solidFill>
          </w14:textFill>
        </w:rPr>
      </w:pPr>
    </w:p>
    <w:p w14:paraId="1843BB59">
      <w:pPr>
        <w:widowControl/>
        <w:topLinePunct/>
        <w:spacing w:line="480" w:lineRule="exact"/>
        <w:ind w:firstLine="420" w:firstLineChars="20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比选代理机构</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重庆市建功盛汇工程项目管理有限公司</w:t>
      </w:r>
    </w:p>
    <w:p w14:paraId="33CA037B">
      <w:pPr>
        <w:tabs>
          <w:tab w:val="left" w:pos="2420"/>
          <w:tab w:val="left" w:pos="5445"/>
        </w:tabs>
        <w:autoSpaceDE w:val="0"/>
        <w:autoSpaceDN w:val="0"/>
        <w:adjustRightInd w:val="0"/>
        <w:snapToGrid w:val="0"/>
        <w:spacing w:line="450" w:lineRule="exact"/>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Times New Roman"/>
          <w:snapToGrid w:val="0"/>
          <w:color w:val="000000" w:themeColor="text1"/>
          <w:kern w:val="0"/>
          <w:szCs w:val="21"/>
          <w:highlight w:val="none"/>
          <w:u w:val="none"/>
          <w:lang w:eastAsia="zh-CN"/>
          <w14:textFill>
            <w14:solidFill>
              <w14:schemeClr w14:val="tx1"/>
            </w14:solidFill>
          </w14:textFill>
        </w:rPr>
        <w:t>重庆市南岸区南坪开发路31号科尔大厦16-12</w:t>
      </w:r>
    </w:p>
    <w:p w14:paraId="662A4B24">
      <w:pPr>
        <w:widowControl/>
        <w:topLinePunct/>
        <w:spacing w:line="48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 xml:space="preserve">程欢欢 </w:t>
      </w:r>
    </w:p>
    <w:p w14:paraId="0EC0D2FE">
      <w:pPr>
        <w:widowControl/>
        <w:topLinePunct/>
        <w:spacing w:line="480" w:lineRule="exact"/>
        <w:ind w:firstLine="420" w:firstLineChars="200"/>
        <w:jc w:val="left"/>
        <w:rPr>
          <w:rFonts w:hint="default" w:ascii="宋体" w:hAnsi="宋体" w:cs="宋体"/>
          <w:snapToGrid w:val="0"/>
          <w:color w:val="000000" w:themeColor="text1"/>
          <w:kern w:val="0"/>
          <w:szCs w:val="21"/>
          <w:highlight w:val="none"/>
          <w:lang w:val="en-US"/>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Times New Roman"/>
          <w:snapToGrid w:val="0"/>
          <w:color w:val="000000" w:themeColor="text1"/>
          <w:kern w:val="0"/>
          <w:szCs w:val="21"/>
          <w:highlight w:val="none"/>
          <w:u w:val="none"/>
          <w:lang w:eastAsia="zh-CN"/>
          <w14:textFill>
            <w14:solidFill>
              <w14:schemeClr w14:val="tx1"/>
            </w14:solidFill>
          </w14:textFill>
        </w:rPr>
        <w:t>15803633956</w:t>
      </w:r>
    </w:p>
    <w:p w14:paraId="3F3A882A">
      <w:pPr>
        <w:tabs>
          <w:tab w:val="left" w:pos="5140"/>
          <w:tab w:val="left" w:pos="8420"/>
        </w:tabs>
        <w:autoSpaceDE w:val="0"/>
        <w:autoSpaceDN w:val="0"/>
        <w:adjustRightInd w:val="0"/>
        <w:snapToGrid w:val="0"/>
        <w:spacing w:line="360" w:lineRule="auto"/>
        <w:ind w:firstLine="7140" w:firstLineChars="3400"/>
        <w:jc w:val="left"/>
        <w:rPr>
          <w:rFonts w:ascii="宋体" w:hAnsi="宋体" w:cs="宋体"/>
          <w:snapToGrid w:val="0"/>
          <w:color w:val="000000" w:themeColor="text1"/>
          <w:kern w:val="0"/>
          <w:szCs w:val="21"/>
          <w:highlight w:val="none"/>
          <w:u w:val="single"/>
          <w14:textFill>
            <w14:solidFill>
              <w14:schemeClr w14:val="tx1"/>
            </w14:solidFill>
          </w14:textFill>
        </w:rPr>
      </w:pPr>
    </w:p>
    <w:p w14:paraId="2265025F">
      <w:pPr>
        <w:tabs>
          <w:tab w:val="left" w:pos="5140"/>
          <w:tab w:val="left" w:pos="8420"/>
        </w:tabs>
        <w:autoSpaceDE w:val="0"/>
        <w:autoSpaceDN w:val="0"/>
        <w:adjustRightInd w:val="0"/>
        <w:snapToGrid w:val="0"/>
        <w:spacing w:line="360" w:lineRule="auto"/>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202</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3</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3 </w:t>
      </w:r>
      <w:r>
        <w:rPr>
          <w:rFonts w:hint="eastAsia" w:ascii="宋体" w:hAnsi="宋体" w:cs="宋体"/>
          <w:snapToGrid w:val="0"/>
          <w:color w:val="000000" w:themeColor="text1"/>
          <w:kern w:val="0"/>
          <w:szCs w:val="21"/>
          <w:highlight w:val="none"/>
          <w14:textFill>
            <w14:solidFill>
              <w14:schemeClr w14:val="tx1"/>
            </w14:solidFill>
          </w14:textFill>
        </w:rPr>
        <w:t>日</w:t>
      </w:r>
    </w:p>
    <w:p w14:paraId="285902B8">
      <w:pP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p>
    <w:p w14:paraId="391ABD0E">
      <w:pPr>
        <w:pStyle w:val="3"/>
        <w:spacing w:line="360" w:lineRule="auto"/>
        <w:jc w:val="center"/>
        <w:rPr>
          <w:rFonts w:ascii="宋体" w:hAnsi="宋体" w:cs="宋体"/>
          <w:bCs w:val="0"/>
          <w:snapToGrid w:val="0"/>
          <w:color w:val="000000" w:themeColor="text1"/>
          <w:kern w:val="0"/>
          <w:sz w:val="36"/>
          <w:szCs w:val="36"/>
          <w:highlight w:val="none"/>
          <w14:textFill>
            <w14:solidFill>
              <w14:schemeClr w14:val="tx1"/>
            </w14:solidFill>
          </w14:textFill>
        </w:rPr>
      </w:pPr>
      <w:bookmarkStart w:id="110" w:name="_Toc9467"/>
      <w:bookmarkStart w:id="111" w:name="_Toc8939"/>
      <w:bookmarkStart w:id="112" w:name="_Toc14889"/>
      <w:r>
        <w:rPr>
          <w:rFonts w:hint="eastAsia" w:ascii="宋体" w:hAnsi="宋体" w:cs="宋体"/>
          <w:snapToGrid w:val="0"/>
          <w:color w:val="000000" w:themeColor="text1"/>
          <w:kern w:val="0"/>
          <w:sz w:val="36"/>
          <w:szCs w:val="36"/>
          <w:highlight w:val="none"/>
          <w14:textFill>
            <w14:solidFill>
              <w14:schemeClr w14:val="tx1"/>
            </w14:solidFill>
          </w14:textFill>
        </w:rPr>
        <w:t xml:space="preserve">第二章  </w:t>
      </w:r>
      <w:r>
        <w:rPr>
          <w:rFonts w:hint="eastAsia" w:ascii="宋体" w:hAnsi="宋体" w:cs="宋体"/>
          <w:snapToGrid w:val="0"/>
          <w:color w:val="000000" w:themeColor="text1"/>
          <w:kern w:val="0"/>
          <w:sz w:val="36"/>
          <w:szCs w:val="36"/>
          <w:highlight w:val="none"/>
          <w:lang w:eastAsia="zh-CN"/>
          <w14:textFill>
            <w14:solidFill>
              <w14:schemeClr w14:val="tx1"/>
            </w14:solidFill>
          </w14:textFill>
        </w:rPr>
        <w:t>投标人</w:t>
      </w:r>
      <w:r>
        <w:rPr>
          <w:rFonts w:hint="eastAsia" w:ascii="宋体" w:hAnsi="宋体" w:cs="宋体"/>
          <w:snapToGrid w:val="0"/>
          <w:color w:val="000000" w:themeColor="text1"/>
          <w:kern w:val="0"/>
          <w:sz w:val="36"/>
          <w:szCs w:val="36"/>
          <w:highlight w:val="none"/>
          <w14:textFill>
            <w14:solidFill>
              <w14:schemeClr w14:val="tx1"/>
            </w14:solidFill>
          </w14:textFill>
        </w:rPr>
        <w:t>须知</w:t>
      </w:r>
      <w:bookmarkEnd w:id="29"/>
      <w:bookmarkEnd w:id="30"/>
      <w:bookmarkEnd w:id="31"/>
      <w:bookmarkEnd w:id="32"/>
      <w:bookmarkEnd w:id="110"/>
      <w:bookmarkEnd w:id="111"/>
      <w:bookmarkEnd w:id="112"/>
      <w:bookmarkStart w:id="113" w:name="_Toc224103316"/>
      <w:bookmarkStart w:id="114" w:name="_Toc277082551"/>
      <w:bookmarkStart w:id="115" w:name="_Toc287620684"/>
      <w:bookmarkStart w:id="116" w:name="_Toc430530433"/>
      <w:bookmarkStart w:id="117" w:name="_Toc287607745"/>
    </w:p>
    <w:p w14:paraId="289EAC38">
      <w:pPr>
        <w:pStyle w:val="4"/>
        <w:spacing w:before="100" w:line="360" w:lineRule="auto"/>
        <w:jc w:val="center"/>
        <w:rPr>
          <w:rFonts w:ascii="宋体" w:hAnsi="宋体" w:cs="宋体"/>
          <w:color w:val="000000" w:themeColor="text1"/>
          <w:highlight w:val="none"/>
          <w14:textFill>
            <w14:solidFill>
              <w14:schemeClr w14:val="tx1"/>
            </w14:solidFill>
          </w14:textFill>
        </w:rPr>
      </w:pPr>
      <w:bookmarkStart w:id="118" w:name="_Toc17423"/>
      <w:bookmarkStart w:id="119" w:name="_Toc2436"/>
      <w:bookmarkStart w:id="120" w:name="_Toc22547"/>
      <w:bookmarkStart w:id="121" w:name="_Toc23948"/>
      <w:bookmarkStart w:id="122" w:name="_Toc3367"/>
      <w:bookmarkStart w:id="123" w:name="_Toc15159"/>
      <w:bookmarkStart w:id="124" w:name="_Toc509218708"/>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须知前附表</w:t>
      </w:r>
      <w:bookmarkEnd w:id="113"/>
      <w:bookmarkEnd w:id="114"/>
      <w:bookmarkEnd w:id="115"/>
      <w:bookmarkEnd w:id="116"/>
      <w:bookmarkEnd w:id="117"/>
      <w:bookmarkEnd w:id="118"/>
      <w:bookmarkEnd w:id="119"/>
      <w:bookmarkEnd w:id="120"/>
      <w:bookmarkEnd w:id="121"/>
      <w:bookmarkEnd w:id="122"/>
      <w:bookmarkEnd w:id="123"/>
      <w:bookmarkEnd w:id="124"/>
    </w:p>
    <w:p w14:paraId="252F62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正文内容不允许修改。若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须知前附表与正文不一致的地方，以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须知前附表为准。</w:t>
      </w:r>
    </w:p>
    <w:tbl>
      <w:tblPr>
        <w:tblStyle w:val="47"/>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98"/>
        <w:gridCol w:w="6483"/>
      </w:tblGrid>
      <w:tr w14:paraId="4B225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1335" w:type="dxa"/>
            <w:vAlign w:val="center"/>
          </w:tcPr>
          <w:p w14:paraId="6BEDCEB4">
            <w:pPr>
              <w:snapToGrid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898" w:type="dxa"/>
            <w:vAlign w:val="center"/>
          </w:tcPr>
          <w:p w14:paraId="67A9C64A">
            <w:pPr>
              <w:snapToGrid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483" w:type="dxa"/>
            <w:vAlign w:val="center"/>
          </w:tcPr>
          <w:p w14:paraId="58C7AF08">
            <w:pPr>
              <w:snapToGrid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721B6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F7C59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898" w:type="dxa"/>
            <w:vAlign w:val="center"/>
          </w:tcPr>
          <w:p w14:paraId="5321D770">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483" w:type="dxa"/>
            <w:vAlign w:val="center"/>
          </w:tcPr>
          <w:p w14:paraId="18143367">
            <w:pPr>
              <w:tabs>
                <w:tab w:val="left" w:pos="2420"/>
                <w:tab w:val="left" w:pos="5445"/>
              </w:tabs>
              <w:autoSpaceDE w:val="0"/>
              <w:autoSpaceDN w:val="0"/>
              <w:adjustRightInd w:val="0"/>
              <w:snapToGrid w:val="0"/>
              <w:spacing w:line="450" w:lineRule="exact"/>
              <w:ind w:firstLine="420"/>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w:t>
            </w: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选人：重庆市南川区兴隆镇人民政府</w:t>
            </w:r>
          </w:p>
          <w:p w14:paraId="078B0B99">
            <w:pPr>
              <w:tabs>
                <w:tab w:val="left" w:pos="2420"/>
                <w:tab w:val="left" w:pos="5445"/>
              </w:tabs>
              <w:autoSpaceDE w:val="0"/>
              <w:autoSpaceDN w:val="0"/>
              <w:adjustRightInd w:val="0"/>
              <w:snapToGrid w:val="0"/>
              <w:spacing w:line="450" w:lineRule="exact"/>
              <w:ind w:firstLine="420"/>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 xml:space="preserve">联系人：刘先木 </w:t>
            </w:r>
          </w:p>
          <w:p w14:paraId="7B6654AA">
            <w:pPr>
              <w:tabs>
                <w:tab w:val="left" w:pos="2420"/>
                <w:tab w:val="left" w:pos="5445"/>
              </w:tabs>
              <w:autoSpaceDE w:val="0"/>
              <w:autoSpaceDN w:val="0"/>
              <w:adjustRightInd w:val="0"/>
              <w:snapToGrid w:val="0"/>
              <w:spacing w:line="450" w:lineRule="exact"/>
              <w:ind w:firstLine="420"/>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 xml:space="preserve">联系方式：13452556717 </w:t>
            </w:r>
          </w:p>
          <w:p w14:paraId="43D298D3">
            <w:pPr>
              <w:tabs>
                <w:tab w:val="left" w:pos="2420"/>
                <w:tab w:val="left" w:pos="5445"/>
              </w:tabs>
              <w:autoSpaceDE w:val="0"/>
              <w:autoSpaceDN w:val="0"/>
              <w:adjustRightInd w:val="0"/>
              <w:snapToGrid w:val="0"/>
              <w:spacing w:line="450" w:lineRule="exact"/>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 xml:space="preserve">地  址：重庆市南川区兴隆镇 </w:t>
            </w:r>
          </w:p>
        </w:tc>
      </w:tr>
      <w:tr w14:paraId="11367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335" w:type="dxa"/>
            <w:vAlign w:val="center"/>
          </w:tcPr>
          <w:p w14:paraId="6E815CF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898" w:type="dxa"/>
            <w:vAlign w:val="center"/>
          </w:tcPr>
          <w:p w14:paraId="3FAA1A0B">
            <w:pPr>
              <w:snapToGrid w:val="0"/>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招标代理机构</w:t>
            </w:r>
          </w:p>
        </w:tc>
        <w:tc>
          <w:tcPr>
            <w:tcW w:w="6483" w:type="dxa"/>
            <w:vAlign w:val="center"/>
          </w:tcPr>
          <w:p w14:paraId="5F15B0CF">
            <w:pPr>
              <w:widowControl/>
              <w:topLinePunct/>
              <w:spacing w:line="480" w:lineRule="exact"/>
              <w:ind w:firstLine="420" w:firstLineChars="20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重庆市建功盛汇工程项目管理有限公司</w:t>
            </w:r>
          </w:p>
          <w:p w14:paraId="118AC23E">
            <w:pPr>
              <w:tabs>
                <w:tab w:val="left" w:pos="2420"/>
                <w:tab w:val="left" w:pos="5445"/>
              </w:tabs>
              <w:autoSpaceDE w:val="0"/>
              <w:autoSpaceDN w:val="0"/>
              <w:adjustRightInd w:val="0"/>
              <w:snapToGrid w:val="0"/>
              <w:spacing w:line="450" w:lineRule="exact"/>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Times New Roman"/>
                <w:snapToGrid w:val="0"/>
                <w:color w:val="000000" w:themeColor="text1"/>
                <w:kern w:val="0"/>
                <w:szCs w:val="21"/>
                <w:highlight w:val="none"/>
                <w:u w:val="none"/>
                <w:lang w:eastAsia="zh-CN"/>
                <w14:textFill>
                  <w14:solidFill>
                    <w14:schemeClr w14:val="tx1"/>
                  </w14:solidFill>
                </w14:textFill>
              </w:rPr>
              <w:t>重庆市南岸区南坪开发路31号科尔大厦16-12</w:t>
            </w:r>
          </w:p>
          <w:p w14:paraId="1057CE71">
            <w:pPr>
              <w:widowControl/>
              <w:topLinePunct/>
              <w:spacing w:line="48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u w:val="none"/>
                <w:lang w:val="en-US" w:eastAsia="zh-CN"/>
                <w14:textFill>
                  <w14:solidFill>
                    <w14:schemeClr w14:val="tx1"/>
                  </w14:solidFill>
                </w14:textFill>
              </w:rPr>
              <w:t xml:space="preserve">程欢欢 </w:t>
            </w:r>
          </w:p>
          <w:p w14:paraId="5F2BEA5F">
            <w:pPr>
              <w:widowControl/>
              <w:topLinePunct/>
              <w:spacing w:line="480" w:lineRule="exact"/>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Times New Roman"/>
                <w:snapToGrid w:val="0"/>
                <w:color w:val="000000" w:themeColor="text1"/>
                <w:kern w:val="0"/>
                <w:szCs w:val="21"/>
                <w:highlight w:val="none"/>
                <w:u w:val="none"/>
                <w:lang w:eastAsia="zh-CN"/>
                <w14:textFill>
                  <w14:solidFill>
                    <w14:schemeClr w14:val="tx1"/>
                  </w14:solidFill>
                </w14:textFill>
              </w:rPr>
              <w:t>15803633956</w:t>
            </w:r>
          </w:p>
        </w:tc>
      </w:tr>
      <w:tr w14:paraId="0BA69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5" w:type="dxa"/>
            <w:vAlign w:val="center"/>
          </w:tcPr>
          <w:p w14:paraId="46BA434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898" w:type="dxa"/>
            <w:vAlign w:val="center"/>
          </w:tcPr>
          <w:p w14:paraId="6C586D4B">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483" w:type="dxa"/>
            <w:vAlign w:val="center"/>
          </w:tcPr>
          <w:p w14:paraId="1AB2ECB5">
            <w:pPr>
              <w:snapToGrid w:val="0"/>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兴隆镇金花村5社烂田湾水源地整治工程</w:t>
            </w:r>
          </w:p>
        </w:tc>
      </w:tr>
      <w:tr w14:paraId="6D1D1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27A9870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898" w:type="dxa"/>
            <w:vAlign w:val="center"/>
          </w:tcPr>
          <w:p w14:paraId="3D6C5969">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483" w:type="dxa"/>
            <w:vAlign w:val="center"/>
          </w:tcPr>
          <w:p w14:paraId="74C8F1C5">
            <w:pPr>
              <w:snapToGrid w:val="0"/>
              <w:ind w:firstLine="420" w:firstLineChars="200"/>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南川区兴隆镇金花村5社</w:t>
            </w:r>
          </w:p>
        </w:tc>
      </w:tr>
      <w:tr w14:paraId="2AEAF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E6F211E">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898" w:type="dxa"/>
            <w:vAlign w:val="center"/>
          </w:tcPr>
          <w:p w14:paraId="4FE8E2C2">
            <w:pPr>
              <w:snapToGrid w:val="0"/>
              <w:spacing w:line="36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w:t>
            </w:r>
            <w:r>
              <w:rPr>
                <w:rFonts w:hint="eastAsia" w:ascii="宋体" w:hAnsi="宋体" w:cs="宋体"/>
                <w:color w:val="000000" w:themeColor="text1"/>
                <w:kern w:val="0"/>
                <w:szCs w:val="21"/>
                <w:highlight w:val="none"/>
                <w:lang w:eastAsia="zh-CN"/>
                <w14:textFill>
                  <w14:solidFill>
                    <w14:schemeClr w14:val="tx1"/>
                  </w14:solidFill>
                </w14:textFill>
              </w:rPr>
              <w:t>内容</w:t>
            </w:r>
          </w:p>
        </w:tc>
        <w:tc>
          <w:tcPr>
            <w:tcW w:w="6483" w:type="dxa"/>
            <w:vAlign w:val="center"/>
          </w:tcPr>
          <w:p w14:paraId="3F83C061">
            <w:pPr>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挡水建筑物整治、库区防渗及库区耕作道硬化等</w:t>
            </w:r>
          </w:p>
        </w:tc>
      </w:tr>
      <w:tr w14:paraId="15816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5C0972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898" w:type="dxa"/>
            <w:vAlign w:val="center"/>
          </w:tcPr>
          <w:p w14:paraId="3E0B3F67">
            <w:pPr>
              <w:spacing w:line="36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资金来源</w:t>
            </w:r>
          </w:p>
        </w:tc>
        <w:tc>
          <w:tcPr>
            <w:tcW w:w="6483" w:type="dxa"/>
            <w:vAlign w:val="center"/>
          </w:tcPr>
          <w:p w14:paraId="42FD8F1A">
            <w:pPr>
              <w:spacing w:line="360" w:lineRule="exact"/>
              <w:ind w:firstLine="420" w:firstLineChars="200"/>
              <w:rPr>
                <w:rFonts w:hint="eastAsia" w:ascii="宋体" w:hAnsi="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2024年人饮维修养护工程（第三批）</w:t>
            </w:r>
          </w:p>
        </w:tc>
      </w:tr>
      <w:tr w14:paraId="488ED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45518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898" w:type="dxa"/>
            <w:vAlign w:val="center"/>
          </w:tcPr>
          <w:p w14:paraId="2CC10C98">
            <w:pPr>
              <w:spacing w:line="36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出资比例</w:t>
            </w:r>
          </w:p>
        </w:tc>
        <w:tc>
          <w:tcPr>
            <w:tcW w:w="6483" w:type="dxa"/>
            <w:vAlign w:val="center"/>
          </w:tcPr>
          <w:p w14:paraId="1E37868D">
            <w:pPr>
              <w:spacing w:line="36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100%</w:t>
            </w:r>
          </w:p>
        </w:tc>
      </w:tr>
      <w:tr w14:paraId="48640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5ED52">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898" w:type="dxa"/>
            <w:vAlign w:val="center"/>
          </w:tcPr>
          <w:p w14:paraId="38F5873D">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483" w:type="dxa"/>
            <w:vAlign w:val="center"/>
          </w:tcPr>
          <w:p w14:paraId="513A7B03">
            <w:pPr>
              <w:snapToGrid w:val="0"/>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已落实</w:t>
            </w:r>
          </w:p>
        </w:tc>
      </w:tr>
      <w:tr w14:paraId="5D687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5FD5C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898" w:type="dxa"/>
            <w:vAlign w:val="center"/>
          </w:tcPr>
          <w:p w14:paraId="1108CEF6">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招标范围</w:t>
            </w:r>
          </w:p>
        </w:tc>
        <w:tc>
          <w:tcPr>
            <w:tcW w:w="6483" w:type="dxa"/>
            <w:vAlign w:val="center"/>
          </w:tcPr>
          <w:p w14:paraId="730CD8C7">
            <w:pPr>
              <w:snapToGrid w:val="0"/>
              <w:spacing w:line="360" w:lineRule="auto"/>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本次招标活动所提供的施工设计图所示范围的全部内容以及比选人提供的工程量清单、答疑资料、澄清资料、其他补遗资料等相关内容。</w:t>
            </w:r>
          </w:p>
        </w:tc>
      </w:tr>
      <w:tr w14:paraId="2241B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35" w:type="dxa"/>
            <w:vAlign w:val="center"/>
          </w:tcPr>
          <w:p w14:paraId="1BB153CF">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898" w:type="dxa"/>
            <w:vAlign w:val="center"/>
          </w:tcPr>
          <w:p w14:paraId="0B2ADF3A">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计划工期</w:t>
            </w:r>
          </w:p>
          <w:p w14:paraId="345B8B6B">
            <w:pPr>
              <w:snapToGrid w:val="0"/>
              <w:jc w:val="center"/>
              <w:rPr>
                <w:rFonts w:ascii="宋体" w:hAnsi="宋体" w:cs="宋体"/>
                <w:color w:val="000000" w:themeColor="text1"/>
                <w:kern w:val="0"/>
                <w:szCs w:val="21"/>
                <w:highlight w:val="none"/>
                <w14:textFill>
                  <w14:solidFill>
                    <w14:schemeClr w14:val="tx1"/>
                  </w14:solidFill>
                </w14:textFill>
              </w:rPr>
            </w:pPr>
          </w:p>
        </w:tc>
        <w:tc>
          <w:tcPr>
            <w:tcW w:w="6483" w:type="dxa"/>
            <w:vAlign w:val="center"/>
          </w:tcPr>
          <w:p w14:paraId="26A87862">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：30日历天</w:t>
            </w:r>
          </w:p>
        </w:tc>
      </w:tr>
      <w:tr w14:paraId="50B1B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4A431A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898" w:type="dxa"/>
            <w:vAlign w:val="center"/>
          </w:tcPr>
          <w:p w14:paraId="22EB57A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483" w:type="dxa"/>
            <w:vAlign w:val="center"/>
          </w:tcPr>
          <w:p w14:paraId="77CBD0D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符合强制性质量标准，符合国家和重庆市现行有关施工质量验收规范要求，并达到合格标准。</w:t>
            </w:r>
          </w:p>
        </w:tc>
      </w:tr>
      <w:tr w14:paraId="5A297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28EEC01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898" w:type="dxa"/>
            <w:vAlign w:val="center"/>
          </w:tcPr>
          <w:p w14:paraId="2A4B108E">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资质条件、能力和信誉</w:t>
            </w:r>
          </w:p>
        </w:tc>
        <w:tc>
          <w:tcPr>
            <w:tcW w:w="6483" w:type="dxa"/>
            <w:vAlign w:val="center"/>
          </w:tcPr>
          <w:p w14:paraId="31B9E3ED">
            <w:pPr>
              <w:autoSpaceDE w:val="0"/>
              <w:autoSpaceDN w:val="0"/>
              <w:adjustRightInd w:val="0"/>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bookmarkStart w:id="125" w:name="OLE_LINK1"/>
            <w:r>
              <w:rPr>
                <w:rFonts w:hint="eastAsia" w:ascii="宋体" w:hAnsi="宋体" w:cs="宋体"/>
                <w:color w:val="000000" w:themeColor="text1"/>
                <w:szCs w:val="21"/>
                <w:highlight w:val="none"/>
                <w14:textFill>
                  <w14:solidFill>
                    <w14:schemeClr w14:val="tx1"/>
                  </w14:solidFill>
                </w14:textFill>
              </w:rPr>
              <w:t>本工程施工招标实行资格后审，</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应</w:t>
            </w:r>
            <w:bookmarkStart w:id="126" w:name="一是"/>
            <w:bookmarkEnd w:id="126"/>
            <w:r>
              <w:rPr>
                <w:rFonts w:hint="eastAsia" w:ascii="宋体" w:hAnsi="宋体" w:cs="宋体"/>
                <w:color w:val="000000" w:themeColor="text1"/>
                <w:szCs w:val="21"/>
                <w:highlight w:val="none"/>
                <w14:textFill>
                  <w14:solidFill>
                    <w14:schemeClr w14:val="tx1"/>
                  </w14:solidFill>
                </w14:textFill>
              </w:rPr>
              <w:t>具备以下资格条件：</w:t>
            </w:r>
            <w:bookmarkEnd w:id="125"/>
          </w:p>
          <w:p w14:paraId="06A54690">
            <w:pPr>
              <w:autoSpaceDE w:val="0"/>
              <w:autoSpaceDN w:val="0"/>
              <w:adjustRightInd w:val="0"/>
              <w:snapToGrid w:val="0"/>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1.资质条件、营业执照及安全生产条件</w:t>
            </w:r>
          </w:p>
          <w:p w14:paraId="00B156E5">
            <w:pPr>
              <w:autoSpaceDE w:val="0"/>
              <w:autoSpaceDN w:val="0"/>
              <w:adjustRightInd w:val="0"/>
              <w:snapToGrid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14:textFill>
                  <w14:solidFill>
                    <w14:schemeClr w14:val="tx1"/>
                  </w14:solidFill>
                </w14:textFill>
              </w:rPr>
              <w:t>具备建设行政主管部门颁发的水利水电工程施工总承包叁级及以上资质或</w:t>
            </w:r>
            <w:r>
              <w:rPr>
                <w:rFonts w:hint="eastAsia" w:ascii="宋体" w:hAnsi="宋体"/>
                <w:snapToGrid w:val="0"/>
                <w:color w:val="000000" w:themeColor="text1"/>
                <w:kern w:val="0"/>
                <w:szCs w:val="21"/>
                <w:highlight w:val="none"/>
                <w14:textFill>
                  <w14:solidFill>
                    <w14:schemeClr w14:val="tx1"/>
                  </w14:solidFill>
                </w14:textFill>
              </w:rPr>
              <w:t>建筑工程施工总承包</w:t>
            </w:r>
            <w:r>
              <w:rPr>
                <w:rFonts w:hint="eastAsia" w:ascii="宋体" w:hAnsi="宋体"/>
                <w:snapToGrid w:val="0"/>
                <w:color w:val="000000" w:themeColor="text1"/>
                <w:kern w:val="0"/>
                <w:szCs w:val="21"/>
                <w:highlight w:val="none"/>
                <w:lang w:val="en-US" w:eastAsia="zh-CN"/>
                <w14:textFill>
                  <w14:solidFill>
                    <w14:schemeClr w14:val="tx1"/>
                  </w14:solidFill>
                </w14:textFill>
              </w:rPr>
              <w:t>叁</w:t>
            </w:r>
            <w:r>
              <w:rPr>
                <w:rFonts w:hint="eastAsia" w:ascii="宋体" w:hAnsi="宋体"/>
                <w:snapToGrid w:val="0"/>
                <w:color w:val="000000" w:themeColor="text1"/>
                <w:kern w:val="0"/>
                <w:szCs w:val="21"/>
                <w:highlight w:val="none"/>
                <w14:textFill>
                  <w14:solidFill>
                    <w14:schemeClr w14:val="tx1"/>
                  </w14:solidFill>
                </w14:textFill>
              </w:rPr>
              <w:t>级</w:t>
            </w:r>
            <w:r>
              <w:rPr>
                <w:rFonts w:hint="eastAsia" w:ascii="宋体" w:hAnsi="宋体" w:cs="宋体"/>
                <w:snapToGrid w:val="0"/>
                <w:color w:val="000000" w:themeColor="text1"/>
                <w:kern w:val="0"/>
                <w:szCs w:val="21"/>
                <w:highlight w:val="none"/>
                <w14:textFill>
                  <w14:solidFill>
                    <w14:schemeClr w14:val="tx1"/>
                  </w14:solidFill>
                </w14:textFill>
              </w:rPr>
              <w:t>及以上资质</w:t>
            </w:r>
            <w:r>
              <w:rPr>
                <w:rFonts w:hint="eastAsia" w:ascii="宋体" w:hAnsi="宋体" w:cs="宋体"/>
                <w:b/>
                <w:bCs/>
                <w:snapToGrid w:val="0"/>
                <w:color w:val="000000" w:themeColor="text1"/>
                <w:kern w:val="0"/>
                <w:szCs w:val="21"/>
                <w:highlight w:val="none"/>
                <w:u w:val="none"/>
                <w14:textFill>
                  <w14:solidFill>
                    <w14:schemeClr w14:val="tx1"/>
                  </w14:solidFill>
                </w14:textFill>
              </w:rPr>
              <w:t>。</w:t>
            </w:r>
          </w:p>
          <w:p w14:paraId="75A54DB4">
            <w:pPr>
              <w:autoSpaceDE w:val="0"/>
              <w:autoSpaceDN w:val="0"/>
              <w:adjustRightInd w:val="0"/>
              <w:snapToGrid w:val="0"/>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投标人</w:t>
            </w:r>
            <w:r>
              <w:rPr>
                <w:rFonts w:hint="eastAsia" w:ascii="宋体" w:hAnsi="宋体" w:cs="宋体"/>
                <w:b/>
                <w:bCs/>
                <w:color w:val="000000" w:themeColor="text1"/>
                <w:szCs w:val="21"/>
                <w:highlight w:val="none"/>
                <w14:textFill>
                  <w14:solidFill>
                    <w14:schemeClr w14:val="tx1"/>
                  </w14:solidFill>
                </w14:textFill>
              </w:rPr>
              <w:t>须在投标文件资格审查部分提供有效的资质证书复印件。</w:t>
            </w:r>
          </w:p>
          <w:p w14:paraId="27FFF560">
            <w:pPr>
              <w:autoSpaceDE w:val="0"/>
              <w:autoSpaceDN w:val="0"/>
              <w:adjustRightInd w:val="0"/>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（2）具备有效的营业执照。</w:t>
            </w:r>
          </w:p>
          <w:p w14:paraId="45325677">
            <w:pPr>
              <w:autoSpaceDE w:val="0"/>
              <w:autoSpaceDN w:val="0"/>
              <w:adjustRightInd w:val="0"/>
              <w:snapToGrid w:val="0"/>
              <w:spacing w:line="3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投标人</w:t>
            </w:r>
            <w:r>
              <w:rPr>
                <w:rFonts w:hint="eastAsia" w:ascii="宋体" w:hAnsi="宋体" w:cs="宋体"/>
                <w:b/>
                <w:bCs/>
                <w:color w:val="000000" w:themeColor="text1"/>
                <w:szCs w:val="21"/>
                <w:highlight w:val="none"/>
                <w14:textFill>
                  <w14:solidFill>
                    <w14:schemeClr w14:val="tx1"/>
                  </w14:solidFill>
                </w14:textFill>
              </w:rPr>
              <w:t>须在投标文件资格审查部分提供有效的营业执照复印件。</w:t>
            </w:r>
          </w:p>
          <w:p w14:paraId="5EA04A7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（3）具备建设行政主管部门颁发的有效的安全生产许可证，</w:t>
            </w:r>
            <w:r>
              <w:rPr>
                <w:rFonts w:hint="eastAsia" w:ascii="宋体" w:hAnsi="宋体" w:cs="宋体"/>
                <w:color w:val="000000" w:themeColor="text1"/>
                <w:szCs w:val="21"/>
                <w:highlight w:val="none"/>
                <w14:textFill>
                  <w14:solidFill>
                    <w14:schemeClr w14:val="tx1"/>
                  </w14:solidFill>
                </w14:textFill>
              </w:rPr>
              <w:t>企业主要负责人、拟担任该项目项目经理具备</w:t>
            </w:r>
            <w:r>
              <w:rPr>
                <w:rFonts w:hint="eastAsia" w:ascii="宋体" w:hAnsi="宋体" w:cs="宋体"/>
                <w:color w:val="000000" w:themeColor="text1"/>
                <w:szCs w:val="21"/>
                <w:highlight w:val="none"/>
                <w:lang w:val="en-US" w:eastAsia="zh-CN"/>
                <w14:textFill>
                  <w14:solidFill>
                    <w14:schemeClr w14:val="tx1"/>
                  </w14:solidFill>
                </w14:textFill>
              </w:rPr>
              <w:t>相应</w:t>
            </w:r>
            <w:r>
              <w:rPr>
                <w:rFonts w:hint="eastAsia" w:ascii="宋体" w:hAnsi="宋体" w:cs="宋体"/>
                <w:color w:val="000000" w:themeColor="text1"/>
                <w:szCs w:val="21"/>
                <w:highlight w:val="none"/>
                <w14:textFill>
                  <w14:solidFill>
                    <w14:schemeClr w14:val="tx1"/>
                  </w14:solidFill>
                </w14:textFill>
              </w:rPr>
              <w:t>行政主管部门颁发的有效的安全生产考核合格证书。</w:t>
            </w:r>
          </w:p>
          <w:p w14:paraId="171812A4">
            <w:pPr>
              <w:autoSpaceDE w:val="0"/>
              <w:autoSpaceDN w:val="0"/>
              <w:adjustRightInd w:val="0"/>
              <w:snapToGrid w:val="0"/>
              <w:spacing w:line="400" w:lineRule="exact"/>
              <w:ind w:firstLine="422" w:firstLineChars="200"/>
              <w:rPr>
                <w:b/>
                <w:bCs/>
                <w:color w:val="000000" w:themeColor="text1"/>
                <w:highlight w:val="none"/>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投标人</w:t>
            </w:r>
            <w:r>
              <w:rPr>
                <w:rFonts w:hint="eastAsia" w:ascii="宋体" w:hAnsi="宋体"/>
                <w:b/>
                <w:bCs/>
                <w:color w:val="000000" w:themeColor="text1"/>
                <w:szCs w:val="21"/>
                <w:highlight w:val="none"/>
                <w14:textFill>
                  <w14:solidFill>
                    <w14:schemeClr w14:val="tx1"/>
                  </w14:solidFill>
                </w14:textFill>
              </w:rPr>
              <w:t>须在</w:t>
            </w:r>
            <w:r>
              <w:rPr>
                <w:rFonts w:hint="eastAsia" w:ascii="宋体" w:hAnsi="宋体" w:cs="宋体"/>
                <w:b/>
                <w:bCs/>
                <w:color w:val="000000" w:themeColor="text1"/>
                <w:szCs w:val="21"/>
                <w:highlight w:val="none"/>
                <w14:textFill>
                  <w14:solidFill>
                    <w14:schemeClr w14:val="tx1"/>
                  </w14:solidFill>
                </w14:textFill>
              </w:rPr>
              <w:t>投标文件</w:t>
            </w:r>
            <w:r>
              <w:rPr>
                <w:rFonts w:hint="eastAsia" w:ascii="宋体" w:hAnsi="宋体"/>
                <w:b/>
                <w:bCs/>
                <w:color w:val="000000" w:themeColor="text1"/>
                <w:szCs w:val="21"/>
                <w:highlight w:val="none"/>
                <w14:textFill>
                  <w14:solidFill>
                    <w14:schemeClr w14:val="tx1"/>
                  </w14:solidFill>
                </w14:textFill>
              </w:rPr>
              <w:t>资格审查部分提供有效的安全生产许可证</w:t>
            </w:r>
            <w:r>
              <w:rPr>
                <w:rFonts w:ascii="宋体" w:hAnsi="宋体"/>
                <w:b/>
                <w:bCs/>
                <w:color w:val="000000" w:themeColor="text1"/>
                <w:szCs w:val="21"/>
                <w:highlight w:val="none"/>
                <w14:textFill>
                  <w14:solidFill>
                    <w14:schemeClr w14:val="tx1"/>
                  </w14:solidFill>
                </w14:textFill>
              </w:rPr>
              <w:t>及安全生产考核合格证书复印件。</w:t>
            </w:r>
          </w:p>
          <w:p w14:paraId="06FE3C2F">
            <w:pPr>
              <w:adjustRightInd w:val="0"/>
              <w:snapToGrid w:val="0"/>
              <w:spacing w:line="36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2.投标截止日投标资格情况</w:t>
            </w:r>
          </w:p>
          <w:p w14:paraId="21D0641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自行承诺（格式见第八章投标文件格式）不得存在下列情形之一：</w:t>
            </w:r>
          </w:p>
          <w:p w14:paraId="1C296035">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9D2452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333EF0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（3）被列入《重庆市工程建设领域招标投标信用管理暂行办法》规定的重庆市工程建设领域招标投标失信惩戒对象名单（以下称黑名单）且在有效期内；</w:t>
            </w:r>
          </w:p>
          <w:p w14:paraId="4ADA7D6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516CD63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市级有关行业</w:t>
            </w:r>
            <w:r>
              <w:rPr>
                <w:rFonts w:hint="eastAsia" w:ascii="宋体" w:hAnsi="宋体"/>
                <w:color w:val="000000" w:themeColor="text1"/>
                <w:szCs w:val="21"/>
                <w:highlight w:val="none"/>
                <w14:textFill>
                  <w14:solidFill>
                    <w14:schemeClr w14:val="tx1"/>
                  </w14:solidFill>
                </w14:textFill>
              </w:rPr>
              <w:t>主管部门暂停在渝承揽新业务</w:t>
            </w:r>
            <w:bookmarkStart w:id="127" w:name="_Hlk45899808"/>
            <w:r>
              <w:rPr>
                <w:rFonts w:hint="eastAsia" w:ascii="宋体" w:hAnsi="宋体"/>
                <w:color w:val="000000" w:themeColor="text1"/>
                <w:szCs w:val="21"/>
                <w:highlight w:val="none"/>
                <w14:textFill>
                  <w14:solidFill>
                    <w14:schemeClr w14:val="tx1"/>
                  </w14:solidFill>
                </w14:textFill>
              </w:rPr>
              <w:t>且在暂停期内</w:t>
            </w:r>
            <w:bookmarkEnd w:id="127"/>
            <w:r>
              <w:rPr>
                <w:rFonts w:hint="eastAsia" w:ascii="宋体" w:hAnsi="宋体"/>
                <w:color w:val="000000" w:themeColor="text1"/>
                <w:szCs w:val="21"/>
                <w:highlight w:val="none"/>
                <w14:textFill>
                  <w14:solidFill>
                    <w14:schemeClr w14:val="tx1"/>
                  </w14:solidFill>
                </w14:textFill>
              </w:rPr>
              <w:t>。</w:t>
            </w:r>
          </w:p>
          <w:p w14:paraId="14266B4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有不良行为记分、进入重点关注名单或黑名单且在记分有效期内的，不得参与比选，否则其投标文件由评标委员会作否决投标处理。信用状况以开标环节查询的信用状况查询结果为准。</w:t>
            </w:r>
          </w:p>
          <w:p w14:paraId="764BAC6A">
            <w:pPr>
              <w:snapToGrid w:val="0"/>
              <w:spacing w:line="36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3.项目经理资格要求</w:t>
            </w:r>
          </w:p>
          <w:p w14:paraId="7866904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拟派的</w:t>
            </w:r>
            <w:r>
              <w:rPr>
                <w:color w:val="000000" w:themeColor="text1"/>
                <w:szCs w:val="21"/>
                <w:highlight w:val="none"/>
                <w14:textFill>
                  <w14:solidFill>
                    <w14:schemeClr w14:val="tx1"/>
                  </w14:solidFill>
                </w14:textFill>
              </w:rPr>
              <w:t>项目经理必须已在</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单位注册并应具有</w:t>
            </w:r>
            <w:r>
              <w:rPr>
                <w:rFonts w:hint="eastAsia"/>
                <w:color w:val="000000" w:themeColor="text1"/>
                <w:szCs w:val="21"/>
                <w:highlight w:val="none"/>
                <w:u w:val="single"/>
                <w:lang w:val="en-US" w:eastAsia="zh-CN"/>
                <w14:textFill>
                  <w14:solidFill>
                    <w14:schemeClr w14:val="tx1"/>
                  </w14:solidFill>
                </w14:textFill>
              </w:rPr>
              <w:t>水利水电工程或建筑工程</w:t>
            </w:r>
            <w:r>
              <w:rPr>
                <w:rFonts w:hint="eastAsia"/>
                <w:color w:val="000000" w:themeColor="text1"/>
                <w:szCs w:val="21"/>
                <w:highlight w:val="none"/>
                <w14:textFill>
                  <w14:solidFill>
                    <w14:schemeClr w14:val="tx1"/>
                  </w14:solidFill>
                </w14:textFill>
              </w:rPr>
              <w:t>专业</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级</w:t>
            </w:r>
            <w:r>
              <w:rPr>
                <w:color w:val="000000" w:themeColor="text1"/>
                <w:szCs w:val="21"/>
                <w:highlight w:val="none"/>
                <w:u w:val="single"/>
                <w14:textFill>
                  <w14:solidFill>
                    <w14:schemeClr w14:val="tx1"/>
                  </w14:solidFill>
                </w14:textFill>
              </w:rPr>
              <w:t>及以上</w:t>
            </w:r>
            <w:r>
              <w:rPr>
                <w:color w:val="000000" w:themeColor="text1"/>
                <w:szCs w:val="21"/>
                <w:highlight w:val="none"/>
                <w14:textFill>
                  <w14:solidFill>
                    <w14:schemeClr w14:val="tx1"/>
                  </w14:solidFill>
                </w14:textFill>
              </w:rPr>
              <w:t>注册建造师执业</w:t>
            </w:r>
            <w:r>
              <w:rPr>
                <w:rFonts w:ascii="宋体" w:hAnsi="宋体"/>
                <w:color w:val="000000" w:themeColor="text1"/>
                <w:szCs w:val="21"/>
                <w:highlight w:val="none"/>
                <w14:textFill>
                  <w14:solidFill>
                    <w14:schemeClr w14:val="tx1"/>
                  </w14:solidFill>
                </w14:textFill>
              </w:rPr>
              <w:t>资格</w:t>
            </w:r>
            <w:r>
              <w:rPr>
                <w:rFonts w:hint="eastAsia" w:ascii="宋体" w:hAnsi="宋体"/>
                <w:color w:val="000000" w:themeColor="text1"/>
                <w:szCs w:val="21"/>
                <w:highlight w:val="none"/>
                <w14:textFill>
                  <w14:solidFill>
                    <w14:schemeClr w14:val="tx1"/>
                  </w14:solidFill>
                </w14:textFill>
              </w:rPr>
              <w:t>，应为</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本单位人员。</w:t>
            </w:r>
          </w:p>
          <w:p w14:paraId="5EFBF9A1">
            <w:pPr>
              <w:snapToGrid w:val="0"/>
              <w:spacing w:line="40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须在投标文件资格审查部分提供有效的拟派项目经理建造师注册证</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身份证、投标人为其缴纳的养老保险证明材料。</w:t>
            </w:r>
          </w:p>
          <w:p w14:paraId="67D7C36B">
            <w:pPr>
              <w:snapToGrid w:val="0"/>
              <w:spacing w:line="40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注：（1）拟派项目经理为一级建造师或重庆市二级建造师注册人员的，必须提供建造师电子注册证书，且该建造师电子注册证书须由建造师本人在个人签名处手写本人签名。</w:t>
            </w:r>
          </w:p>
          <w:p w14:paraId="0ECDD798">
            <w:pPr>
              <w:snapToGrid w:val="0"/>
              <w:spacing w:line="40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47C62E37">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（3）建造师电子注册证书本人手写签名与签名图像笔迹是否一致不作为否决投标的情形。</w:t>
            </w:r>
          </w:p>
          <w:p w14:paraId="109F61E8">
            <w:pPr>
              <w:autoSpaceDE w:val="0"/>
              <w:autoSpaceDN w:val="0"/>
              <w:adjustRightInd w:val="0"/>
              <w:snapToGrid w:val="0"/>
              <w:spacing w:line="36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4.其他要求</w:t>
            </w:r>
          </w:p>
          <w:p w14:paraId="02F097E4">
            <w:pPr>
              <w:autoSpaceDE w:val="0"/>
              <w:autoSpaceDN w:val="0"/>
              <w:adjustRightInd w:val="0"/>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（1）主要管理人员：</w:t>
            </w:r>
          </w:p>
          <w:p w14:paraId="367C8E12">
            <w:pPr>
              <w:autoSpaceDE w:val="0"/>
              <w:autoSpaceDN w:val="0"/>
              <w:adjustRightIn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自行承诺中标后在签订合同之前，须按上述要求组建施工项目部，配置项目管理班子，出具任命文件。任命文件应当明确施工项目部的职责、岗位设置、人员配备，并书面通知建设单位。主要管理人员应持有相关行政主管部门要求的岗位证书（其中安全员必须具备安全生产考核合格证书）或注册证书或职称证书。不能满足该要求的，比选人可取消其中标资格，给比选人造成损失的，</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依法承担违约赔偿责任。</w:t>
            </w:r>
          </w:p>
          <w:p w14:paraId="2F3843E0">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须在投标文件资格审查部分提供承诺函（承诺格式见第八章投标文件格式）。</w:t>
            </w:r>
          </w:p>
          <w:p w14:paraId="6B8C829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项目技术负责人：</w:t>
            </w:r>
          </w:p>
          <w:p w14:paraId="754A9C44">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应具有</w:t>
            </w:r>
            <w:r>
              <w:rPr>
                <w:rFonts w:hint="eastAsia" w:ascii="宋体" w:hAnsi="宋体"/>
                <w:color w:val="000000" w:themeColor="text1"/>
                <w:szCs w:val="21"/>
                <w:highlight w:val="none"/>
                <w:u w:val="single"/>
                <w:lang w:eastAsia="zh-CN"/>
                <w14:textFill>
                  <w14:solidFill>
                    <w14:schemeClr w14:val="tx1"/>
                  </w14:solidFill>
                </w14:textFill>
              </w:rPr>
              <w:t>工程</w:t>
            </w:r>
            <w:r>
              <w:rPr>
                <w:rFonts w:hint="eastAsia" w:ascii="宋体" w:hAnsi="宋体"/>
                <w:color w:val="000000" w:themeColor="text1"/>
                <w:szCs w:val="21"/>
                <w:highlight w:val="none"/>
                <w:u w:val="single"/>
                <w14:textFill>
                  <w14:solidFill>
                    <w14:schemeClr w14:val="tx1"/>
                  </w14:solidFill>
                </w14:textFill>
              </w:rPr>
              <w:t>类</w:t>
            </w:r>
            <w:r>
              <w:rPr>
                <w:rFonts w:hint="eastAsia" w:ascii="宋体" w:hAnsi="宋体"/>
                <w:color w:val="000000" w:themeColor="text1"/>
                <w:szCs w:val="21"/>
                <w:highlight w:val="none"/>
                <w:u w:val="single"/>
                <w:lang w:val="en-US" w:eastAsia="zh-CN"/>
                <w14:textFill>
                  <w14:solidFill>
                    <w14:schemeClr w14:val="tx1"/>
                  </w14:solidFill>
                </w14:textFill>
              </w:rPr>
              <w:t>中</w:t>
            </w:r>
            <w:r>
              <w:rPr>
                <w:rFonts w:ascii="宋体" w:hAnsi="宋体"/>
                <w:color w:val="000000" w:themeColor="text1"/>
                <w:szCs w:val="21"/>
                <w:highlight w:val="none"/>
                <w:u w:val="single"/>
                <w14:textFill>
                  <w14:solidFill>
                    <w14:schemeClr w14:val="tx1"/>
                  </w14:solidFill>
                </w14:textFill>
              </w:rPr>
              <w:t>级及以上</w:t>
            </w:r>
            <w:r>
              <w:rPr>
                <w:rFonts w:ascii="宋体" w:hAnsi="宋体"/>
                <w:color w:val="000000" w:themeColor="text1"/>
                <w:szCs w:val="21"/>
                <w:highlight w:val="none"/>
                <w14:textFill>
                  <w14:solidFill>
                    <w14:schemeClr w14:val="tx1"/>
                  </w14:solidFill>
                </w14:textFill>
              </w:rPr>
              <w:t>职称；</w:t>
            </w:r>
          </w:p>
          <w:p w14:paraId="6F15475A">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投标人须在投标文件资格审查部分提供拟派</w:t>
            </w:r>
            <w:r>
              <w:rPr>
                <w:rFonts w:hint="eastAsia" w:ascii="宋体" w:hAnsi="宋体"/>
                <w:color w:val="000000" w:themeColor="text1"/>
                <w:kern w:val="0"/>
                <w:szCs w:val="21"/>
                <w:highlight w:val="none"/>
                <w:lang w:eastAsia="zh-CN"/>
                <w14:textFill>
                  <w14:solidFill>
                    <w14:schemeClr w14:val="tx1"/>
                  </w14:solidFill>
                </w14:textFill>
              </w:rPr>
              <w:t>项目</w:t>
            </w:r>
            <w:r>
              <w:rPr>
                <w:rFonts w:hint="eastAsia" w:ascii="宋体" w:hAnsi="宋体"/>
                <w:color w:val="000000" w:themeColor="text1"/>
                <w:kern w:val="0"/>
                <w:szCs w:val="21"/>
                <w:highlight w:val="none"/>
                <w14:textFill>
                  <w14:solidFill>
                    <w14:schemeClr w14:val="tx1"/>
                  </w14:solidFill>
                </w14:textFill>
              </w:rPr>
              <w:t>技术负责人身份证、职称证及投标人本单位为其缴纳的养老保险证明材料。</w:t>
            </w:r>
            <w:r>
              <w:rPr>
                <w:rFonts w:hint="eastAsia" w:ascii="宋体" w:hAnsi="宋体"/>
                <w:color w:val="000000" w:themeColor="text1"/>
                <w:szCs w:val="21"/>
                <w:highlight w:val="none"/>
                <w:lang w:eastAsia="zh-CN"/>
                <w14:textFill>
                  <w14:solidFill>
                    <w14:schemeClr w14:val="tx1"/>
                  </w14:solidFill>
                </w14:textFill>
              </w:rPr>
              <w:t>】</w:t>
            </w:r>
          </w:p>
          <w:p w14:paraId="1DFE588C">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w:t>
            </w:r>
          </w:p>
          <w:p w14:paraId="19547791">
            <w:pPr>
              <w:autoSpaceDE w:val="0"/>
              <w:autoSpaceDN w:val="0"/>
              <w:adjustRightInd w:val="0"/>
              <w:snapToGrid w:val="0"/>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w:t>
            </w: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委托代理人必须为投标人本单位职工。</w:t>
            </w: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在投标文件资格审查部分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投标人为该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缴纳的养老保险证明。否则，将由评标委员会作否决投标处理。</w:t>
            </w:r>
          </w:p>
          <w:p w14:paraId="1BFEF510">
            <w:pPr>
              <w:autoSpaceDE w:val="0"/>
              <w:autoSpaceDN w:val="0"/>
              <w:adjustRightInd w:val="0"/>
              <w:snapToGrid w:val="0"/>
              <w:spacing w:line="360" w:lineRule="exact"/>
              <w:ind w:firstLine="417" w:firstLineChars="198"/>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特别说明：</w:t>
            </w:r>
          </w:p>
          <w:p w14:paraId="04C660EA">
            <w:pPr>
              <w:autoSpaceDE w:val="0"/>
              <w:autoSpaceDN w:val="0"/>
              <w:adjustRightInd w:val="0"/>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（1）上述1~4条所须提交的相关证明材料均应加盖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单位法人章并编入投标文件资格审查部分中，有一条不满足则投标文件由评标委员会作否决投标处理。</w:t>
            </w:r>
          </w:p>
          <w:p w14:paraId="0D3BA068">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须自行承诺其提供的上述相关证明材料真实有效，不存在弄虚作假情形（格式见第八章投标文件格式）。比选人在合同签订前均有权对</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提供的资料进行核实，若发现弄虚作假，取消其中标资格，并按相关法律法规报招标投标监督部门处理，其</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保证金不予退还，</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承担因此造成的相关责任并赔偿相应损失。</w:t>
            </w:r>
          </w:p>
          <w:p w14:paraId="4E0021C1">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val="en-US" w:eastAsia="zh-CN"/>
                <w14:textFill>
                  <w14:solidFill>
                    <w14:schemeClr w14:val="tx1"/>
                  </w14:solidFill>
                </w14:textFill>
              </w:rPr>
              <w:t>比选</w:t>
            </w:r>
            <w:r>
              <w:rPr>
                <w:rFonts w:ascii="宋体" w:hAnsi="宋体"/>
                <w:bCs/>
                <w:color w:val="000000" w:themeColor="text1"/>
                <w:kern w:val="0"/>
                <w:szCs w:val="21"/>
                <w:highlight w:val="none"/>
                <w14:textFill>
                  <w14:solidFill>
                    <w14:schemeClr w14:val="tx1"/>
                  </w14:solidFill>
                </w14:textFill>
              </w:rPr>
              <w:t>文件中所要求的人员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1084E859">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lang w:eastAsia="zh-CN"/>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19469C12">
            <w:pPr>
              <w:autoSpaceDE w:val="0"/>
              <w:autoSpaceDN w:val="0"/>
              <w:adjustRightInd w:val="0"/>
              <w:snapToGrid w:val="0"/>
              <w:spacing w:line="360" w:lineRule="exact"/>
              <w:ind w:firstLine="415" w:firstLineChars="198"/>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14:textFill>
                  <w14:solidFill>
                    <w14:schemeClr w14:val="tx1"/>
                  </w14:solidFill>
                </w14:textFill>
              </w:rPr>
              <w:t>项目经理、</w:t>
            </w:r>
            <w:r>
              <w:rPr>
                <w:rFonts w:ascii="宋体" w:hAnsi="宋体"/>
                <w:bCs/>
                <w:snapToGrid w:val="0"/>
                <w:color w:val="000000" w:themeColor="text1"/>
                <w:kern w:val="0"/>
                <w:szCs w:val="21"/>
                <w:highlight w:val="none"/>
                <w14:textFill>
                  <w14:solidFill>
                    <w14:schemeClr w14:val="tx1"/>
                  </w14:solidFill>
                </w14:textFill>
              </w:rPr>
              <w:t>项目技术负责人和委托代理人的连续</w:t>
            </w:r>
            <w:r>
              <w:rPr>
                <w:rFonts w:hint="eastAsia" w:ascii="宋体" w:hAnsi="宋体"/>
                <w:bCs/>
                <w:snapToGrid w:val="0"/>
                <w:color w:val="000000" w:themeColor="text1"/>
                <w:kern w:val="0"/>
                <w:szCs w:val="21"/>
                <w:highlight w:val="none"/>
                <w14:textFill>
                  <w14:solidFill>
                    <w14:schemeClr w14:val="tx1"/>
                  </w14:solidFill>
                </w14:textFill>
              </w:rPr>
              <w:t>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lang w:val="en-US" w:eastAsia="zh-CN"/>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2024</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8</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1</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5CBA3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35" w:type="dxa"/>
            <w:vAlign w:val="center"/>
          </w:tcPr>
          <w:p w14:paraId="6C18C2C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898" w:type="dxa"/>
            <w:vAlign w:val="center"/>
          </w:tcPr>
          <w:p w14:paraId="1B723AC2">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6483" w:type="dxa"/>
            <w:vAlign w:val="center"/>
          </w:tcPr>
          <w:p w14:paraId="734BE1FF">
            <w:pPr>
              <w:snapToGrid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w:char="00FE"/>
            </w:r>
            <w:r>
              <w:rPr>
                <w:rFonts w:hint="eastAsia" w:ascii="宋体" w:hAnsi="宋体" w:cs="宋体"/>
                <w:color w:val="000000" w:themeColor="text1"/>
                <w:kern w:val="0"/>
                <w:szCs w:val="21"/>
                <w:highlight w:val="none"/>
                <w14:textFill>
                  <w14:solidFill>
                    <w14:schemeClr w14:val="tx1"/>
                  </w14:solidFill>
                </w14:textFill>
              </w:rPr>
              <w:t>不接受</w:t>
            </w:r>
          </w:p>
        </w:tc>
      </w:tr>
      <w:tr w14:paraId="4D5C9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35" w:type="dxa"/>
            <w:vAlign w:val="center"/>
          </w:tcPr>
          <w:p w14:paraId="1FED356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898" w:type="dxa"/>
            <w:vAlign w:val="center"/>
          </w:tcPr>
          <w:p w14:paraId="2AAD3F8A">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483" w:type="dxa"/>
            <w:vAlign w:val="center"/>
          </w:tcPr>
          <w:p w14:paraId="4AFF4DD4">
            <w:pPr>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w:char="00FE"/>
            </w:r>
            <w:r>
              <w:rPr>
                <w:rFonts w:hint="eastAsia" w:ascii="宋体" w:hAnsi="宋体" w:cs="宋体"/>
                <w:color w:val="000000" w:themeColor="text1"/>
                <w:szCs w:val="21"/>
                <w:highlight w:val="none"/>
                <w14:textFill>
                  <w14:solidFill>
                    <w14:schemeClr w14:val="tx1"/>
                  </w14:solidFill>
                </w14:textFill>
              </w:rPr>
              <w:t>不组织</w:t>
            </w:r>
          </w:p>
        </w:tc>
      </w:tr>
      <w:tr w14:paraId="3A681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35" w:type="dxa"/>
            <w:vAlign w:val="center"/>
          </w:tcPr>
          <w:p w14:paraId="70E0CF2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898" w:type="dxa"/>
            <w:vAlign w:val="center"/>
          </w:tcPr>
          <w:p w14:paraId="0E5D9994">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6483" w:type="dxa"/>
            <w:vAlign w:val="center"/>
          </w:tcPr>
          <w:p w14:paraId="49E0FFD8">
            <w:pPr>
              <w:snapToGrid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w:char="00FE"/>
            </w:r>
            <w:r>
              <w:rPr>
                <w:rFonts w:hint="eastAsia" w:ascii="宋体" w:hAnsi="宋体" w:cs="宋体"/>
                <w:color w:val="000000" w:themeColor="text1"/>
                <w:kern w:val="0"/>
                <w:szCs w:val="21"/>
                <w:highlight w:val="none"/>
                <w14:textFill>
                  <w14:solidFill>
                    <w14:schemeClr w14:val="tx1"/>
                  </w14:solidFill>
                </w14:textFill>
              </w:rPr>
              <w:t>不召开</w:t>
            </w:r>
          </w:p>
        </w:tc>
      </w:tr>
      <w:tr w14:paraId="0DEBB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5" w:type="dxa"/>
            <w:vAlign w:val="center"/>
          </w:tcPr>
          <w:p w14:paraId="29114F6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898" w:type="dxa"/>
            <w:vAlign w:val="center"/>
          </w:tcPr>
          <w:p w14:paraId="3B8C4EEE">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483" w:type="dxa"/>
            <w:vAlign w:val="center"/>
          </w:tcPr>
          <w:p w14:paraId="2E30B5CA">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w:char="00FE"/>
            </w:r>
            <w:r>
              <w:rPr>
                <w:rFonts w:hint="eastAsia" w:ascii="宋体" w:hAnsi="宋体" w:cs="宋体"/>
                <w:color w:val="000000" w:themeColor="text1"/>
                <w:kern w:val="0"/>
                <w:szCs w:val="21"/>
                <w:highlight w:val="none"/>
                <w14:textFill>
                  <w14:solidFill>
                    <w14:schemeClr w14:val="tx1"/>
                  </w14:solidFill>
                </w14:textFill>
              </w:rPr>
              <w:t>不允许</w:t>
            </w:r>
          </w:p>
        </w:tc>
      </w:tr>
      <w:tr w14:paraId="2A83F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E3528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898" w:type="dxa"/>
            <w:vAlign w:val="center"/>
          </w:tcPr>
          <w:p w14:paraId="5D319D9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构成竞争性比选文件的其他材料</w:t>
            </w:r>
          </w:p>
        </w:tc>
        <w:tc>
          <w:tcPr>
            <w:tcW w:w="6483" w:type="dxa"/>
            <w:vAlign w:val="center"/>
          </w:tcPr>
          <w:p w14:paraId="2A2556D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发出的澄清答疑及补遗书</w:t>
            </w:r>
          </w:p>
        </w:tc>
      </w:tr>
      <w:tr w14:paraId="4D0AF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48143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898" w:type="dxa"/>
            <w:tcBorders>
              <w:bottom w:val="single" w:color="auto" w:sz="4" w:space="0"/>
            </w:tcBorders>
            <w:vAlign w:val="center"/>
          </w:tcPr>
          <w:p w14:paraId="77F5802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对竞争性比选文件提出疑问的截止时间</w:t>
            </w:r>
          </w:p>
        </w:tc>
        <w:tc>
          <w:tcPr>
            <w:tcW w:w="6483" w:type="dxa"/>
            <w:vAlign w:val="center"/>
          </w:tcPr>
          <w:p w14:paraId="5C6AE6F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szCs w:val="21"/>
                <w:highlight w:val="none"/>
                <w14:textFill>
                  <w14:solidFill>
                    <w14:schemeClr w14:val="tx1"/>
                  </w14:solidFill>
                </w14:textFill>
              </w:rPr>
              <w:t>投标人在收到竞争性比选文件后，应仔细检查竞争性比选文件的所有内容，如有残缺或文字表述不清，图纸尺寸标注不明以及存在错、碰、漏、缺、概念模糊和有可能出现歧义或理解上的偏差的内容等应在</w:t>
            </w:r>
            <w:r>
              <w:rPr>
                <w:rFonts w:hint="eastAsia" w:ascii="宋体" w:hAnsi="宋体" w:cs="宋体"/>
                <w:color w:val="000000" w:themeColor="text1"/>
                <w:szCs w:val="21"/>
                <w:highlight w:val="none"/>
                <w:u w:val="single"/>
                <w:lang w:val="en-US" w:eastAsia="zh-CN"/>
                <w14:textFill>
                  <w14:solidFill>
                    <w14:schemeClr w14:val="tx1"/>
                  </w14:solidFill>
                </w14:textFill>
              </w:rPr>
              <w:t>比选公告规定的时间</w:t>
            </w:r>
            <w:r>
              <w:rPr>
                <w:rFonts w:hint="eastAsia" w:ascii="宋体" w:hAnsi="宋体" w:cs="仿宋_GB2312"/>
                <w:color w:val="000000" w:themeColor="text1"/>
                <w:kern w:val="0"/>
                <w:szCs w:val="21"/>
                <w:highlight w:val="none"/>
                <w14:textFill>
                  <w14:solidFill>
                    <w14:schemeClr w14:val="tx1"/>
                  </w14:solidFill>
                </w14:textFill>
              </w:rPr>
              <w:t>前</w:t>
            </w:r>
            <w:r>
              <w:rPr>
                <w:rFonts w:hint="eastAsia" w:ascii="宋体" w:hAnsi="宋体"/>
                <w:color w:val="000000" w:themeColor="text1"/>
                <w:highlight w:val="none"/>
                <w14:textFill>
                  <w14:solidFill>
                    <w14:schemeClr w14:val="tx1"/>
                  </w14:solidFill>
                </w14:textFill>
              </w:rPr>
              <w:t>以书面材料的形式将质疑内容送至</w:t>
            </w:r>
            <w:r>
              <w:rPr>
                <w:rFonts w:hint="eastAsia" w:ascii="宋体" w:hAnsi="宋体"/>
                <w:color w:val="000000" w:themeColor="text1"/>
                <w:highlight w:val="none"/>
                <w:lang w:eastAsia="zh-CN"/>
                <w14:textFill>
                  <w14:solidFill>
                    <w14:schemeClr w14:val="tx1"/>
                  </w14:solidFill>
                </w14:textFill>
              </w:rPr>
              <w:t>比选人</w:t>
            </w:r>
            <w:r>
              <w:rPr>
                <w:rFonts w:hint="eastAsia" w:ascii="宋体" w:hAnsi="宋体" w:cs="宋体"/>
                <w:color w:val="000000" w:themeColor="text1"/>
                <w:kern w:val="0"/>
                <w:szCs w:val="21"/>
                <w:highlight w:val="none"/>
                <w14:textFill>
                  <w14:solidFill>
                    <w14:schemeClr w14:val="tx1"/>
                  </w14:solidFill>
                </w14:textFill>
              </w:rPr>
              <w:t>。</w:t>
            </w:r>
          </w:p>
        </w:tc>
      </w:tr>
      <w:tr w14:paraId="0877D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335" w:type="dxa"/>
            <w:vMerge w:val="restart"/>
            <w:vAlign w:val="center"/>
          </w:tcPr>
          <w:p w14:paraId="2FB2B1C9">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898" w:type="dxa"/>
            <w:tcBorders>
              <w:top w:val="single" w:color="auto" w:sz="4" w:space="0"/>
            </w:tcBorders>
            <w:vAlign w:val="center"/>
          </w:tcPr>
          <w:p w14:paraId="441BD86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比选人对竞争性比选文件澄清的截止时间</w:t>
            </w:r>
          </w:p>
        </w:tc>
        <w:tc>
          <w:tcPr>
            <w:tcW w:w="6483" w:type="dxa"/>
            <w:vAlign w:val="center"/>
          </w:tcPr>
          <w:p w14:paraId="207443A5">
            <w:pPr>
              <w:snapToGrid w:val="0"/>
              <w:spacing w:line="360" w:lineRule="auto"/>
              <w:ind w:firstLine="420" w:firstLineChars="200"/>
              <w:rPr>
                <w:rFonts w:hint="default" w:ascii="宋体" w:hAnsi="宋体" w:cs="宋体"/>
                <w:snapToGrid w:val="0"/>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比选人应在比选公告规定的时间前向所有购买比选文件的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发布澄清。</w:t>
            </w:r>
            <w:r>
              <w:rPr>
                <w:rFonts w:hint="default" w:ascii="宋体" w:hAnsi="宋体" w:cs="宋体"/>
                <w:color w:val="000000" w:themeColor="text1"/>
                <w:kern w:val="0"/>
                <w:szCs w:val="21"/>
                <w:highlight w:val="none"/>
                <w:lang w:val="en-US"/>
                <w14:textFill>
                  <w14:solidFill>
                    <w14:schemeClr w14:val="tx1"/>
                  </w14:solidFill>
                </w14:textFill>
              </w:rPr>
              <w:t xml:space="preserve"> </w:t>
            </w:r>
          </w:p>
        </w:tc>
      </w:tr>
      <w:tr w14:paraId="18156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8C32F4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898" w:type="dxa"/>
            <w:vAlign w:val="center"/>
          </w:tcPr>
          <w:p w14:paraId="53DD7D44">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投标截止时间</w:t>
            </w:r>
          </w:p>
        </w:tc>
        <w:tc>
          <w:tcPr>
            <w:tcW w:w="6483" w:type="dxa"/>
            <w:vAlign w:val="center"/>
          </w:tcPr>
          <w:p w14:paraId="4114F939">
            <w:pPr>
              <w:snapToGrid w:val="0"/>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详见比选公告规定的投标截止时间。</w:t>
            </w:r>
          </w:p>
        </w:tc>
      </w:tr>
      <w:tr w14:paraId="0AD20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01685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898" w:type="dxa"/>
            <w:vAlign w:val="center"/>
          </w:tcPr>
          <w:p w14:paraId="633FA61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比选人对竞争性比选文件进行修改的时间</w:t>
            </w:r>
          </w:p>
        </w:tc>
        <w:tc>
          <w:tcPr>
            <w:tcW w:w="6483" w:type="dxa"/>
            <w:vAlign w:val="center"/>
          </w:tcPr>
          <w:p w14:paraId="5394F81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修改内容可能影响投标文件编制的，须在投标截止时间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日前发布，发布时间至投标截止时间不足</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日的，须相应延后投标截止时间。</w:t>
            </w:r>
          </w:p>
        </w:tc>
      </w:tr>
      <w:tr w14:paraId="261EB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38FE2B1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898" w:type="dxa"/>
            <w:vAlign w:val="center"/>
          </w:tcPr>
          <w:p w14:paraId="79347E0F">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6483" w:type="dxa"/>
            <w:vAlign w:val="center"/>
          </w:tcPr>
          <w:p w14:paraId="35F1B2F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的书面澄清、说明和补正（但不得改变投标文件的实质性内容）</w:t>
            </w:r>
          </w:p>
        </w:tc>
      </w:tr>
      <w:tr w14:paraId="58CDE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35" w:type="dxa"/>
            <w:vAlign w:val="center"/>
          </w:tcPr>
          <w:p w14:paraId="3EBA786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898" w:type="dxa"/>
            <w:vAlign w:val="center"/>
          </w:tcPr>
          <w:p w14:paraId="4F2A9FB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6483" w:type="dxa"/>
            <w:vAlign w:val="center"/>
          </w:tcPr>
          <w:p w14:paraId="01A6E319">
            <w:pPr>
              <w:numPr>
                <w:ilvl w:val="0"/>
                <w:numId w:val="1"/>
              </w:numPr>
              <w:tabs>
                <w:tab w:val="left" w:pos="546"/>
                <w:tab w:val="left" w:pos="711"/>
              </w:tabs>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w:t>
            </w:r>
            <w:r>
              <w:rPr>
                <w:rFonts w:hint="eastAsia" w:ascii="宋体" w:hAnsi="宋体"/>
                <w:color w:val="000000" w:themeColor="text1"/>
                <w:szCs w:val="21"/>
                <w:highlight w:val="none"/>
                <w:u w:val="single"/>
                <w14:textFill>
                  <w14:solidFill>
                    <w14:schemeClr w14:val="tx1"/>
                  </w14:solidFill>
                </w14:textFill>
              </w:rPr>
              <w:t>单价合同计价</w:t>
            </w:r>
            <w:r>
              <w:rPr>
                <w:rFonts w:hint="eastAsia" w:ascii="宋体" w:hAnsi="宋体"/>
                <w:color w:val="000000" w:themeColor="text1"/>
                <w:szCs w:val="21"/>
                <w:highlight w:val="none"/>
                <w14:textFill>
                  <w14:solidFill>
                    <w14:schemeClr w14:val="tx1"/>
                  </w14:solidFill>
                </w14:textFill>
              </w:rPr>
              <w:t>方式。</w:t>
            </w:r>
          </w:p>
          <w:p w14:paraId="022BC360">
            <w:pPr>
              <w:tabs>
                <w:tab w:val="left" w:pos="546"/>
                <w:tab w:val="left" w:pos="711"/>
              </w:tabs>
              <w:snapToGrid w:val="0"/>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2.使用国有资金投资的水利水电工程发承包，必须采用工程量清单计价方式。投标报价编制参考现行</w:t>
            </w:r>
            <w:r>
              <w:rPr>
                <w:rFonts w:hint="eastAsia" w:ascii="宋体" w:hAnsi="宋体"/>
                <w:color w:val="000000" w:themeColor="text1"/>
                <w:szCs w:val="21"/>
                <w:highlight w:val="none"/>
                <w:u w:val="single"/>
                <w14:textFill>
                  <w14:solidFill>
                    <w14:schemeClr w14:val="tx1"/>
                  </w14:solidFill>
                </w14:textFill>
              </w:rPr>
              <w:t>《重庆市水利工程设计概（估）算编制规定》（2021年版）、《重庆市水利建筑工程预算定额》（2021年版）</w:t>
            </w:r>
            <w:r>
              <w:rPr>
                <w:rFonts w:hint="eastAsia" w:ascii="宋体" w:hAnsi="宋体" w:eastAsia="宋体" w:cs="Times New Roman"/>
                <w:color w:val="000000" w:themeColor="text1"/>
                <w:szCs w:val="21"/>
                <w:highlight w:val="none"/>
                <w:u w:val="single"/>
                <w14:textFill>
                  <w14:solidFill>
                    <w14:schemeClr w14:val="tx1"/>
                  </w14:solidFill>
                </w14:textFill>
              </w:rPr>
              <w:t>、《重庆市水利工程施工机械台时费定额》（2021年版）及《重</w:t>
            </w:r>
            <w:r>
              <w:rPr>
                <w:rFonts w:hint="eastAsia" w:ascii="宋体" w:hAnsi="宋体"/>
                <w:color w:val="000000" w:themeColor="text1"/>
                <w:szCs w:val="21"/>
                <w:highlight w:val="none"/>
                <w:u w:val="single"/>
                <w14:textFill>
                  <w14:solidFill>
                    <w14:schemeClr w14:val="tx1"/>
                  </w14:solidFill>
                </w14:textFill>
              </w:rPr>
              <w:t>庆市中小型水利水电设备安装工程预算定额》（2021年版）</w:t>
            </w:r>
            <w:r>
              <w:rPr>
                <w:rFonts w:hint="eastAsia" w:ascii="宋体" w:hAnsi="宋体"/>
                <w:color w:val="000000" w:themeColor="text1"/>
                <w:szCs w:val="21"/>
                <w:highlight w:val="none"/>
                <w14:textFill>
                  <w14:solidFill>
                    <w14:schemeClr w14:val="tx1"/>
                  </w14:solidFill>
                </w14:textFill>
              </w:rPr>
              <w:t>等配套文件及重庆市相关工程量清单计价规则的要求填写相应清单表格。本工程量清单采用以下第</w:t>
            </w:r>
            <w:r>
              <w:rPr>
                <w:rFonts w:hint="eastAsia" w:ascii="宋体" w:hAnsi="宋体"/>
                <w:color w:val="000000" w:themeColor="text1"/>
                <w:szCs w:val="21"/>
                <w:highlight w:val="none"/>
                <w:u w:val="singl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种方式计价。</w:t>
            </w:r>
          </w:p>
          <w:p w14:paraId="3F900670">
            <w:pPr>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（1）单价子目</w:t>
            </w:r>
          </w:p>
          <w:p w14:paraId="30A32FF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单价子目包含的风险范围：</w:t>
            </w:r>
            <w:r>
              <w:rPr>
                <w:rFonts w:hint="eastAsia" w:ascii="宋体" w:hAnsi="宋体" w:cs="宋体"/>
                <w:color w:val="000000" w:themeColor="text1"/>
                <w:kern w:val="0"/>
                <w:szCs w:val="21"/>
                <w:highlight w:val="none"/>
                <w:u w:val="single"/>
                <w14:textFill>
                  <w14:solidFill>
                    <w14:schemeClr w14:val="tx1"/>
                  </w14:solidFill>
                </w14:textFill>
              </w:rPr>
              <w:t>包括但不限于为实施和完成合同工程所需的人工费、材料费、施工机械费、其他费用、其它直接费、间接费、利润、价差、税金及缺陷修复等费用，以及除专用合同条款第16条〔价格调整〕约定范围外的市场价格波动风险、政策性文件规定的各项应有费用、</w:t>
            </w:r>
            <w:r>
              <w:rPr>
                <w:rFonts w:hint="eastAsia" w:ascii="宋体" w:hAnsi="宋体" w:cs="宋体"/>
                <w:color w:val="000000" w:themeColor="text1"/>
                <w:kern w:val="0"/>
                <w:szCs w:val="21"/>
                <w:highlight w:val="none"/>
                <w:u w:val="single"/>
                <w:lang w:eastAsia="zh-CN"/>
                <w14:textFill>
                  <w14:solidFill>
                    <w14:schemeClr w14:val="tx1"/>
                  </w14:solidFill>
                </w14:textFill>
              </w:rPr>
              <w:t>比选文件</w:t>
            </w:r>
            <w:r>
              <w:rPr>
                <w:rFonts w:hint="eastAsia" w:ascii="宋体" w:hAnsi="宋体" w:cs="宋体"/>
                <w:color w:val="000000" w:themeColor="text1"/>
                <w:kern w:val="0"/>
                <w:szCs w:val="21"/>
                <w:highlight w:val="none"/>
                <w:u w:val="single"/>
                <w14:textFill>
                  <w14:solidFill>
                    <w14:schemeClr w14:val="tx1"/>
                  </w14:solidFill>
                </w14:textFill>
              </w:rPr>
              <w:t>和合同明示或暗示的应由承包人承担的所有责任、义务和风险等所需的费用</w:t>
            </w:r>
            <w:r>
              <w:rPr>
                <w:rFonts w:hint="eastAsia" w:ascii="宋体" w:hAnsi="宋体" w:cs="宋体"/>
                <w:color w:val="000000" w:themeColor="text1"/>
                <w:kern w:val="0"/>
                <w:szCs w:val="21"/>
                <w:highlight w:val="none"/>
                <w14:textFill>
                  <w14:solidFill>
                    <w14:schemeClr w14:val="tx1"/>
                  </w14:solidFill>
                </w14:textFill>
              </w:rPr>
              <w:t>。</w:t>
            </w:r>
          </w:p>
          <w:p w14:paraId="0F5FC85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风险费用的计算方法：</w:t>
            </w:r>
            <w:r>
              <w:rPr>
                <w:rFonts w:hint="eastAsia" w:ascii="宋体" w:hAnsi="宋体" w:cs="宋体"/>
                <w:color w:val="000000" w:themeColor="text1"/>
                <w:kern w:val="0"/>
                <w:szCs w:val="21"/>
                <w:highlight w:val="none"/>
                <w:u w:val="single"/>
                <w14:textFill>
                  <w14:solidFill>
                    <w14:schemeClr w14:val="tx1"/>
                  </w14:solidFill>
                </w14:textFill>
              </w:rPr>
              <w:t>除专用合同条款第16条〔价格调整〕约定范围外，由承包人自行综合考虑并计入单价子目价格中，包干使用</w:t>
            </w:r>
            <w:r>
              <w:rPr>
                <w:rFonts w:hint="eastAsia" w:ascii="宋体" w:hAnsi="宋体" w:cs="宋体"/>
                <w:color w:val="000000" w:themeColor="text1"/>
                <w:kern w:val="0"/>
                <w:szCs w:val="21"/>
                <w:highlight w:val="none"/>
                <w14:textFill>
                  <w14:solidFill>
                    <w14:schemeClr w14:val="tx1"/>
                  </w14:solidFill>
                </w14:textFill>
              </w:rPr>
              <w:t>。</w:t>
            </w:r>
          </w:p>
          <w:p w14:paraId="6AEE6FB2">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风险范围以外合同价格的调整方法：</w:t>
            </w:r>
            <w:r>
              <w:rPr>
                <w:rFonts w:hint="eastAsia" w:ascii="宋体" w:hAnsi="宋体" w:cs="宋体"/>
                <w:color w:val="000000" w:themeColor="text1"/>
                <w:kern w:val="0"/>
                <w:szCs w:val="21"/>
                <w:highlight w:val="none"/>
                <w:u w:val="single"/>
                <w14:textFill>
                  <w14:solidFill>
                    <w14:schemeClr w14:val="tx1"/>
                  </w14:solidFill>
                </w14:textFill>
              </w:rPr>
              <w:t>按照专用合同条款第16条〔价格调整〕约定执行</w:t>
            </w:r>
            <w:r>
              <w:rPr>
                <w:rFonts w:hint="eastAsia" w:ascii="宋体" w:hAnsi="宋体" w:cs="宋体"/>
                <w:color w:val="000000" w:themeColor="text1"/>
                <w:kern w:val="0"/>
                <w:szCs w:val="21"/>
                <w:highlight w:val="none"/>
                <w14:textFill>
                  <w14:solidFill>
                    <w14:schemeClr w14:val="tx1"/>
                  </w14:solidFill>
                </w14:textFill>
              </w:rPr>
              <w:t>。</w:t>
            </w:r>
          </w:p>
          <w:p w14:paraId="4073D7FB">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单价子目的计量：</w:t>
            </w:r>
            <w:r>
              <w:rPr>
                <w:rFonts w:hint="eastAsia" w:ascii="宋体" w:hAnsi="宋体" w:cs="宋体"/>
                <w:color w:val="000000" w:themeColor="text1"/>
                <w:szCs w:val="21"/>
                <w:highlight w:val="none"/>
                <w:u w:val="single"/>
                <w14:textFill>
                  <w14:solidFill>
                    <w14:schemeClr w14:val="tx1"/>
                  </w14:solidFill>
                </w14:textFill>
              </w:rPr>
              <w:t>已标价工程量清单中的单价子目工程量为估算工程量。结算工程量是承包人实际完成的，并按合同约定的计量方法进行计量的工程量。</w:t>
            </w:r>
          </w:p>
          <w:p w14:paraId="3452A23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（2）总价子目</w:t>
            </w:r>
          </w:p>
          <w:p w14:paraId="4DE26E4F">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总价子目包含的风险范围：</w:t>
            </w:r>
            <w:r>
              <w:rPr>
                <w:rFonts w:hint="eastAsia" w:ascii="宋体" w:hAnsi="宋体" w:cs="宋体"/>
                <w:color w:val="000000" w:themeColor="text1"/>
                <w:kern w:val="0"/>
                <w:szCs w:val="21"/>
                <w:highlight w:val="none"/>
                <w:u w:val="single"/>
                <w14:textFill>
                  <w14:solidFill>
                    <w14:schemeClr w14:val="tx1"/>
                  </w14:solidFill>
                </w14:textFill>
              </w:rPr>
              <w:t>包括但不限于为实施和完成合同工程所需的人工费、材料费、施工机械费、其他费用、其它直接费、间接费、利润、价差、税金及缺陷修复等费用，以及专业合同条款第16条〔市场价格波动引起的调整〕约定范围内的市场价格波动风险、政策性文件规定的各项应有费用、</w:t>
            </w:r>
            <w:r>
              <w:rPr>
                <w:rFonts w:hint="eastAsia" w:ascii="宋体" w:hAnsi="宋体" w:cs="宋体"/>
                <w:color w:val="000000" w:themeColor="text1"/>
                <w:kern w:val="0"/>
                <w:szCs w:val="21"/>
                <w:highlight w:val="none"/>
                <w:u w:val="single"/>
                <w:lang w:eastAsia="zh-CN"/>
                <w14:textFill>
                  <w14:solidFill>
                    <w14:schemeClr w14:val="tx1"/>
                  </w14:solidFill>
                </w14:textFill>
              </w:rPr>
              <w:t>比选文件</w:t>
            </w:r>
            <w:r>
              <w:rPr>
                <w:rFonts w:hint="eastAsia" w:ascii="宋体" w:hAnsi="宋体" w:cs="宋体"/>
                <w:color w:val="000000" w:themeColor="text1"/>
                <w:kern w:val="0"/>
                <w:szCs w:val="21"/>
                <w:highlight w:val="none"/>
                <w:u w:val="single"/>
                <w14:textFill>
                  <w14:solidFill>
                    <w14:schemeClr w14:val="tx1"/>
                  </w14:solidFill>
                </w14:textFill>
              </w:rPr>
              <w:t>和合同明示或暗示的应由承包人承担的所有责任、义务和风险等所需的费用。</w:t>
            </w:r>
          </w:p>
          <w:p w14:paraId="1DA9E108">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风险费用的计算方法：</w:t>
            </w:r>
            <w:r>
              <w:rPr>
                <w:rFonts w:hint="eastAsia" w:ascii="宋体" w:hAnsi="宋体" w:cs="宋体"/>
                <w:color w:val="000000" w:themeColor="text1"/>
                <w:kern w:val="0"/>
                <w:szCs w:val="21"/>
                <w:highlight w:val="none"/>
                <w:u w:val="single"/>
                <w14:textFill>
                  <w14:solidFill>
                    <w14:schemeClr w14:val="tx1"/>
                  </w14:solidFill>
                </w14:textFill>
              </w:rPr>
              <w:t>由承包人自行考虑并计入签约合同价格中，包干使用。</w:t>
            </w:r>
          </w:p>
          <w:p w14:paraId="18D6AD8C">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风险范围以外合同价格的调整方法：</w:t>
            </w:r>
            <w:r>
              <w:rPr>
                <w:rFonts w:hint="eastAsia" w:ascii="宋体" w:hAnsi="宋体" w:cs="宋体"/>
                <w:color w:val="000000" w:themeColor="text1"/>
                <w:kern w:val="0"/>
                <w:szCs w:val="21"/>
                <w:highlight w:val="none"/>
                <w:u w:val="single"/>
                <w14:textFill>
                  <w14:solidFill>
                    <w14:schemeClr w14:val="tx1"/>
                  </w14:solidFill>
                </w14:textFill>
              </w:rPr>
              <w:t>除本项目合同第15条（变更）约定外，总价不作调整。</w:t>
            </w:r>
          </w:p>
          <w:p w14:paraId="442C678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总价子目的计量与支付：</w:t>
            </w:r>
            <w:r>
              <w:rPr>
                <w:rFonts w:hint="eastAsia" w:ascii="宋体" w:hAnsi="宋体" w:cs="宋体"/>
                <w:color w:val="000000" w:themeColor="text1"/>
                <w:kern w:val="0"/>
                <w:szCs w:val="21"/>
                <w:highlight w:val="none"/>
                <w:u w:val="single"/>
                <w14:textFill>
                  <w14:solidFill>
                    <w14:schemeClr w14:val="tx1"/>
                  </w14:solidFill>
                </w14:textFill>
              </w:rPr>
              <w:t>总价子目的计量和支付应以总价为基础，不因本项目合同第16.1款中的因素而进行调整。承包人实际完成的工程量，是进行工程目标管理和控制进度支付的依据。总价子目中承包人实际完成工作量只作为中间支付参考，不作为结算审核的依据。</w:t>
            </w:r>
          </w:p>
          <w:p w14:paraId="76068B37">
            <w:pPr>
              <w:tabs>
                <w:tab w:val="left" w:pos="546"/>
                <w:tab w:val="left" w:pos="711"/>
              </w:tabs>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3.投标人应按本须</w:t>
            </w:r>
            <w:r>
              <w:rPr>
                <w:rFonts w:hint="eastAsia" w:ascii="宋体" w:hAnsi="宋体" w:eastAsia="宋体" w:cs="Times New Roman"/>
                <w:color w:val="000000" w:themeColor="text1"/>
                <w:szCs w:val="21"/>
                <w:highlight w:val="none"/>
                <w14:textFill>
                  <w14:solidFill>
                    <w14:schemeClr w14:val="tx1"/>
                  </w14:solidFill>
                </w14:textFill>
              </w:rPr>
              <w:t>知</w:t>
            </w:r>
            <w:r>
              <w:rPr>
                <w:rFonts w:hint="eastAsia" w:ascii="宋体" w:hAnsi="宋体" w:eastAsia="宋体" w:cs="Times New Roman"/>
                <w:color w:val="000000" w:themeColor="text1"/>
                <w:szCs w:val="21"/>
                <w:highlight w:val="none"/>
                <w:u w:val="single"/>
                <w14:textFill>
                  <w14:solidFill>
                    <w14:schemeClr w14:val="tx1"/>
                  </w14:solidFill>
                </w14:textFill>
              </w:rPr>
              <w:t>渝水〔2016〕151号《关于水利工程营业税改增值税后计价依据调整的通知》，《关于调整水利工程计价依据</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安全生产费计算标准</w:t>
            </w:r>
            <w:r>
              <w:rPr>
                <w:rFonts w:hint="eastAsia" w:ascii="宋体" w:hAnsi="宋体" w:eastAsia="宋体" w:cs="Times New Roman"/>
                <w:color w:val="000000" w:themeColor="text1"/>
                <w:szCs w:val="21"/>
                <w:highlight w:val="none"/>
                <w:u w:val="single"/>
                <w14:textFill>
                  <w14:solidFill>
                    <w14:schemeClr w14:val="tx1"/>
                  </w14:solidFill>
                </w14:textFill>
              </w:rPr>
              <w:t>的通知（渝水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办建</w:t>
            </w:r>
            <w:r>
              <w:rPr>
                <w:rFonts w:hint="eastAsia" w:ascii="宋体" w:hAnsi="宋体" w:eastAsia="宋体" w:cs="Times New Roman"/>
                <w:color w:val="000000" w:themeColor="text1"/>
                <w:szCs w:val="21"/>
                <w:highlight w:val="none"/>
                <w:u w:val="single"/>
                <w14:textFill>
                  <w14:solidFill>
                    <w14:schemeClr w14:val="tx1"/>
                  </w14:solidFill>
                </w14:textFill>
              </w:rPr>
              <w:t>[20</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23]8</w:t>
            </w:r>
            <w:r>
              <w:rPr>
                <w:rFonts w:hint="eastAsia" w:ascii="宋体" w:hAnsi="宋体" w:eastAsia="宋体" w:cs="Times New Roman"/>
                <w:color w:val="000000" w:themeColor="text1"/>
                <w:szCs w:val="21"/>
                <w:highlight w:val="none"/>
                <w:u w:val="single"/>
                <w14:textFill>
                  <w14:solidFill>
                    <w14:schemeClr w14:val="tx1"/>
                  </w14:solidFill>
                </w14:textFill>
              </w:rPr>
              <w:t>号）》及渝水（20</w:t>
            </w:r>
            <w:r>
              <w:rPr>
                <w:rFonts w:hint="eastAsia" w:ascii="宋体" w:hAnsi="宋体"/>
                <w:color w:val="000000" w:themeColor="text1"/>
                <w:szCs w:val="21"/>
                <w:highlight w:val="none"/>
                <w:u w:val="single"/>
                <w14:textFill>
                  <w14:solidFill>
                    <w14:schemeClr w14:val="tx1"/>
                  </w14:solidFill>
                </w14:textFill>
              </w:rPr>
              <w:t>19）55号文件《关于重新调整水利工程和水土保持工程计价依据中增值税税率的通知》等</w:t>
            </w:r>
            <w:r>
              <w:rPr>
                <w:rFonts w:hint="eastAsia" w:ascii="宋体" w:hAnsi="宋体"/>
                <w:color w:val="000000" w:themeColor="text1"/>
                <w:szCs w:val="21"/>
                <w:highlight w:val="none"/>
                <w14:textFill>
                  <w14:solidFill>
                    <w14:schemeClr w14:val="tx1"/>
                  </w14:solidFill>
                </w14:textFill>
              </w:rPr>
              <w:t>相关配套文件和第五章“工程量清单”的要求填写相应清单表格。投标人的投标报价应是本章投标人须知前附表1.3.1项中所述的本工程合同段招标范围内的全部工程的投标报价，并以投标人在工程量清单中提出的单价或总价为依据。</w:t>
            </w:r>
          </w:p>
          <w:p w14:paraId="5A1FB1EB">
            <w:pPr>
              <w:tabs>
                <w:tab w:val="left" w:pos="546"/>
                <w:tab w:val="left" w:pos="711"/>
              </w:tabs>
              <w:snapToGrid w:val="0"/>
              <w:spacing w:line="400" w:lineRule="exact"/>
              <w:ind w:left="6" w:leftChars="3"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4.投标人应认真填写工程量清单中所列的本合同各工程子目的单价或总价。投标人没有填入单价或总价的工程子目，</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将认为该子目的价款已包括在工程量清单其他子目的单价和总价中。投标人必须按招标工程量清单填报价格。</w:t>
            </w:r>
          </w:p>
          <w:p w14:paraId="3881E061">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5.投标函中的总报价必须与已标价工程量清单总报价一致，</w:t>
            </w:r>
            <w:r>
              <w:rPr>
                <w:rFonts w:hint="eastAsia" w:ascii="宋体" w:hAnsi="宋体" w:cs="宋体"/>
                <w:color w:val="000000" w:themeColor="text1"/>
                <w:szCs w:val="21"/>
                <w:highlight w:val="none"/>
                <w14:textFill>
                  <w14:solidFill>
                    <w14:schemeClr w14:val="tx1"/>
                  </w14:solidFill>
                </w14:textFill>
              </w:rPr>
              <w:t>否则由评标委员会作否决投标处理。</w:t>
            </w:r>
          </w:p>
          <w:p w14:paraId="14E20C52">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本项目采用单价合同形式，则分组工程量清单中的临时（或一般）工程实行总价包干，除专用合同条款另有约定外，总价子目不做调整</w:t>
            </w:r>
            <w:r>
              <w:rPr>
                <w:rFonts w:hint="eastAsia" w:ascii="宋体" w:hAnsi="宋体"/>
                <w:color w:val="000000" w:themeColor="text1"/>
                <w:szCs w:val="21"/>
                <w:highlight w:val="none"/>
                <w14:textFill>
                  <w14:solidFill>
                    <w14:schemeClr w14:val="tx1"/>
                  </w14:solidFill>
                </w14:textFill>
              </w:rPr>
              <w:t>；</w:t>
            </w:r>
          </w:p>
          <w:p w14:paraId="02D0C61C">
            <w:pPr>
              <w:pStyle w:val="2"/>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增值税计税方法由</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依据国家税法规定选择：</w:t>
            </w:r>
          </w:p>
          <w:p w14:paraId="653A5CE8">
            <w:pPr>
              <w:pStyle w:val="2"/>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一般计税法</w:t>
            </w:r>
          </w:p>
          <w:p w14:paraId="377A9D52">
            <w:pPr>
              <w:pStyle w:val="2"/>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□简易计税法</w:t>
            </w:r>
          </w:p>
          <w:p w14:paraId="3671E3E7">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8.如发现工程量清单中的数量与图纸中数量不一致，应于本须知2.2.1项中规定的时间前书面通知</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核查，除非</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以修改书的形式予以更正，否则，应以工程量清单中列出的数量为准。</w:t>
            </w:r>
          </w:p>
          <w:p w14:paraId="6A238CE7">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在工程量清单中所列出的价格（包括暂列金额、暂估价等），投标人不得修改。否则由评标委员会作否决投标处理。</w:t>
            </w:r>
          </w:p>
          <w:p w14:paraId="2C7B2119">
            <w:pPr>
              <w:tabs>
                <w:tab w:val="left" w:pos="546"/>
                <w:tab w:val="left" w:pos="711"/>
              </w:tabs>
              <w:snapToGrid w:val="0"/>
              <w:spacing w:line="400" w:lineRule="exact"/>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本工程招标将设置投标总报价最高限价</w:t>
            </w:r>
            <w:r>
              <w:rPr>
                <w:rFonts w:hint="eastAsia" w:ascii="宋体" w:hAnsi="宋体" w:cs="宋体"/>
                <w:color w:val="000000" w:themeColor="text1"/>
                <w:szCs w:val="21"/>
                <w:highlight w:val="none"/>
                <w:lang w:val="en-US" w:eastAsia="zh-CN"/>
                <w14:textFill>
                  <w14:solidFill>
                    <w14:schemeClr w14:val="tx1"/>
                  </w14:solidFill>
                </w14:textFill>
              </w:rPr>
              <w:t>及全</w:t>
            </w:r>
            <w:r>
              <w:rPr>
                <w:rFonts w:hint="eastAsia" w:ascii="宋体" w:hAnsi="宋体" w:cs="宋体"/>
                <w:color w:val="000000" w:themeColor="text1"/>
                <w:szCs w:val="21"/>
                <w:highlight w:val="none"/>
                <w14:textFill>
                  <w14:solidFill>
                    <w14:schemeClr w14:val="tx1"/>
                  </w14:solidFill>
                </w14:textFill>
              </w:rPr>
              <w:t>部清单综合单价最高限价</w:t>
            </w:r>
            <w:r>
              <w:rPr>
                <w:rFonts w:hint="eastAsia" w:ascii="宋体" w:hAnsi="宋体" w:cs="宋体"/>
                <w:color w:val="000000" w:themeColor="text1"/>
                <w:szCs w:val="21"/>
                <w:highlight w:val="none"/>
                <w:lang w:eastAsia="zh-CN"/>
                <w14:textFill>
                  <w14:solidFill>
                    <w14:schemeClr w14:val="tx1"/>
                  </w14:solidFill>
                </w14:textFill>
              </w:rPr>
              <w:t>：</w:t>
            </w:r>
          </w:p>
          <w:p w14:paraId="4665BB32">
            <w:pPr>
              <w:pStyle w:val="2"/>
              <w:ind w:firstLine="420" w:firstLineChars="20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投标总报价最高</w:t>
            </w:r>
            <w:r>
              <w:rPr>
                <w:rFonts w:hint="eastAsia" w:ascii="宋体" w:hAnsi="宋体" w:eastAsia="宋体" w:cs="宋体"/>
                <w:color w:val="000000" w:themeColor="text1"/>
                <w:szCs w:val="21"/>
                <w:highlight w:val="none"/>
                <w:u w:val="single"/>
                <w14:textFill>
                  <w14:solidFill>
                    <w14:schemeClr w14:val="tx1"/>
                  </w14:solidFill>
                </w14:textFill>
              </w:rPr>
              <w:t>限价</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71259.95</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元（</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大写：柒万壹仟贰佰伍拾玖元玖角伍分)</w:t>
            </w:r>
          </w:p>
          <w:p w14:paraId="55D631E2">
            <w:pPr>
              <w:tabs>
                <w:tab w:val="left" w:pos="546"/>
                <w:tab w:val="left" w:pos="711"/>
              </w:tabs>
              <w:snapToGrid w:val="0"/>
              <w:spacing w:line="400" w:lineRule="exact"/>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投标人的投标总报价不得超过</w:t>
            </w:r>
            <w:r>
              <w:rPr>
                <w:rFonts w:hint="eastAsia" w:ascii="宋体" w:hAnsi="宋体" w:cs="宋体"/>
                <w:color w:val="000000" w:themeColor="text1"/>
                <w:szCs w:val="21"/>
                <w:highlight w:val="none"/>
                <w:lang w:val="en-US" w:eastAsia="zh-CN"/>
                <w14:textFill>
                  <w14:solidFill>
                    <w14:schemeClr w14:val="tx1"/>
                  </w14:solidFill>
                </w14:textFill>
              </w:rPr>
              <w:t>71000.00元</w:t>
            </w:r>
            <w:r>
              <w:rPr>
                <w:rFonts w:hint="eastAsia" w:ascii="宋体" w:hAnsi="宋体" w:cs="宋体"/>
                <w:color w:val="000000" w:themeColor="text1"/>
                <w:szCs w:val="21"/>
                <w:highlight w:val="none"/>
                <w14:textFill>
                  <w14:solidFill>
                    <w14:schemeClr w14:val="tx1"/>
                  </w14:solidFill>
                </w14:textFill>
              </w:rPr>
              <w:t>，否则由评标委员会作</w:t>
            </w:r>
            <w:r>
              <w:rPr>
                <w:rFonts w:hint="eastAsia" w:ascii="宋体" w:hAnsi="宋体"/>
                <w:color w:val="000000" w:themeColor="text1"/>
                <w:szCs w:val="21"/>
                <w:highlight w:val="none"/>
                <w14:textFill>
                  <w14:solidFill>
                    <w14:schemeClr w14:val="tx1"/>
                  </w14:solidFill>
                </w14:textFill>
              </w:rPr>
              <w:t>否决投标处理。</w:t>
            </w:r>
          </w:p>
          <w:p w14:paraId="70F9F5B2">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 安全生产费</w:t>
            </w:r>
          </w:p>
          <w:p w14:paraId="48BC88E6">
            <w:pPr>
              <w:tabs>
                <w:tab w:val="left" w:pos="546"/>
                <w:tab w:val="left" w:pos="711"/>
              </w:tabs>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按照重庆市水利局办公室文件《重庆市水利局办公室关于调整水利工程计价依据安全生产费计算标准的通知》（渝水办建[2023]8号）的规定，在工程总报价中，按建筑安装工程总造价（不含设备费）的2.5%标准计提安全生产费用。《投标函》中的安全生产费计费费率为2.5%，安全生产费具体金额由投标人自行计算填报，不作为竞争性报价，也不作评审要求。安全生产费结算时，按建筑安装工程总造价（不含设备费）的2.5%按实结算。</w:t>
            </w:r>
          </w:p>
          <w:p w14:paraId="4E56F3A7">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 本工程所需材料（含设备）价格由投标人结合市场行情及自身实力进行自主报价。</w:t>
            </w:r>
          </w:p>
          <w:p w14:paraId="6F910153">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 xml:space="preserve"> 投标人投标报价中的各清单子目单价不应高于各清单子目单价最高限价。</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在合同签订前将对中标人“已标价工程量清单”进行复核，若出现差错则按以下原则进行处理（或结算）：</w:t>
            </w:r>
          </w:p>
          <w:p w14:paraId="01DD9BCE">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报价汇总计算结果与投标函总报价不一致时，按就低不就高原则进行修正，即：汇总计算结果高于投标函总报价则以投标函总报价为准，按汇总计算结果与投标函总报价相比的降低幅度同比例修正分组报价和各清单子目单价；汇总计算结果低于投标函总报价则以投标总报价汇总计算结果为准进行签约或结算；</w:t>
            </w:r>
          </w:p>
          <w:p w14:paraId="1ED671E2">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（2）依据单价和数量计算结果与其合价不符的，按不利于投标人原则（就低不就高）对其单价和合价进行修正。</w:t>
            </w:r>
          </w:p>
          <w:p w14:paraId="758E25EF">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（3）单价报价超过工程量清单综合单价最高限价的，以工程量清单综合单价最高限价为基础，按照中标总报价与总价最高限价的下浮比例进行同比例下调修正其单价和合价。</w:t>
            </w:r>
          </w:p>
          <w:p w14:paraId="285910C2">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（4）工程量清单漏项的，按该项单价为0进行修正（即视为该项工作内容的报价已包括在其他项目报价内），超出</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提供的工程量清单范围的清单项目报价不予认可，按该清单项目报价为0对其单价和合价进行修正。</w:t>
            </w:r>
          </w:p>
          <w:p w14:paraId="22767973">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14.投标人须在投标文件资格审查部分进行承诺（格式详见第八章投标文件格式），但必须包括以下内容：</w:t>
            </w:r>
          </w:p>
          <w:p w14:paraId="7C5BED02">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（1）按照</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第二章3.2“投标报价”、</w:t>
            </w:r>
            <w:r>
              <w:rPr>
                <w:rFonts w:hint="eastAsia" w:ascii="宋体" w:hAnsi="宋体" w:cs="宋体"/>
                <w:color w:val="000000" w:themeColor="text1"/>
                <w:szCs w:val="21"/>
                <w:highlight w:val="none"/>
                <w14:textFill>
                  <w14:solidFill>
                    <w14:schemeClr w14:val="tx1"/>
                  </w14:solidFill>
                </w14:textFill>
              </w:rPr>
              <w:t>第五章“工程量清单”的规定进行报价。</w:t>
            </w:r>
          </w:p>
          <w:p w14:paraId="2832CFE7">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中规定工程量清单不允许修改的内容不得修改。</w:t>
            </w:r>
          </w:p>
          <w:p w14:paraId="661068C1">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（3）投标总报价不高于</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公布的投标总报价最高限价。</w:t>
            </w:r>
          </w:p>
          <w:p w14:paraId="0A66C759">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（4）各清单子目单价不高于</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公布的各清单子目单价最高限价的。</w:t>
            </w:r>
          </w:p>
          <w:p w14:paraId="0BFF7440">
            <w:pPr>
              <w:pStyle w:val="2"/>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）若出现差错，按</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第二章投标人须知前附表第3.2款的第13条规定的原则进行处理（或结算）。</w:t>
            </w:r>
          </w:p>
          <w:p w14:paraId="1F079308">
            <w:pPr>
              <w:pStyle w:val="2"/>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投标人未按上述要求提供承诺函的，由评标委员会作否决投标处理。</w:t>
            </w:r>
          </w:p>
        </w:tc>
      </w:tr>
      <w:tr w14:paraId="2C330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35" w:type="dxa"/>
            <w:vAlign w:val="center"/>
          </w:tcPr>
          <w:p w14:paraId="7FF933C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898" w:type="dxa"/>
            <w:vAlign w:val="center"/>
          </w:tcPr>
          <w:p w14:paraId="68D5775D">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6483" w:type="dxa"/>
            <w:vAlign w:val="center"/>
          </w:tcPr>
          <w:p w14:paraId="02E7D198">
            <w:pPr>
              <w:snapToGrid w:val="0"/>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日历天（从提交投标文件截止日起计算）</w:t>
            </w:r>
          </w:p>
        </w:tc>
      </w:tr>
      <w:tr w14:paraId="3BB3F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65F92A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898" w:type="dxa"/>
            <w:vAlign w:val="center"/>
          </w:tcPr>
          <w:p w14:paraId="2EADF4C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保证金</w:t>
            </w:r>
          </w:p>
        </w:tc>
        <w:tc>
          <w:tcPr>
            <w:tcW w:w="6483" w:type="dxa"/>
            <w:vAlign w:val="center"/>
          </w:tcPr>
          <w:p w14:paraId="09A86DDE">
            <w:pPr>
              <w:pStyle w:val="2"/>
              <w:ind w:firstLine="42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本次项目不设投标保证金。</w:t>
            </w:r>
          </w:p>
        </w:tc>
      </w:tr>
      <w:tr w14:paraId="3F17F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35" w:type="dxa"/>
            <w:vAlign w:val="center"/>
          </w:tcPr>
          <w:p w14:paraId="1F4CE11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898" w:type="dxa"/>
            <w:vAlign w:val="center"/>
          </w:tcPr>
          <w:p w14:paraId="7E8AD47F">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43B14165">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6483" w:type="dxa"/>
            <w:vAlign w:val="center"/>
          </w:tcPr>
          <w:p w14:paraId="3F3E6648">
            <w:pPr>
              <w:snapToGrid w:val="0"/>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w:char="00FE"/>
            </w:r>
            <w:r>
              <w:rPr>
                <w:rFonts w:hint="eastAsia" w:ascii="宋体" w:hAnsi="宋体" w:cs="宋体"/>
                <w:color w:val="000000" w:themeColor="text1"/>
                <w:kern w:val="0"/>
                <w:szCs w:val="21"/>
                <w:highlight w:val="none"/>
                <w14:textFill>
                  <w14:solidFill>
                    <w14:schemeClr w14:val="tx1"/>
                  </w14:solidFill>
                </w14:textFill>
              </w:rPr>
              <w:t>不允许</w:t>
            </w:r>
          </w:p>
        </w:tc>
      </w:tr>
      <w:tr w14:paraId="305CD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5" w:type="dxa"/>
            <w:vAlign w:val="center"/>
          </w:tcPr>
          <w:p w14:paraId="67F55F7E">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898" w:type="dxa"/>
            <w:vAlign w:val="center"/>
          </w:tcPr>
          <w:p w14:paraId="45D9E9C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投标文件格式要求</w:t>
            </w:r>
          </w:p>
        </w:tc>
        <w:tc>
          <w:tcPr>
            <w:tcW w:w="6483" w:type="dxa"/>
            <w:vAlign w:val="center"/>
          </w:tcPr>
          <w:p w14:paraId="275BF3B6">
            <w:pPr>
              <w:snapToGrid w:val="0"/>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编制投标文件时不得对第八章“投标文件格式”的相应要素作实质性修改，否则由评标委员会作否决投标处理。</w:t>
            </w:r>
          </w:p>
        </w:tc>
      </w:tr>
      <w:tr w14:paraId="39EFF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1335" w:type="dxa"/>
            <w:vAlign w:val="center"/>
          </w:tcPr>
          <w:p w14:paraId="5A873A2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898" w:type="dxa"/>
            <w:vAlign w:val="center"/>
          </w:tcPr>
          <w:p w14:paraId="02302C4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483" w:type="dxa"/>
            <w:vAlign w:val="center"/>
          </w:tcPr>
          <w:p w14:paraId="7898F29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投标文件应用不褪色的材料书写或打印，并由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法定代表人或其委托代理人在竞争性比选文件规定的位置按竞争性比选文件要求签字或盖章、盖单位法人章。委托代理人签字的，投标文件应附法定代表人签署的授权委托书。投标文件应尽量避免涂改、行间插字或删除。如果出现上述情况，改动之处应加盖单位法人章或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的法定代表人或其授权的代理人签字确认。</w:t>
            </w:r>
          </w:p>
          <w:p w14:paraId="73C049E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未按上述规定执行的，交由评标委员会作否决投标处理。</w:t>
            </w:r>
          </w:p>
        </w:tc>
      </w:tr>
      <w:tr w14:paraId="05540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A8261E">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898" w:type="dxa"/>
            <w:vAlign w:val="center"/>
          </w:tcPr>
          <w:p w14:paraId="0640FACE">
            <w:pPr>
              <w:snapToGrid w:val="0"/>
              <w:spacing w:line="360" w:lineRule="auto"/>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投标文件的份数</w:t>
            </w:r>
          </w:p>
        </w:tc>
        <w:tc>
          <w:tcPr>
            <w:tcW w:w="6483" w:type="dxa"/>
            <w:vAlign w:val="center"/>
          </w:tcPr>
          <w:p w14:paraId="3499D313">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投标文件正本</w:t>
            </w:r>
            <w:r>
              <w:rPr>
                <w:rFonts w:hint="eastAsia" w:ascii="宋体" w:hAnsi="宋体"/>
                <w:color w:val="000000" w:themeColor="text1"/>
                <w:kern w:val="0"/>
                <w:szCs w:val="21"/>
                <w:highlight w:val="none"/>
                <w14:textFill>
                  <w14:solidFill>
                    <w14:schemeClr w14:val="tx1"/>
                  </w14:solidFill>
                </w14:textFill>
              </w:rPr>
              <w:t>1份、副本</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份，电子版形式（</w:t>
            </w:r>
            <w:r>
              <w:rPr>
                <w:rFonts w:hint="eastAsia" w:ascii="宋体" w:hAnsi="宋体"/>
                <w:color w:val="000000" w:themeColor="text1"/>
                <w:kern w:val="0"/>
                <w:szCs w:val="21"/>
                <w:highlight w:val="none"/>
                <w:lang w:val="en-US" w:eastAsia="zh-CN"/>
                <w14:textFill>
                  <w14:solidFill>
                    <w14:schemeClr w14:val="tx1"/>
                  </w14:solidFill>
                </w14:textFill>
              </w:rPr>
              <w:t>u</w:t>
            </w:r>
            <w:r>
              <w:rPr>
                <w:rFonts w:hint="eastAsia" w:ascii="宋体" w:hAnsi="宋体"/>
                <w:color w:val="000000" w:themeColor="text1"/>
                <w:kern w:val="0"/>
                <w:szCs w:val="21"/>
                <w:highlight w:val="none"/>
                <w14:textFill>
                  <w14:solidFill>
                    <w14:schemeClr w14:val="tx1"/>
                  </w14:solidFill>
                </w14:textFill>
              </w:rPr>
              <w:t>盘）1份，</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w:t>
            </w:r>
            <w:r>
              <w:rPr>
                <w:rFonts w:hint="eastAsia" w:ascii="宋体" w:hAnsi="宋体"/>
                <w:color w:val="000000" w:themeColor="text1"/>
                <w:kern w:val="0"/>
                <w:szCs w:val="21"/>
                <w:highlight w:val="none"/>
                <w14:textFill>
                  <w14:solidFill>
                    <w14:schemeClr w14:val="tx1"/>
                  </w14:solidFill>
                </w14:textFill>
              </w:rPr>
              <w:t>。当副本和正本不一致时，以正本为准。否则由评标委员会作否决投标处理。</w:t>
            </w:r>
          </w:p>
          <w:p w14:paraId="6D336F39">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电子版形式（</w:t>
            </w:r>
            <w:r>
              <w:rPr>
                <w:rFonts w:hint="eastAsia" w:ascii="宋体" w:hAnsi="宋体"/>
                <w:color w:val="000000" w:themeColor="text1"/>
                <w:kern w:val="0"/>
                <w:szCs w:val="21"/>
                <w:highlight w:val="none"/>
                <w:lang w:val="en-US" w:eastAsia="zh-CN"/>
                <w14:textFill>
                  <w14:solidFill>
                    <w14:schemeClr w14:val="tx1"/>
                  </w14:solidFill>
                </w14:textFill>
              </w:rPr>
              <w:t>u</w:t>
            </w:r>
            <w:r>
              <w:rPr>
                <w:rFonts w:hint="eastAsia" w:ascii="宋体" w:hAnsi="宋体"/>
                <w:color w:val="000000" w:themeColor="text1"/>
                <w:kern w:val="0"/>
                <w:szCs w:val="21"/>
                <w:highlight w:val="none"/>
                <w14:textFill>
                  <w14:solidFill>
                    <w14:schemeClr w14:val="tx1"/>
                  </w14:solidFill>
                </w14:textFill>
              </w:rPr>
              <w:t>盘）中的经济部分：应包含经济部分全部excel格式预算表格。</w:t>
            </w:r>
          </w:p>
        </w:tc>
      </w:tr>
      <w:tr w14:paraId="1AF7A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D3EED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898" w:type="dxa"/>
            <w:vAlign w:val="center"/>
          </w:tcPr>
          <w:p w14:paraId="44B1A36C">
            <w:pPr>
              <w:snapToGrid w:val="0"/>
              <w:spacing w:line="360" w:lineRule="auto"/>
              <w:jc w:val="center"/>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编制要求</w:t>
            </w:r>
          </w:p>
        </w:tc>
        <w:tc>
          <w:tcPr>
            <w:tcW w:w="6483" w:type="dxa"/>
            <w:vAlign w:val="center"/>
          </w:tcPr>
          <w:p w14:paraId="59B29AA5">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1、本工程应将投标函部分、</w:t>
            </w:r>
            <w:r>
              <w:rPr>
                <w:rFonts w:hint="eastAsia"/>
                <w:color w:val="000000" w:themeColor="text1"/>
                <w:highlight w:val="none"/>
                <w:lang w:val="en-US" w:eastAsia="zh-CN"/>
                <w14:textFill>
                  <w14:solidFill>
                    <w14:schemeClr w14:val="tx1"/>
                  </w14:solidFill>
                </w14:textFill>
              </w:rPr>
              <w:t>经济部分、</w:t>
            </w:r>
            <w:r>
              <w:rPr>
                <w:rFonts w:hint="eastAsia"/>
                <w:color w:val="000000" w:themeColor="text1"/>
                <w:highlight w:val="none"/>
                <w14:textFill>
                  <w14:solidFill>
                    <w14:schemeClr w14:val="tx1"/>
                  </w14:solidFill>
                </w14:textFill>
              </w:rPr>
              <w:t>资格审查部分、技术部分各自分别装订成册。</w:t>
            </w:r>
          </w:p>
          <w:p w14:paraId="72ECA2A7">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2、装订</w:t>
            </w:r>
          </w:p>
          <w:p w14:paraId="5C04C9EA">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（1）投标函部分的装订要求</w:t>
            </w:r>
          </w:p>
          <w:p w14:paraId="5E9EFCCB">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应按照第八章规定格式装订成册，并应编制目录，标注页码。</w:t>
            </w:r>
          </w:p>
          <w:p w14:paraId="06E171AD">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（2）经济部分的装订要求</w:t>
            </w:r>
          </w:p>
          <w:p w14:paraId="10AF094E">
            <w:pPr>
              <w:adjustRightInd w:val="0"/>
              <w:snapToGrid w:val="0"/>
              <w:spacing w:line="360" w:lineRule="auto"/>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应按</w:t>
            </w:r>
            <w:r>
              <w:rPr>
                <w:rFonts w:hint="eastAsia" w:ascii="Times New Roman" w:hAnsi="Times New Roman" w:eastAsia="宋体" w:cs="Times New Roman"/>
                <w:color w:val="000000" w:themeColor="text1"/>
                <w:highlight w:val="none"/>
                <w14:textFill>
                  <w14:solidFill>
                    <w14:schemeClr w14:val="tx1"/>
                  </w14:solidFill>
                </w14:textFill>
              </w:rPr>
              <w:t>照第八章规定格式装订成册，并应编制目录。</w:t>
            </w:r>
          </w:p>
          <w:p w14:paraId="36D86AC5">
            <w:pPr>
              <w:adjustRightInd w:val="0"/>
              <w:snapToGrid w:val="0"/>
              <w:spacing w:line="360" w:lineRule="auto"/>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技术部分（如有）的装订要求</w:t>
            </w:r>
          </w:p>
          <w:p w14:paraId="12DABDD1">
            <w:pPr>
              <w:adjustRightInd w:val="0"/>
              <w:snapToGrid w:val="0"/>
              <w:spacing w:line="360" w:lineRule="auto"/>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《技术方案》面页使用A4厚型白纸面页，用初号仿宋字体居中标明 “技术方案”；在页面右下角加盖投标单位章后沿密封线折叠成腰约10cm左右的等腰直角三角形密封；面页除了“技术方案”四字和右下角密封处印章外不得有其他印记；密封后的面页及整个《技术方案》均不得出现白页、残页和倒页，不得显示与投标人企业有关的任何信息及与本工程无关内容；《技术方案》文本部分的纸张采用A4白纸，文本部分的文字采用四号仿宋字体；图表部分的纸张采用A4或A3白纸，图表内的字体、字号大小不限；文字、图表不得使用彩色和不得编制页码。违反上述任何一项，采用综合评估法的其投标文件《技术方案》部分为零分。</w:t>
            </w:r>
          </w:p>
          <w:p w14:paraId="6ED7AF9D">
            <w:pPr>
              <w:adjustRightInd w:val="0"/>
              <w:snapToGrid w:val="0"/>
              <w:spacing w:line="360" w:lineRule="auto"/>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（技术方案原则上不超过</w:t>
            </w:r>
            <w:r>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t>150</w:t>
            </w:r>
            <w:r>
              <w:rPr>
                <w:rFonts w:hint="eastAsia" w:ascii="Times New Roman" w:hAnsi="Times New Roman" w:eastAsia="宋体" w:cs="Times New Roman"/>
                <w:color w:val="000000" w:themeColor="text1"/>
                <w:highlight w:val="none"/>
                <w:u w:val="single"/>
                <w14:textFill>
                  <w14:solidFill>
                    <w14:schemeClr w14:val="tx1"/>
                  </w14:solidFill>
                </w14:textFill>
              </w:rPr>
              <w:t xml:space="preserve"> 页</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但不得将页数作为评审因素</w:t>
            </w:r>
            <w:r>
              <w:rPr>
                <w:rFonts w:hint="eastAsia" w:ascii="Times New Roman" w:hAnsi="Times New Roman" w:eastAsia="宋体" w:cs="Times New Roman"/>
                <w:color w:val="000000" w:themeColor="text1"/>
                <w:highlight w:val="none"/>
                <w14:textFill>
                  <w14:solidFill>
                    <w14:schemeClr w14:val="tx1"/>
                  </w14:solidFill>
                </w14:textFill>
              </w:rPr>
              <w:t>。）</w:t>
            </w:r>
          </w:p>
          <w:p w14:paraId="4D767E89">
            <w:pPr>
              <w:adjustRightInd w:val="0"/>
              <w:snapToGrid w:val="0"/>
              <w:spacing w:line="360" w:lineRule="auto"/>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）资格审查部分的装订要求</w:t>
            </w:r>
          </w:p>
          <w:p w14:paraId="5F25597F">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应按照第八章规定格式装订成册，并应编制目录，标注页码。</w:t>
            </w:r>
          </w:p>
        </w:tc>
      </w:tr>
      <w:tr w14:paraId="2C37D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E99F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898" w:type="dxa"/>
            <w:vAlign w:val="center"/>
          </w:tcPr>
          <w:p w14:paraId="2E36EAED">
            <w:pPr>
              <w:snapToGrid w:val="0"/>
              <w:spacing w:line="360" w:lineRule="auto"/>
              <w:jc w:val="center"/>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投标文件的密封</w:t>
            </w:r>
          </w:p>
        </w:tc>
        <w:tc>
          <w:tcPr>
            <w:tcW w:w="6483" w:type="dxa"/>
            <w:vAlign w:val="center"/>
          </w:tcPr>
          <w:p w14:paraId="211DFF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投标文件袋使用自备的“投标函部分”袋、“经济部分”袋、“资格审查部分”袋、“技术部分”袋以及“投标文件”大袋。</w:t>
            </w:r>
          </w:p>
          <w:p w14:paraId="09E089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投标函部分和电子版装入“投标函部分”袋中，密封并在袋上加盖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单位法人章。</w:t>
            </w:r>
          </w:p>
          <w:p w14:paraId="748267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经济部分装入“经济部分”袋中，密封并在袋上加盖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单位法人章。</w:t>
            </w:r>
          </w:p>
          <w:p w14:paraId="7611A7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资格审查部分装入“资格审查部分”袋中，密封并在袋上加盖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单位法人章。</w:t>
            </w:r>
          </w:p>
          <w:p w14:paraId="35BFD67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技术部分装入“技术部分”袋中，</w:t>
            </w:r>
            <w:r>
              <w:rPr>
                <w:rFonts w:hint="eastAsia" w:ascii="宋体" w:hAnsi="宋体"/>
                <w:color w:val="000000" w:themeColor="text1"/>
                <w:szCs w:val="21"/>
                <w:highlight w:val="none"/>
                <w14:textFill>
                  <w14:solidFill>
                    <w14:schemeClr w14:val="tx1"/>
                  </w14:solidFill>
                </w14:textFill>
              </w:rPr>
              <w:t>密封袋上不加盖</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单位公章</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（如有）</w:t>
            </w:r>
          </w:p>
          <w:p w14:paraId="0BB135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6.“投标函部分”、“经济部分”、“技术部分”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“资格审查部分”等小袋装入“投标文件”大袋中，密封并在大袋上加盖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单位法人章，同时“投标文件”大袋应按本表第4.1.2项的规定写明相应内容。一个大袋装不下的，可使用多个大袋分册封装。大袋未按要求密封的，比选人或代理机构应该拒收。</w:t>
            </w:r>
          </w:p>
        </w:tc>
      </w:tr>
      <w:tr w14:paraId="18BB2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FB5A83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898" w:type="dxa"/>
            <w:vAlign w:val="center"/>
          </w:tcPr>
          <w:p w14:paraId="76907AF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483" w:type="dxa"/>
            <w:vAlign w:val="center"/>
          </w:tcPr>
          <w:p w14:paraId="6998D422">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应在“投标文件”</w:t>
            </w:r>
            <w:r>
              <w:rPr>
                <w:rFonts w:hint="eastAsia" w:ascii="宋体" w:hAnsi="宋体" w:cs="宋体"/>
                <w:color w:val="000000" w:themeColor="text1"/>
                <w:kern w:val="0"/>
                <w:szCs w:val="21"/>
                <w:highlight w:val="none"/>
                <w:lang w:val="en-US" w:eastAsia="zh-CN"/>
                <w14:textFill>
                  <w14:solidFill>
                    <w14:schemeClr w14:val="tx1"/>
                  </w14:solidFill>
                </w14:textFill>
              </w:rPr>
              <w:t>大</w:t>
            </w:r>
            <w:r>
              <w:rPr>
                <w:rFonts w:hint="eastAsia" w:ascii="宋体" w:hAnsi="宋体" w:cs="宋体"/>
                <w:color w:val="000000" w:themeColor="text1"/>
                <w:kern w:val="0"/>
                <w:szCs w:val="21"/>
                <w:highlight w:val="none"/>
                <w14:textFill>
                  <w14:solidFill>
                    <w14:schemeClr w14:val="tx1"/>
                  </w14:solidFill>
                </w14:textFill>
              </w:rPr>
              <w:t>袋封套上写明如下内容：</w:t>
            </w:r>
          </w:p>
          <w:p w14:paraId="61929890">
            <w:pPr>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64E0155A">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投标文件</w:t>
            </w:r>
          </w:p>
          <w:p w14:paraId="4470C5F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w:t>
            </w:r>
            <w:r>
              <w:rPr>
                <w:rFonts w:hint="eastAsia" w:ascii="宋体" w:hAnsi="宋体" w:cs="宋体"/>
                <w:color w:val="000000" w:themeColor="text1"/>
                <w:kern w:val="0"/>
                <w:szCs w:val="21"/>
                <w:highlight w:val="none"/>
                <w14:textFill>
                  <w14:solidFill>
                    <w14:schemeClr w14:val="tx1"/>
                  </w14:solidFill>
                </w14:textFill>
              </w:rPr>
              <w:t>不得开启</w:t>
            </w:r>
          </w:p>
        </w:tc>
      </w:tr>
      <w:tr w14:paraId="0C782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35" w:type="dxa"/>
            <w:vAlign w:val="center"/>
          </w:tcPr>
          <w:p w14:paraId="71DFA40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898" w:type="dxa"/>
            <w:vAlign w:val="center"/>
          </w:tcPr>
          <w:p w14:paraId="540502F4">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递交投标文件地点</w:t>
            </w:r>
          </w:p>
        </w:tc>
        <w:tc>
          <w:tcPr>
            <w:tcW w:w="6483" w:type="dxa"/>
            <w:vAlign w:val="center"/>
          </w:tcPr>
          <w:p w14:paraId="2119C3C4">
            <w:pPr>
              <w:snapToGrid w:val="0"/>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“重庆市公共资源交易中心南川分中心”（重庆市南川区西城街道办事处凤江南路3号商务中心右副楼二楼）接件处</w:t>
            </w:r>
          </w:p>
        </w:tc>
      </w:tr>
      <w:tr w14:paraId="457D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5" w:type="dxa"/>
            <w:vAlign w:val="center"/>
          </w:tcPr>
          <w:p w14:paraId="7FB7587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898" w:type="dxa"/>
            <w:vAlign w:val="center"/>
          </w:tcPr>
          <w:p w14:paraId="2A91A2D7">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是否退还投标文件</w:t>
            </w:r>
          </w:p>
        </w:tc>
        <w:tc>
          <w:tcPr>
            <w:tcW w:w="6483" w:type="dxa"/>
            <w:vAlign w:val="center"/>
          </w:tcPr>
          <w:p w14:paraId="0BEC069C">
            <w:pPr>
              <w:snapToGrid w:val="0"/>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r>
      <w:tr w14:paraId="3713F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35" w:type="dxa"/>
            <w:vAlign w:val="center"/>
          </w:tcPr>
          <w:p w14:paraId="5F59C92B">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898" w:type="dxa"/>
            <w:vAlign w:val="center"/>
          </w:tcPr>
          <w:p w14:paraId="115EDFE2">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w:t>
            </w:r>
          </w:p>
          <w:p w14:paraId="6F2E146A">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6483" w:type="dxa"/>
            <w:vAlign w:val="center"/>
          </w:tcPr>
          <w:p w14:paraId="58B9A62D">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开标时间：同投标截止时间</w:t>
            </w:r>
          </w:p>
          <w:p w14:paraId="5457E402">
            <w:pPr>
              <w:snapToGrid w:val="0"/>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bCs/>
                <w:color w:val="000000" w:themeColor="text1"/>
                <w:szCs w:val="21"/>
                <w:highlight w:val="none"/>
                <w14:textFill>
                  <w14:solidFill>
                    <w14:schemeClr w14:val="tx1"/>
                  </w14:solidFill>
                </w14:textFill>
              </w:rPr>
              <w:t>详见比选公告。</w:t>
            </w:r>
          </w:p>
        </w:tc>
      </w:tr>
      <w:tr w14:paraId="7AA7D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35350CDD">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898" w:type="dxa"/>
            <w:vAlign w:val="center"/>
          </w:tcPr>
          <w:p w14:paraId="58562557">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开标程序</w:t>
            </w:r>
          </w:p>
        </w:tc>
        <w:tc>
          <w:tcPr>
            <w:tcW w:w="6483" w:type="dxa"/>
            <w:vAlign w:val="center"/>
          </w:tcPr>
          <w:p w14:paraId="7564BC43">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主持人按下列程序进行开标：</w:t>
            </w:r>
          </w:p>
          <w:p w14:paraId="509398B9">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1.宣布开标纪律；</w:t>
            </w:r>
          </w:p>
          <w:p w14:paraId="113F8500">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2.宣布开标人、唱标人、记录人、监标人等有关人员姓名；</w:t>
            </w:r>
          </w:p>
          <w:p w14:paraId="14B0B697">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3.核验参加开标会议的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14:paraId="540E3D0A">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4.密封情况检查：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可对自己的投标文件封装情况进行检查，以确认其投标文件密封完好。</w:t>
            </w:r>
          </w:p>
          <w:p w14:paraId="50529663">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5.设有最高限价的，公布最高限价；</w:t>
            </w:r>
          </w:p>
          <w:p w14:paraId="4B60A81E">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6.开标顺序：随机开启；</w:t>
            </w:r>
          </w:p>
          <w:p w14:paraId="45C61779">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7.按照宣布的开标顺序当众开标，开启投标文件大袋，公布</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名称、投标报价、质量目标、工期及其他内容，并记录在案；</w:t>
            </w:r>
          </w:p>
          <w:p w14:paraId="571EFF3D">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代表、比选人代表、监标人、记录人等有关人员在开标记录上签字确认；因其他原因未能签字的，视为默认开标结果。</w:t>
            </w:r>
          </w:p>
          <w:p w14:paraId="467DBB2C">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对开标有异议的，应当场提出，由比选人或代理机构当场答复，并记录到开标记录表中。异议处理完毕后，汇总开标情况，打印开标记录表。</w:t>
            </w:r>
          </w:p>
          <w:p w14:paraId="2D55F145">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10.比选人或比选代理机构通过招标投标信用平台现场完成</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信用状况查询，形成《</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信用状况一览表》记录</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不良行为记分情况以及是否进入红名单、重点关注名单、黑名单等信息；《</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信用状况一览表》与其他评标资料一起送评标委员会评审时使用。</w:t>
            </w:r>
          </w:p>
          <w:p w14:paraId="3D2F06B7">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11.开标结束。</w:t>
            </w:r>
          </w:p>
        </w:tc>
      </w:tr>
      <w:tr w14:paraId="29CA0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FEDFB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898" w:type="dxa"/>
            <w:vAlign w:val="center"/>
          </w:tcPr>
          <w:p w14:paraId="54B10D2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评标委员会的组建</w:t>
            </w:r>
          </w:p>
        </w:tc>
        <w:tc>
          <w:tcPr>
            <w:tcW w:w="6483" w:type="dxa"/>
            <w:vAlign w:val="center"/>
          </w:tcPr>
          <w:p w14:paraId="6776398B">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1．评标委员会构成：3人。</w:t>
            </w:r>
          </w:p>
          <w:p w14:paraId="18ACDF75">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2．评标组织专家确定方式：由比选人按相关规定组建。</w:t>
            </w:r>
          </w:p>
        </w:tc>
      </w:tr>
      <w:tr w14:paraId="3BE5D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C9E75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898" w:type="dxa"/>
            <w:vAlign w:val="center"/>
          </w:tcPr>
          <w:p w14:paraId="654703F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是否授权评标委员会确定中标人</w:t>
            </w:r>
          </w:p>
        </w:tc>
        <w:tc>
          <w:tcPr>
            <w:tcW w:w="6483" w:type="dxa"/>
            <w:vAlign w:val="center"/>
          </w:tcPr>
          <w:p w14:paraId="16BCC25A">
            <w:pPr>
              <w:snapToGrid w:val="0"/>
              <w:spacing w:line="360" w:lineRule="auto"/>
              <w:ind w:firstLine="420" w:firstLineChars="200"/>
              <w:rPr>
                <w:rFonts w:ascii="宋体" w:hAnsi="宋体" w:cs="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r>
              <w:rPr>
                <w:rFonts w:hint="eastAsia" w:ascii="宋体" w:hAnsi="宋体"/>
                <w:color w:val="000000" w:themeColor="text1"/>
                <w:kern w:val="0"/>
                <w:szCs w:val="21"/>
                <w:highlight w:val="none"/>
                <w14:textFill>
                  <w14:solidFill>
                    <w14:schemeClr w14:val="tx1"/>
                  </w14:solidFill>
                </w14:textFill>
              </w:rPr>
              <w:t>推荐经评审综合得分由高到低排名前三名为中标候选人。</w:t>
            </w:r>
          </w:p>
        </w:tc>
      </w:tr>
      <w:tr w14:paraId="3C354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67B5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898" w:type="dxa"/>
            <w:vAlign w:val="center"/>
          </w:tcPr>
          <w:p w14:paraId="438926C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中标公示</w:t>
            </w:r>
          </w:p>
        </w:tc>
        <w:tc>
          <w:tcPr>
            <w:tcW w:w="6483" w:type="dxa"/>
            <w:vAlign w:val="center"/>
          </w:tcPr>
          <w:p w14:paraId="421D6ED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重庆市公共资源交易网（南川区）</w:t>
            </w:r>
          </w:p>
        </w:tc>
      </w:tr>
      <w:tr w14:paraId="71E85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35" w:type="dxa"/>
            <w:vAlign w:val="center"/>
          </w:tcPr>
          <w:p w14:paraId="5264450F">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898" w:type="dxa"/>
            <w:vAlign w:val="center"/>
          </w:tcPr>
          <w:p w14:paraId="56241B3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483" w:type="dxa"/>
            <w:vAlign w:val="center"/>
          </w:tcPr>
          <w:p w14:paraId="57BCF73A">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中选人是否提供履约担保：</w:t>
            </w:r>
            <w:r>
              <w:rPr>
                <w:rFonts w:hint="eastAsia" w:ascii="宋体" w:hAnsi="宋体" w:cs="宋体"/>
                <w:color w:val="000000" w:themeColor="text1"/>
                <w:szCs w:val="21"/>
                <w:highlight w:val="none"/>
                <w:u w:val="single"/>
                <w:lang w:eastAsia="zh-CN"/>
                <w14:textFill>
                  <w14:solidFill>
                    <w14:schemeClr w14:val="tx1"/>
                  </w14:solidFill>
                </w14:textFill>
              </w:rPr>
              <w:t>不</w:t>
            </w:r>
            <w:r>
              <w:rPr>
                <w:rFonts w:hint="eastAsia" w:ascii="宋体" w:hAnsi="宋体" w:cs="宋体"/>
                <w:color w:val="000000" w:themeColor="text1"/>
                <w:szCs w:val="21"/>
                <w:highlight w:val="none"/>
                <w:u w:val="single"/>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 xml:space="preserve">。 </w:t>
            </w:r>
          </w:p>
        </w:tc>
      </w:tr>
      <w:tr w14:paraId="18462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E7300E">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898" w:type="dxa"/>
            <w:vAlign w:val="center"/>
          </w:tcPr>
          <w:p w14:paraId="0653957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重新招标</w:t>
            </w:r>
          </w:p>
        </w:tc>
        <w:tc>
          <w:tcPr>
            <w:tcW w:w="6483" w:type="dxa"/>
            <w:vAlign w:val="center"/>
          </w:tcPr>
          <w:p w14:paraId="44BCFA0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须知第8.1（1）执行；</w:t>
            </w:r>
          </w:p>
          <w:p w14:paraId="425CF73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须知第8.1（2）执行；</w:t>
            </w:r>
          </w:p>
          <w:p w14:paraId="280588C5">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须知第8.1（3）执行；</w:t>
            </w:r>
          </w:p>
          <w:p w14:paraId="32961B2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须知第8.1（4）执行。</w:t>
            </w:r>
          </w:p>
        </w:tc>
      </w:tr>
      <w:tr w14:paraId="3277A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335" w:type="dxa"/>
            <w:vAlign w:val="center"/>
          </w:tcPr>
          <w:p w14:paraId="12DB0EA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898" w:type="dxa"/>
            <w:vAlign w:val="center"/>
          </w:tcPr>
          <w:p w14:paraId="3B10F92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二次招标和</w:t>
            </w:r>
          </w:p>
          <w:p w14:paraId="219A3DB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不再招标</w:t>
            </w:r>
          </w:p>
        </w:tc>
        <w:tc>
          <w:tcPr>
            <w:tcW w:w="6483" w:type="dxa"/>
            <w:vAlign w:val="center"/>
          </w:tcPr>
          <w:p w14:paraId="547667B7">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重新招标的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仍然少于三个的，按照招标投标法律法规规定的程序比选和评审。重新招标经评审有有效</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的，应当依法确定中选候选人；无有效</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的，可以不再进行招标，报经原审批部门批准可以不再比选。</w:t>
            </w:r>
          </w:p>
        </w:tc>
      </w:tr>
      <w:tr w14:paraId="70051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35" w:type="dxa"/>
            <w:vAlign w:val="center"/>
          </w:tcPr>
          <w:p w14:paraId="353F6EA8">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381" w:type="dxa"/>
            <w:gridSpan w:val="2"/>
            <w:vAlign w:val="center"/>
          </w:tcPr>
          <w:p w14:paraId="6E56C240">
            <w:pPr>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需要补充的其他内容</w:t>
            </w:r>
          </w:p>
        </w:tc>
      </w:tr>
      <w:tr w14:paraId="77E21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35" w:type="dxa"/>
            <w:vAlign w:val="center"/>
          </w:tcPr>
          <w:p w14:paraId="2EA6B1BD">
            <w:pPr>
              <w:snapToGrid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10.1</w:t>
            </w:r>
          </w:p>
        </w:tc>
        <w:tc>
          <w:tcPr>
            <w:tcW w:w="1898" w:type="dxa"/>
            <w:vAlign w:val="center"/>
          </w:tcPr>
          <w:p w14:paraId="7D04229C">
            <w:pPr>
              <w:spacing w:line="240" w:lineRule="atLeast"/>
              <w:ind w:firstLine="210" w:firstLineChars="100"/>
              <w:jc w:val="left"/>
              <w:rPr>
                <w:rFonts w:hint="eastAsia" w:ascii="宋体" w:hAnsi="宋体" w:cs="宋体"/>
                <w:b/>
                <w:bCs/>
                <w:color w:val="000000" w:themeColor="text1"/>
                <w:kern w:val="0"/>
                <w:szCs w:val="21"/>
                <w:highlight w:val="none"/>
                <w14:textFill>
                  <w14:solidFill>
                    <w14:schemeClr w14:val="tx1"/>
                  </w14:solidFill>
                </w14:textFill>
              </w:rPr>
            </w:pPr>
            <w:r>
              <w:rPr>
                <w:rStyle w:val="326"/>
                <w:rFonts w:ascii="宋体" w:hAnsi="宋体" w:cs="宋体"/>
                <w:bCs/>
                <w:color w:val="000000" w:themeColor="text1"/>
                <w:kern w:val="0"/>
                <w:szCs w:val="21"/>
                <w:highlight w:val="none"/>
                <w14:textFill>
                  <w14:solidFill>
                    <w14:schemeClr w14:val="tx1"/>
                  </w14:solidFill>
                </w14:textFill>
              </w:rPr>
              <w:t>工程款支付</w:t>
            </w:r>
          </w:p>
        </w:tc>
        <w:tc>
          <w:tcPr>
            <w:tcW w:w="6483" w:type="dxa"/>
            <w:vAlign w:val="center"/>
          </w:tcPr>
          <w:p w14:paraId="27BDF0BE">
            <w:pPr>
              <w:snapToGrid w:val="0"/>
              <w:spacing w:line="280" w:lineRule="exact"/>
              <w:ind w:firstLine="420" w:firstLineChars="0"/>
              <w:jc w:val="left"/>
              <w:rPr>
                <w:rFonts w:hint="eastAsia" w:ascii="宋体" w:hAnsi="宋体" w:cs="宋体"/>
                <w:b/>
                <w:bCs/>
                <w:color w:val="000000" w:themeColor="text1"/>
                <w:kern w:val="0"/>
                <w:szCs w:val="21"/>
                <w:highlight w:val="none"/>
                <w14:textFill>
                  <w14:solidFill>
                    <w14:schemeClr w14:val="tx1"/>
                  </w14:solidFill>
                </w14:textFill>
              </w:rPr>
            </w:pPr>
            <w:r>
              <w:rPr>
                <w:rStyle w:val="326"/>
                <w:rFonts w:hint="eastAsia" w:ascii="宋体" w:hAnsi="宋体"/>
                <w:color w:val="000000" w:themeColor="text1"/>
                <w:kern w:val="0"/>
                <w:szCs w:val="21"/>
                <w:highlight w:val="none"/>
                <w14:textFill>
                  <w14:solidFill>
                    <w14:schemeClr w14:val="tx1"/>
                  </w14:solidFill>
                </w14:textFill>
              </w:rPr>
              <w:t>在合同中约定</w:t>
            </w:r>
          </w:p>
        </w:tc>
      </w:tr>
      <w:tr w14:paraId="7BAD5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C13AD0">
            <w:pPr>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2</w:t>
            </w:r>
          </w:p>
        </w:tc>
        <w:tc>
          <w:tcPr>
            <w:tcW w:w="1898" w:type="dxa"/>
            <w:vAlign w:val="center"/>
          </w:tcPr>
          <w:p w14:paraId="2131DAAB">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异议处理</w:t>
            </w:r>
          </w:p>
        </w:tc>
        <w:tc>
          <w:tcPr>
            <w:tcW w:w="6483" w:type="dxa"/>
            <w:vAlign w:val="center"/>
          </w:tcPr>
          <w:p w14:paraId="6DA84864">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投标人或者其他利害关系人就本项目的</w:t>
            </w:r>
            <w:r>
              <w:rPr>
                <w:rFonts w:hint="eastAsia" w:ascii="宋体" w:hAnsi="宋体"/>
                <w:color w:val="000000" w:themeColor="text1"/>
                <w:kern w:val="0"/>
                <w:szCs w:val="21"/>
                <w:highlight w:val="none"/>
                <w14:textFill>
                  <w14:solidFill>
                    <w14:schemeClr w14:val="tx1"/>
                  </w14:solidFill>
                </w14:textFill>
              </w:rPr>
              <w:t>就本项目的</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提出异议；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应当在规定时间内答复；对</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的答复不满意，可向行政监督部门投诉。</w:t>
            </w:r>
          </w:p>
          <w:p w14:paraId="29A2B01B">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提出异议或投诉时应当包括下列内容：</w:t>
            </w:r>
          </w:p>
          <w:p w14:paraId="4A879EB7">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（1）异议人或投诉人的名称、地址及有效联系方式；</w:t>
            </w:r>
          </w:p>
          <w:p w14:paraId="2D70F783">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（2）被异议人或被投诉人的名称、地址及有效联系方式；</w:t>
            </w:r>
          </w:p>
          <w:p w14:paraId="6BC7F0E7">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（3）异议或投诉事项的基本事实；</w:t>
            </w:r>
          </w:p>
          <w:p w14:paraId="72292E74">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（4）请求及主张；</w:t>
            </w:r>
          </w:p>
          <w:p w14:paraId="0308CC33">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（5）涉及事项的证据、证明材料。</w:t>
            </w:r>
          </w:p>
          <w:p w14:paraId="4EA88BE0">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90E34C1">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行政监督部门依照《</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招标投标法实施条例》、《重庆市招标投标条例》、《工程建设项目招标投标活动投诉处理办法》（七部委令第11号（根据九部门2013年第23号令修正））、</w:t>
            </w:r>
            <w:r>
              <w:rPr>
                <w:rFonts w:hint="eastAsia" w:ascii="宋体" w:hAnsi="宋体"/>
                <w:color w:val="000000" w:themeColor="text1"/>
                <w:kern w:val="0"/>
                <w:szCs w:val="21"/>
                <w:highlight w:val="none"/>
                <w14:textFill>
                  <w14:solidFill>
                    <w14:schemeClr w14:val="tx1"/>
                  </w14:solidFill>
                </w14:textFill>
              </w:rPr>
              <w:t>《关于印发&lt;重庆市招标投标活动投诉处理实施细则（修订）&gt;的通知》（渝公管发〔2021〕54号）</w:t>
            </w:r>
            <w:r>
              <w:rPr>
                <w:rFonts w:ascii="宋体" w:hAnsi="宋体"/>
                <w:color w:val="000000" w:themeColor="text1"/>
                <w:kern w:val="0"/>
                <w:szCs w:val="21"/>
                <w:highlight w:val="none"/>
                <w14:textFill>
                  <w14:solidFill>
                    <w14:schemeClr w14:val="tx1"/>
                  </w14:solidFill>
                </w14:textFill>
              </w:rPr>
              <w:t>等法律法规文件处理投诉。</w:t>
            </w:r>
          </w:p>
          <w:p w14:paraId="000DAF13">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13A714EC">
            <w:pPr>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异议受理单位：</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重庆市南川区兴隆镇人民政府</w:t>
            </w:r>
          </w:p>
          <w:p w14:paraId="4AB12F6B">
            <w:pPr>
              <w:snapToGrid w:val="0"/>
              <w:spacing w:line="400" w:lineRule="exact"/>
              <w:ind w:firstLine="420" w:firstLineChars="200"/>
              <w:rPr>
                <w:rFonts w:hint="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 xml:space="preserve"> 13452556717 </w:t>
            </w:r>
          </w:p>
        </w:tc>
      </w:tr>
      <w:tr w14:paraId="4BA7E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4558D0">
            <w:pPr>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10.3</w:t>
            </w:r>
          </w:p>
        </w:tc>
        <w:tc>
          <w:tcPr>
            <w:tcW w:w="1898" w:type="dxa"/>
            <w:vAlign w:val="center"/>
          </w:tcPr>
          <w:p w14:paraId="174F12B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工程量清单</w:t>
            </w:r>
          </w:p>
          <w:p w14:paraId="78A70078">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编制说明</w:t>
            </w:r>
          </w:p>
        </w:tc>
        <w:tc>
          <w:tcPr>
            <w:tcW w:w="6483" w:type="dxa"/>
            <w:vAlign w:val="center"/>
          </w:tcPr>
          <w:p w14:paraId="6B3EFCFD">
            <w:pPr>
              <w:numPr>
                <w:ilvl w:val="0"/>
                <w:numId w:val="2"/>
              </w:numPr>
              <w:spacing w:line="400" w:lineRule="exact"/>
              <w:ind w:firstLine="420" w:firstLineChars="20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编制依据</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重庆市水利局、重庆市发展和改革委员会关于发布2021年版《重庆市水利工程设计概（估）算编制规定》的通知</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《重庆市水利建筑工程</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预</w:t>
            </w:r>
            <w:r>
              <w:rPr>
                <w:rFonts w:hint="eastAsia" w:ascii="宋体" w:hAnsi="宋体" w:eastAsia="宋体" w:cs="Times New Roman"/>
                <w:color w:val="000000" w:themeColor="text1"/>
                <w:kern w:val="0"/>
                <w:szCs w:val="21"/>
                <w:highlight w:val="none"/>
                <w14:textFill>
                  <w14:solidFill>
                    <w14:schemeClr w14:val="tx1"/>
                  </w14:solidFill>
                </w14:textFill>
              </w:rPr>
              <w:t>算定额 》（2021年版）（上、下册）</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《重庆市中小型水利水电设备安装工程</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预</w:t>
            </w:r>
            <w:r>
              <w:rPr>
                <w:rFonts w:hint="eastAsia" w:ascii="宋体" w:hAnsi="宋体" w:eastAsia="宋体" w:cs="Times New Roman"/>
                <w:color w:val="000000" w:themeColor="text1"/>
                <w:kern w:val="0"/>
                <w:szCs w:val="21"/>
                <w:highlight w:val="none"/>
                <w14:textFill>
                  <w14:solidFill>
                    <w14:schemeClr w14:val="tx1"/>
                  </w14:solidFill>
                </w14:textFill>
              </w:rPr>
              <w:t>算定额》（2021年版）</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《重庆市水利工程施工机械台时费定额》（2021年版）</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财政部、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应急部关于印发</w:t>
            </w:r>
            <w:r>
              <w:rPr>
                <w:rFonts w:hint="eastAsia" w:ascii="宋体" w:hAnsi="宋体" w:eastAsia="宋体" w:cs="Times New Roman"/>
                <w:color w:val="000000" w:themeColor="text1"/>
                <w:kern w:val="0"/>
                <w:szCs w:val="21"/>
                <w:highlight w:val="none"/>
                <w14:textFill>
                  <w14:solidFill>
                    <w14:schemeClr w14:val="tx1"/>
                  </w14:solidFill>
                </w14:textFill>
              </w:rPr>
              <w:t>《 企业安全生产费用提取和使用管理办法（财</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资</w:t>
            </w:r>
            <w:r>
              <w:rPr>
                <w:rFonts w:hint="eastAsia" w:ascii="宋体" w:hAnsi="宋体" w:eastAsia="宋体" w:cs="Times New Roman"/>
                <w:color w:val="000000" w:themeColor="text1"/>
                <w:kern w:val="0"/>
                <w:szCs w:val="21"/>
                <w:highlight w:val="none"/>
                <w14:textFill>
                  <w14:solidFill>
                    <w14:schemeClr w14:val="tx1"/>
                  </w14:solidFill>
                </w14:textFill>
              </w:rPr>
              <w:t xml:space="preserve"> [20</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22</w:t>
            </w:r>
            <w:r>
              <w:rPr>
                <w:rFonts w:hint="eastAsia" w:ascii="宋体" w:hAnsi="宋体" w:eastAsia="宋体" w:cs="Times New Roman"/>
                <w:color w:val="000000" w:themeColor="text1"/>
                <w:kern w:val="0"/>
                <w:szCs w:val="21"/>
                <w:highlight w:val="none"/>
                <w14:textFill>
                  <w14:solidFill>
                    <w14:schemeClr w14:val="tx1"/>
                  </w14:solidFill>
                </w14:textFill>
              </w:rPr>
              <w:t>] 1</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6号）》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重庆市水利局、重庆市发展和改革委员会《关于水利工程营业税改增值税后计价依据调整的通知（渝水〔2016〕151号）》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重庆市水利局《关于重新调整水利工程计价依据中增值税税率的通知（渝水[2019]55号）》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重庆市水利局</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办公室</w:t>
            </w:r>
            <w:r>
              <w:rPr>
                <w:rFonts w:hint="eastAsia" w:ascii="宋体" w:hAnsi="宋体" w:eastAsia="宋体" w:cs="Times New Roman"/>
                <w:color w:val="000000" w:themeColor="text1"/>
                <w:kern w:val="0"/>
                <w:szCs w:val="21"/>
                <w:highlight w:val="none"/>
                <w14:textFill>
                  <w14:solidFill>
                    <w14:schemeClr w14:val="tx1"/>
                  </w14:solidFill>
                </w14:textFill>
              </w:rPr>
              <w:t>《关于调整水利工程计价依据</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安全生产费计算标准</w:t>
            </w:r>
            <w:r>
              <w:rPr>
                <w:rFonts w:hint="eastAsia" w:ascii="宋体" w:hAnsi="宋体" w:eastAsia="宋体" w:cs="Times New Roman"/>
                <w:color w:val="000000" w:themeColor="text1"/>
                <w:kern w:val="0"/>
                <w:szCs w:val="21"/>
                <w:highlight w:val="none"/>
                <w14:textFill>
                  <w14:solidFill>
                    <w14:schemeClr w14:val="tx1"/>
                  </w14:solidFill>
                </w14:textFill>
              </w:rPr>
              <w:t>的通知（渝水</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办建</w:t>
            </w:r>
            <w:r>
              <w:rPr>
                <w:rFonts w:hint="eastAsia" w:ascii="宋体" w:hAnsi="宋体" w:eastAsia="宋体" w:cs="Times New Roman"/>
                <w:color w:val="000000" w:themeColor="text1"/>
                <w:kern w:val="0"/>
                <w:szCs w:val="21"/>
                <w:highlight w:val="none"/>
                <w14:textFill>
                  <w14:solidFill>
                    <w14:schemeClr w14:val="tx1"/>
                  </w14:solidFill>
                </w14:textFill>
              </w:rPr>
              <w:t>[20</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23]8</w:t>
            </w:r>
            <w:r>
              <w:rPr>
                <w:rFonts w:hint="eastAsia" w:ascii="宋体" w:hAnsi="宋体" w:eastAsia="宋体" w:cs="Times New Roman"/>
                <w:color w:val="000000" w:themeColor="text1"/>
                <w:kern w:val="0"/>
                <w:szCs w:val="21"/>
                <w:highlight w:val="none"/>
                <w14:textFill>
                  <w14:solidFill>
                    <w14:schemeClr w14:val="tx1"/>
                  </w14:solidFill>
                </w14:textFill>
              </w:rPr>
              <w:t>号）》。</w:t>
            </w:r>
          </w:p>
          <w:p w14:paraId="60BA6AB2">
            <w:pPr>
              <w:numPr>
                <w:ilvl w:val="0"/>
                <w:numId w:val="0"/>
              </w:numPr>
              <w:spacing w:line="400" w:lineRule="exact"/>
              <w:ind w:firstLine="420" w:firstLineChars="200"/>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人工工资基价按照</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枢纽</w:t>
            </w:r>
            <w:r>
              <w:rPr>
                <w:rFonts w:hint="eastAsia" w:ascii="宋体" w:hAnsi="宋体" w:eastAsia="宋体" w:cs="Times New Roman"/>
                <w:color w:val="000000" w:themeColor="text1"/>
                <w:kern w:val="0"/>
                <w:szCs w:val="21"/>
                <w:highlight w:val="none"/>
                <w14:textFill>
                  <w14:solidFill>
                    <w14:schemeClr w14:val="tx1"/>
                  </w14:solidFill>
                </w14:textFill>
              </w:rPr>
              <w:t>工程计算</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p w14:paraId="1FB8ACDA">
            <w:pPr>
              <w:numPr>
                <w:ilvl w:val="0"/>
                <w:numId w:val="0"/>
              </w:numPr>
              <w:spacing w:line="400" w:lineRule="exact"/>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主要材料：工程区所需材料在南川区购买，运距20km内。材料原价按南川区建设委员公布2024年第二季度主要建筑材料价格信息的通知及《重庆工程造价信息（2024年第10期）》进行计算，该通知中没有的价格，按市场价计算。</w:t>
            </w:r>
          </w:p>
        </w:tc>
      </w:tr>
      <w:tr w14:paraId="0E1D7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6A792E">
            <w:pPr>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898" w:type="dxa"/>
            <w:vAlign w:val="center"/>
          </w:tcPr>
          <w:p w14:paraId="1F54D04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关于对竞争性比选文件及投标争议的解释</w:t>
            </w:r>
          </w:p>
        </w:tc>
        <w:tc>
          <w:tcPr>
            <w:tcW w:w="6483" w:type="dxa"/>
            <w:vAlign w:val="center"/>
          </w:tcPr>
          <w:p w14:paraId="4C115968">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对资格预审文件或者竞争性比选文件的评标标准和方法，以及资格审查和否决投标条款理解有争议的，应当作出不利于比选人的解释，但违背国家利益、社会公共利益的除外。</w:t>
            </w:r>
          </w:p>
          <w:p w14:paraId="0D48262C">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对投标文件理解有争议的，应当作出不利于提交该投标文件的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的解释。</w:t>
            </w:r>
          </w:p>
        </w:tc>
      </w:tr>
      <w:tr w14:paraId="3CBAC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335" w:type="dxa"/>
            <w:vAlign w:val="center"/>
          </w:tcPr>
          <w:p w14:paraId="4C09DA4B">
            <w:pPr>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128" w:name="_Toc277082552"/>
            <w:bookmarkStart w:id="129" w:name="_Toc224103317"/>
            <w:bookmarkStart w:id="130" w:name="_Toc287620685"/>
            <w:bookmarkStart w:id="131" w:name="_Toc430530435"/>
            <w:bookmarkStart w:id="132" w:name="_Toc287607746"/>
            <w:bookmarkStart w:id="133" w:name="_Toc200513126"/>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1898" w:type="dxa"/>
            <w:vAlign w:val="center"/>
          </w:tcPr>
          <w:p w14:paraId="2D6F4C65">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招标代理服务费</w:t>
            </w:r>
            <w:r>
              <w:rPr>
                <w:rFonts w:hint="eastAsia" w:ascii="宋体" w:hAnsi="宋体" w:cs="宋体"/>
                <w:color w:val="000000" w:themeColor="text1"/>
                <w:szCs w:val="21"/>
                <w:highlight w:val="none"/>
                <w:lang w:eastAsia="zh-CN"/>
                <w14:textFill>
                  <w14:solidFill>
                    <w14:schemeClr w14:val="tx1"/>
                  </w14:solidFill>
                </w14:textFill>
              </w:rPr>
              <w:t>及交易服务费</w:t>
            </w:r>
          </w:p>
        </w:tc>
        <w:tc>
          <w:tcPr>
            <w:tcW w:w="6483" w:type="dxa"/>
            <w:vAlign w:val="center"/>
          </w:tcPr>
          <w:p w14:paraId="77292C4A">
            <w:pPr>
              <w:snapToGrid w:val="0"/>
              <w:spacing w:line="360" w:lineRule="auto"/>
              <w:ind w:firstLine="428"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招标代理服务费：</w:t>
            </w:r>
            <w:r>
              <w:rPr>
                <w:rFonts w:hint="eastAsia" w:cs="Times New Roman"/>
                <w:color w:val="000000" w:themeColor="text1"/>
                <w:highlight w:val="none"/>
                <w:lang w:val="en-US" w:eastAsia="zh-CN"/>
                <w14:textFill>
                  <w14:solidFill>
                    <w14:schemeClr w14:val="tx1"/>
                  </w14:solidFill>
                </w14:textFill>
              </w:rPr>
              <w:t>5000.00元（大写：伍仟元整）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。投标人自行将该费用纳入投标报价中但不予单列。</w:t>
            </w:r>
            <w:r>
              <w:rPr>
                <w:rFonts w:hint="eastAsia" w:ascii="宋体" w:hAnsi="宋体" w:cs="宋体"/>
                <w:color w:val="000000" w:themeColor="text1"/>
                <w:kern w:val="0"/>
                <w:szCs w:val="21"/>
                <w:highlight w:val="none"/>
                <w14:textFill>
                  <w14:solidFill>
                    <w14:schemeClr w14:val="tx1"/>
                  </w14:solidFill>
                </w14:textFill>
              </w:rPr>
              <w:t>由中标单位领取中标通知书时一次性支付给代理机构，各投标单位在投标报价时应考虑此费用。</w:t>
            </w:r>
          </w:p>
          <w:p w14:paraId="353CB10A">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2、交易服务费：本项目交易服务费由中标人在中标公示期结束后，按相关规定全额缴纳</w:t>
            </w:r>
            <w:r>
              <w:rPr>
                <w:rFonts w:hint="eastAsia" w:ascii="宋体" w:hAnsi="宋体" w:cs="宋体"/>
                <w:color w:val="000000" w:themeColor="text1"/>
                <w:highlight w:val="none"/>
                <w:lang w:eastAsia="zh-CN"/>
                <w14:textFill>
                  <w14:solidFill>
                    <w14:schemeClr w14:val="tx1"/>
                  </w14:solidFill>
                </w14:textFill>
              </w:rPr>
              <w:t>。</w:t>
            </w:r>
          </w:p>
        </w:tc>
      </w:tr>
      <w:tr w14:paraId="4CDA3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35" w:type="dxa"/>
            <w:vAlign w:val="center"/>
          </w:tcPr>
          <w:p w14:paraId="75080C3D">
            <w:pPr>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10.6</w:t>
            </w:r>
          </w:p>
        </w:tc>
        <w:tc>
          <w:tcPr>
            <w:tcW w:w="1898" w:type="dxa"/>
            <w:vAlign w:val="center"/>
          </w:tcPr>
          <w:p w14:paraId="2696CD1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其他说明</w:t>
            </w:r>
          </w:p>
        </w:tc>
        <w:tc>
          <w:tcPr>
            <w:tcW w:w="6483" w:type="dxa"/>
            <w:vAlign w:val="center"/>
          </w:tcPr>
          <w:p w14:paraId="4D5C2755">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无。</w:t>
            </w:r>
          </w:p>
        </w:tc>
      </w:tr>
    </w:tbl>
    <w:p w14:paraId="03B6398A">
      <w:pPr>
        <w:pStyle w:val="4"/>
        <w:spacing w:line="20" w:lineRule="exact"/>
        <w:outlineLvl w:val="9"/>
        <w:rPr>
          <w:rFonts w:ascii="宋体" w:hAnsi="宋体" w:cs="宋体"/>
          <w:b w:val="0"/>
          <w:snapToGrid w:val="0"/>
          <w:color w:val="000000" w:themeColor="text1"/>
          <w:highlight w:val="none"/>
          <w14:textFill>
            <w14:solidFill>
              <w14:schemeClr w14:val="tx1"/>
            </w14:solidFill>
          </w14:textFill>
        </w:rPr>
      </w:pPr>
    </w:p>
    <w:p w14:paraId="425E8276">
      <w:pPr>
        <w:pStyle w:val="4"/>
        <w:spacing w:line="200" w:lineRule="exact"/>
        <w:outlineLvl w:val="9"/>
        <w:rPr>
          <w:rFonts w:ascii="宋体" w:hAnsi="宋体" w:cs="宋体"/>
          <w:b w:val="0"/>
          <w:snapToGrid w:val="0"/>
          <w:color w:val="000000" w:themeColor="text1"/>
          <w:highlight w:val="none"/>
          <w14:textFill>
            <w14:solidFill>
              <w14:schemeClr w14:val="tx1"/>
            </w14:solidFill>
          </w14:textFill>
        </w:rPr>
      </w:pPr>
      <w:r>
        <w:rPr>
          <w:rFonts w:hint="eastAsia" w:ascii="宋体" w:hAnsi="宋体" w:cs="宋体"/>
          <w:b w:val="0"/>
          <w:snapToGrid w:val="0"/>
          <w:color w:val="000000" w:themeColor="text1"/>
          <w:highlight w:val="none"/>
          <w14:textFill>
            <w14:solidFill>
              <w14:schemeClr w14:val="tx1"/>
            </w14:solidFill>
          </w14:textFill>
        </w:rPr>
        <w:br w:type="page"/>
      </w:r>
    </w:p>
    <w:bookmarkEnd w:id="128"/>
    <w:bookmarkEnd w:id="129"/>
    <w:bookmarkEnd w:id="130"/>
    <w:bookmarkEnd w:id="131"/>
    <w:bookmarkEnd w:id="132"/>
    <w:bookmarkEnd w:id="133"/>
    <w:p w14:paraId="7A2C1774">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134" w:name="_Toc24863"/>
      <w:bookmarkStart w:id="135" w:name="_Toc5135"/>
      <w:bookmarkStart w:id="136" w:name="_Toc19397"/>
      <w:bookmarkStart w:id="137" w:name="_Toc18349"/>
      <w:bookmarkStart w:id="138" w:name="_Toc24576"/>
      <w:bookmarkStart w:id="139" w:name="_Toc509218710"/>
      <w:bookmarkStart w:id="140" w:name="_Toc9382"/>
      <w:r>
        <w:rPr>
          <w:rFonts w:hint="eastAsia" w:ascii="宋体" w:hAnsi="宋体" w:cs="宋体"/>
          <w:bCs w:val="0"/>
          <w:snapToGrid w:val="0"/>
          <w:color w:val="000000" w:themeColor="text1"/>
          <w:sz w:val="21"/>
          <w:szCs w:val="21"/>
          <w:highlight w:val="none"/>
          <w14:textFill>
            <w14:solidFill>
              <w14:schemeClr w14:val="tx1"/>
            </w14:solidFill>
          </w14:textFill>
        </w:rPr>
        <w:t>1.  总则</w:t>
      </w:r>
      <w:bookmarkEnd w:id="134"/>
      <w:bookmarkEnd w:id="135"/>
      <w:bookmarkEnd w:id="136"/>
      <w:bookmarkEnd w:id="137"/>
      <w:bookmarkEnd w:id="138"/>
      <w:bookmarkEnd w:id="139"/>
      <w:bookmarkEnd w:id="140"/>
    </w:p>
    <w:p w14:paraId="5DEA897D">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41" w:name="_Toc224103318"/>
      <w:bookmarkStart w:id="142" w:name="_Toc4557"/>
      <w:bookmarkStart w:id="143" w:name="_Toc509218711"/>
      <w:bookmarkStart w:id="144" w:name="_Toc30630"/>
      <w:bookmarkStart w:id="145" w:name="_Toc287620686"/>
      <w:bookmarkStart w:id="146" w:name="_Toc200513127"/>
      <w:bookmarkStart w:id="147" w:name="_Toc430530436"/>
      <w:bookmarkStart w:id="148" w:name="_Toc277082553"/>
      <w:bookmarkStart w:id="149" w:name="_Toc2176"/>
      <w:bookmarkStart w:id="150" w:name="_Toc287607747"/>
      <w:bookmarkStart w:id="151" w:name="_Toc19377"/>
      <w:r>
        <w:rPr>
          <w:rFonts w:hint="eastAsia" w:ascii="宋体" w:hAnsi="宋体" w:cs="宋体"/>
          <w:b w:val="0"/>
          <w:snapToGrid w:val="0"/>
          <w:color w:val="000000" w:themeColor="text1"/>
          <w:sz w:val="21"/>
          <w:szCs w:val="21"/>
          <w:highlight w:val="none"/>
          <w14:textFill>
            <w14:solidFill>
              <w14:schemeClr w14:val="tx1"/>
            </w14:solidFill>
          </w14:textFill>
        </w:rPr>
        <w:t>1.1  项目概况</w:t>
      </w:r>
      <w:bookmarkEnd w:id="141"/>
      <w:bookmarkEnd w:id="142"/>
      <w:bookmarkEnd w:id="143"/>
      <w:bookmarkEnd w:id="144"/>
      <w:bookmarkEnd w:id="145"/>
      <w:bookmarkEnd w:id="146"/>
      <w:bookmarkEnd w:id="147"/>
      <w:bookmarkEnd w:id="148"/>
      <w:bookmarkEnd w:id="149"/>
      <w:bookmarkEnd w:id="150"/>
      <w:bookmarkEnd w:id="151"/>
    </w:p>
    <w:p w14:paraId="45852EBC">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根据《中华人民共和国招标投标法》等有关法律、法规和规章的规定，本招标项目已具备招标条件，现对本项目施工进行招标。</w:t>
      </w:r>
    </w:p>
    <w:p w14:paraId="18F30392">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本招标项目比选人：见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62F2CF5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本招标项目招标代理机构：见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7C6DCAC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本招标项目名称：见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69D8FE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本招标项目建设地点：见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B69FEF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本招标项目建设规模：见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FF32E78">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52" w:name="_Toc15728"/>
      <w:bookmarkStart w:id="153" w:name="_Toc23209"/>
      <w:bookmarkStart w:id="154" w:name="_Toc509218712"/>
      <w:bookmarkStart w:id="155" w:name="_Toc430530437"/>
      <w:bookmarkStart w:id="156" w:name="_Toc29899"/>
      <w:bookmarkStart w:id="157" w:name="_Toc4243"/>
      <w:bookmarkStart w:id="158" w:name="_Toc224103319"/>
      <w:bookmarkStart w:id="159" w:name="_Toc287607748"/>
      <w:bookmarkStart w:id="160" w:name="_Toc287620687"/>
      <w:bookmarkStart w:id="161" w:name="_Toc200513128"/>
      <w:bookmarkStart w:id="162" w:name="_Toc277082554"/>
      <w:r>
        <w:rPr>
          <w:rFonts w:hint="eastAsia" w:ascii="宋体" w:hAnsi="宋体" w:cs="宋体"/>
          <w:b w:val="0"/>
          <w:snapToGrid w:val="0"/>
          <w:color w:val="000000" w:themeColor="text1"/>
          <w:sz w:val="21"/>
          <w:szCs w:val="21"/>
          <w:highlight w:val="none"/>
          <w14:textFill>
            <w14:solidFill>
              <w14:schemeClr w14:val="tx1"/>
            </w14:solidFill>
          </w14:textFill>
        </w:rPr>
        <w:t>1.2  资金来源和落实情况</w:t>
      </w:r>
      <w:bookmarkEnd w:id="152"/>
      <w:bookmarkEnd w:id="153"/>
      <w:bookmarkEnd w:id="154"/>
      <w:bookmarkEnd w:id="155"/>
      <w:bookmarkEnd w:id="156"/>
      <w:bookmarkEnd w:id="157"/>
      <w:bookmarkEnd w:id="158"/>
      <w:bookmarkEnd w:id="159"/>
      <w:bookmarkEnd w:id="160"/>
      <w:bookmarkEnd w:id="161"/>
      <w:bookmarkEnd w:id="162"/>
    </w:p>
    <w:p w14:paraId="5965DFD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本招标项目的资金来源：见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EC28F3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本招标项目的出资比例：见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98BF8BB">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本招标项目的资金落实情况：见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5C487D7">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63" w:name="_Toc287620688"/>
      <w:bookmarkStart w:id="164" w:name="_Toc4415"/>
      <w:bookmarkStart w:id="165" w:name="_Toc287607749"/>
      <w:bookmarkStart w:id="166" w:name="_Toc22509"/>
      <w:bookmarkStart w:id="167" w:name="_Toc21147"/>
      <w:bookmarkStart w:id="168" w:name="_Toc31306"/>
      <w:bookmarkStart w:id="169" w:name="_Toc430530438"/>
      <w:bookmarkStart w:id="170" w:name="_Toc200513129"/>
      <w:bookmarkStart w:id="171" w:name="_Toc277082555"/>
      <w:bookmarkStart w:id="172" w:name="_Toc224103320"/>
      <w:bookmarkStart w:id="173" w:name="_Toc509218713"/>
      <w:r>
        <w:rPr>
          <w:rFonts w:hint="eastAsia" w:ascii="宋体" w:hAnsi="宋体" w:cs="宋体"/>
          <w:b w:val="0"/>
          <w:snapToGrid w:val="0"/>
          <w:color w:val="000000" w:themeColor="text1"/>
          <w:sz w:val="21"/>
          <w:szCs w:val="21"/>
          <w:highlight w:val="none"/>
          <w14:textFill>
            <w14:solidFill>
              <w14:schemeClr w14:val="tx1"/>
            </w14:solidFill>
          </w14:textFill>
        </w:rPr>
        <w:t>1.3  招标范围、计划工期和质量要求</w:t>
      </w:r>
      <w:bookmarkEnd w:id="163"/>
      <w:bookmarkEnd w:id="164"/>
      <w:bookmarkEnd w:id="165"/>
      <w:bookmarkEnd w:id="166"/>
      <w:bookmarkEnd w:id="167"/>
      <w:bookmarkEnd w:id="168"/>
      <w:bookmarkEnd w:id="169"/>
      <w:bookmarkEnd w:id="170"/>
      <w:bookmarkEnd w:id="171"/>
      <w:bookmarkEnd w:id="172"/>
      <w:bookmarkEnd w:id="173"/>
    </w:p>
    <w:p w14:paraId="678460C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招标范围：见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2577E3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计划工期：见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2082A3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质量要求：见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2A6D850">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74" w:name="_Toc287607751"/>
      <w:bookmarkStart w:id="175" w:name="_Toc7815"/>
      <w:bookmarkStart w:id="176" w:name="_Toc430530440"/>
      <w:bookmarkStart w:id="177" w:name="_Toc277082557"/>
      <w:bookmarkStart w:id="178" w:name="_Toc509218715"/>
      <w:bookmarkStart w:id="179" w:name="_Toc15880"/>
      <w:bookmarkStart w:id="180" w:name="_Toc224103322"/>
      <w:bookmarkStart w:id="181" w:name="_Toc200513131"/>
      <w:bookmarkStart w:id="182" w:name="_Toc8392"/>
      <w:bookmarkStart w:id="183" w:name="_Toc287620690"/>
      <w:bookmarkStart w:id="184" w:name="_Toc14701"/>
      <w:r>
        <w:rPr>
          <w:rFonts w:hint="eastAsia" w:ascii="宋体" w:hAnsi="宋体" w:cs="宋体"/>
          <w:b w:val="0"/>
          <w:snapToGrid w:val="0"/>
          <w:color w:val="000000" w:themeColor="text1"/>
          <w:sz w:val="21"/>
          <w:szCs w:val="21"/>
          <w:highlight w:val="none"/>
          <w14:textFill>
            <w14:solidFill>
              <w14:schemeClr w14:val="tx1"/>
            </w14:solidFill>
          </w14:textFill>
        </w:rPr>
        <w:t xml:space="preserve">1.4  </w:t>
      </w:r>
      <w:r>
        <w:rPr>
          <w:rFonts w:hint="eastAsia" w:ascii="宋体" w:hAnsi="宋体" w:cs="宋体"/>
          <w:b w:val="0"/>
          <w:snapToGrid w:val="0"/>
          <w:color w:val="000000" w:themeColor="text1"/>
          <w:sz w:val="21"/>
          <w:szCs w:val="21"/>
          <w:highlight w:val="none"/>
          <w:lang w:eastAsia="zh-CN"/>
          <w14:textFill>
            <w14:solidFill>
              <w14:schemeClr w14:val="tx1"/>
            </w14:solidFill>
          </w14:textFill>
        </w:rPr>
        <w:t>投标人</w:t>
      </w:r>
      <w:r>
        <w:rPr>
          <w:rFonts w:hint="eastAsia" w:ascii="宋体" w:hAnsi="宋体" w:cs="宋体"/>
          <w:b w:val="0"/>
          <w:snapToGrid w:val="0"/>
          <w:color w:val="000000" w:themeColor="text1"/>
          <w:sz w:val="21"/>
          <w:szCs w:val="21"/>
          <w:highlight w:val="none"/>
          <w14:textFill>
            <w14:solidFill>
              <w14:schemeClr w14:val="tx1"/>
            </w14:solidFill>
          </w14:textFill>
        </w:rPr>
        <w:t>资格要求</w:t>
      </w:r>
      <w:bookmarkEnd w:id="174"/>
      <w:bookmarkEnd w:id="175"/>
      <w:bookmarkEnd w:id="176"/>
      <w:bookmarkEnd w:id="177"/>
      <w:bookmarkEnd w:id="178"/>
      <w:bookmarkEnd w:id="179"/>
      <w:bookmarkEnd w:id="180"/>
      <w:bookmarkEnd w:id="181"/>
      <w:bookmarkEnd w:id="182"/>
      <w:bookmarkEnd w:id="183"/>
      <w:bookmarkEnd w:id="184"/>
    </w:p>
    <w:p w14:paraId="78F82C1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1.4.1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应具备承担本标段施工的资质条件、能力和信誉。</w:t>
      </w:r>
    </w:p>
    <w:p w14:paraId="63EA3EE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资质条件、营业执照及安全生产条件</w:t>
      </w:r>
      <w:r>
        <w:rPr>
          <w:rFonts w:hint="eastAsia" w:ascii="宋体" w:hAnsi="宋体" w:cs="宋体"/>
          <w:snapToGrid w:val="0"/>
          <w:color w:val="000000" w:themeColor="text1"/>
          <w:kern w:val="0"/>
          <w:szCs w:val="21"/>
          <w:highlight w:val="none"/>
          <w14:textFill>
            <w14:solidFill>
              <w14:schemeClr w14:val="tx1"/>
            </w14:solidFill>
          </w14:textFill>
        </w:rPr>
        <w:t>：见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96147DD">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（2）投标截止日投标资格情况：见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6F452EA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）其他要求：见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F29069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w:t>
      </w:r>
      <w:r>
        <w:rPr>
          <w:rFonts w:hint="eastAsia" w:ascii="宋体" w:hAnsi="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比选文件中</w:t>
      </w:r>
      <w:r>
        <w:rPr>
          <w:rFonts w:hint="eastAsia" w:ascii="宋体" w:hAnsi="宋体" w:cs="宋体"/>
          <w:snapToGrid w:val="0"/>
          <w:color w:val="000000" w:themeColor="text1"/>
          <w:kern w:val="0"/>
          <w:szCs w:val="21"/>
          <w:highlight w:val="none"/>
          <w14:textFill>
            <w14:solidFill>
              <w14:schemeClr w14:val="tx1"/>
            </w14:solidFill>
          </w14:textFill>
        </w:rPr>
        <w:t>规定接受联合体投标的，除应符合本章第1.4.1项和</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须知前附表的要求外，还应遵守以下规定：</w:t>
      </w:r>
    </w:p>
    <w:p w14:paraId="5A16258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（1）联合体各方应按竞争性比选文件提供的格式签订联合体协议书，明确联合体牵头人和各方权利义务；</w:t>
      </w:r>
    </w:p>
    <w:p w14:paraId="745ADC4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（2）联合体各方均应当具备承担招标项目的相应能力；联合体协议约定同一专业分工由两个及以上单位共同承担的，按照资质等级较低的单位确定资质等级；</w:t>
      </w:r>
    </w:p>
    <w:p w14:paraId="21FCEB2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4DF3ADD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不得存在下列情形之一：</w:t>
      </w:r>
    </w:p>
    <w:p w14:paraId="4255146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（1）与比选人存在利害关系可能影响招标公正性的法人、其他组织或者个人；</w:t>
      </w:r>
    </w:p>
    <w:p w14:paraId="59C967B9">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6A804DFC">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（3）为本标段的监理人；</w:t>
      </w:r>
    </w:p>
    <w:p w14:paraId="430E45BE">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（4）为本标段的代建人；</w:t>
      </w:r>
    </w:p>
    <w:p w14:paraId="13843CC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（5）为本标段提供招标代理服务的；</w:t>
      </w:r>
    </w:p>
    <w:p w14:paraId="4010B9A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（6）与本标段的监理人或代建人或招标代理机构同为一个法定代表人的；</w:t>
      </w:r>
    </w:p>
    <w:p w14:paraId="0739EB1F">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（7）与本标段的监理人或代建人或招标代理机构相互控股或参股的；</w:t>
      </w:r>
    </w:p>
    <w:p w14:paraId="2B36949C">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（8）与本标段的监理人或代建人或招标代理机构相互任职或工作的；</w:t>
      </w:r>
    </w:p>
    <w:p w14:paraId="1FD32469">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（9）被责令停业的；</w:t>
      </w:r>
    </w:p>
    <w:p w14:paraId="11D2301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（10）被国家、重庆市（含市或任意区县）有关行政部门处以暂停投标资格行政处罚，且在处罚期限内的；</w:t>
      </w:r>
    </w:p>
    <w:p w14:paraId="584FD2EB">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（11）财产被接管或冻结的；</w:t>
      </w:r>
    </w:p>
    <w:p w14:paraId="05AE662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单位负责人为同一人或者存在控股、管理关系的不同单位，不得在同一标段中同时投标</w:t>
      </w:r>
      <w:r>
        <w:rPr>
          <w:rFonts w:hint="eastAsia" w:ascii="宋体" w:hAnsi="宋体" w:cs="宋体"/>
          <w:snapToGrid w:val="0"/>
          <w:color w:val="000000" w:themeColor="text1"/>
          <w:kern w:val="0"/>
          <w:szCs w:val="21"/>
          <w:highlight w:val="none"/>
          <w14:textFill>
            <w14:solidFill>
              <w14:schemeClr w14:val="tx1"/>
            </w14:solidFill>
          </w14:textFill>
        </w:rPr>
        <w:t>。</w:t>
      </w:r>
    </w:p>
    <w:p w14:paraId="0C3CEF52">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85" w:name="_Toc200513132"/>
      <w:bookmarkStart w:id="186" w:name="_Toc287607752"/>
      <w:bookmarkStart w:id="187" w:name="_Toc509218716"/>
      <w:bookmarkStart w:id="188" w:name="_Toc2407"/>
      <w:bookmarkStart w:id="189" w:name="_Toc32183"/>
      <w:bookmarkStart w:id="190" w:name="_Toc16609"/>
      <w:bookmarkStart w:id="191" w:name="_Toc224103323"/>
      <w:bookmarkStart w:id="192" w:name="_Toc430530441"/>
      <w:bookmarkStart w:id="193" w:name="_Toc5358"/>
      <w:bookmarkStart w:id="194" w:name="_Toc287620691"/>
      <w:bookmarkStart w:id="195" w:name="_Toc277082558"/>
      <w:r>
        <w:rPr>
          <w:rFonts w:hint="eastAsia" w:ascii="宋体" w:hAnsi="宋体" w:cs="宋体"/>
          <w:b w:val="0"/>
          <w:snapToGrid w:val="0"/>
          <w:color w:val="000000" w:themeColor="text1"/>
          <w:sz w:val="21"/>
          <w:szCs w:val="21"/>
          <w:highlight w:val="none"/>
          <w14:textFill>
            <w14:solidFill>
              <w14:schemeClr w14:val="tx1"/>
            </w14:solidFill>
          </w14:textFill>
        </w:rPr>
        <w:t>1.5  费用承担</w:t>
      </w:r>
      <w:bookmarkEnd w:id="185"/>
      <w:bookmarkEnd w:id="186"/>
      <w:bookmarkEnd w:id="187"/>
      <w:bookmarkEnd w:id="188"/>
      <w:bookmarkEnd w:id="189"/>
      <w:bookmarkEnd w:id="190"/>
      <w:bookmarkEnd w:id="191"/>
      <w:bookmarkEnd w:id="192"/>
      <w:bookmarkEnd w:id="193"/>
      <w:bookmarkEnd w:id="194"/>
      <w:bookmarkEnd w:id="195"/>
    </w:p>
    <w:p w14:paraId="6ED1D35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准备和参加投标活动发生的费用自理。</w:t>
      </w:r>
    </w:p>
    <w:p w14:paraId="6468F23A">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196" w:name="_Toc430530442"/>
      <w:bookmarkStart w:id="197" w:name="_Toc3436"/>
      <w:bookmarkStart w:id="198" w:name="_Toc277082559"/>
      <w:bookmarkStart w:id="199" w:name="_Toc15515"/>
      <w:bookmarkStart w:id="200" w:name="_Toc287620692"/>
      <w:bookmarkStart w:id="201" w:name="_Toc200513133"/>
      <w:bookmarkStart w:id="202" w:name="_Toc287607753"/>
      <w:bookmarkStart w:id="203" w:name="_Toc26183"/>
      <w:bookmarkStart w:id="204" w:name="_Toc509218717"/>
      <w:bookmarkStart w:id="205" w:name="_Toc224103324"/>
      <w:bookmarkStart w:id="206" w:name="_Toc10779"/>
      <w:r>
        <w:rPr>
          <w:rFonts w:hint="eastAsia" w:ascii="宋体" w:hAnsi="宋体" w:cs="宋体"/>
          <w:b w:val="0"/>
          <w:snapToGrid w:val="0"/>
          <w:color w:val="000000" w:themeColor="text1"/>
          <w:sz w:val="21"/>
          <w:szCs w:val="21"/>
          <w:highlight w:val="none"/>
          <w14:textFill>
            <w14:solidFill>
              <w14:schemeClr w14:val="tx1"/>
            </w14:solidFill>
          </w14:textFill>
        </w:rPr>
        <w:t>1.6  保密</w:t>
      </w:r>
      <w:bookmarkEnd w:id="196"/>
      <w:bookmarkEnd w:id="197"/>
      <w:bookmarkEnd w:id="198"/>
      <w:bookmarkEnd w:id="199"/>
      <w:bookmarkEnd w:id="200"/>
      <w:bookmarkEnd w:id="201"/>
      <w:bookmarkEnd w:id="202"/>
      <w:bookmarkEnd w:id="203"/>
      <w:bookmarkEnd w:id="204"/>
      <w:bookmarkEnd w:id="205"/>
      <w:bookmarkEnd w:id="206"/>
    </w:p>
    <w:p w14:paraId="67BCEE4D">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参与招标投标活动的各方应对竞争性比选文件和投标文件中的商业和技术等秘密保密，违者应对由此造成的后果承担法律责任。</w:t>
      </w:r>
    </w:p>
    <w:p w14:paraId="49D96E4B">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07" w:name="_Toc509218718"/>
      <w:bookmarkStart w:id="208" w:name="_Toc19013"/>
      <w:bookmarkStart w:id="209" w:name="_Toc17690"/>
      <w:bookmarkStart w:id="210" w:name="_Toc11670"/>
      <w:bookmarkStart w:id="211" w:name="_Toc224103325"/>
      <w:bookmarkStart w:id="212" w:name="_Toc200513134"/>
      <w:bookmarkStart w:id="213" w:name="_Toc430530443"/>
      <w:bookmarkStart w:id="214" w:name="_Toc6879"/>
      <w:bookmarkStart w:id="215" w:name="_Toc277082560"/>
      <w:bookmarkStart w:id="216" w:name="_Toc287620693"/>
      <w:bookmarkStart w:id="217" w:name="_Toc287607754"/>
      <w:r>
        <w:rPr>
          <w:rFonts w:hint="eastAsia" w:ascii="宋体" w:hAnsi="宋体" w:cs="宋体"/>
          <w:b w:val="0"/>
          <w:snapToGrid w:val="0"/>
          <w:color w:val="000000" w:themeColor="text1"/>
          <w:sz w:val="21"/>
          <w:szCs w:val="21"/>
          <w:highlight w:val="none"/>
          <w14:textFill>
            <w14:solidFill>
              <w14:schemeClr w14:val="tx1"/>
            </w14:solidFill>
          </w14:textFill>
        </w:rPr>
        <w:t>1.7  语言文字</w:t>
      </w:r>
      <w:bookmarkEnd w:id="207"/>
      <w:bookmarkEnd w:id="208"/>
      <w:bookmarkEnd w:id="209"/>
      <w:bookmarkEnd w:id="210"/>
      <w:bookmarkEnd w:id="211"/>
      <w:bookmarkEnd w:id="212"/>
      <w:bookmarkEnd w:id="213"/>
      <w:bookmarkEnd w:id="214"/>
      <w:bookmarkEnd w:id="215"/>
      <w:bookmarkEnd w:id="216"/>
      <w:bookmarkEnd w:id="217"/>
    </w:p>
    <w:p w14:paraId="0F9244B0">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除专用术语外，与招标投标有关的语言均使用中文。必要时专用术语应附有中文注释。</w:t>
      </w:r>
    </w:p>
    <w:p w14:paraId="07398595">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18" w:name="_Toc12231"/>
      <w:bookmarkStart w:id="219" w:name="_Toc277082561"/>
      <w:bookmarkStart w:id="220" w:name="_Toc287620694"/>
      <w:bookmarkStart w:id="221" w:name="_Toc224103326"/>
      <w:bookmarkStart w:id="222" w:name="_Toc27802"/>
      <w:bookmarkStart w:id="223" w:name="_Toc11549"/>
      <w:bookmarkStart w:id="224" w:name="_Toc430530444"/>
      <w:bookmarkStart w:id="225" w:name="_Toc25404"/>
      <w:bookmarkStart w:id="226" w:name="_Toc287607755"/>
      <w:bookmarkStart w:id="227" w:name="_Toc200513135"/>
      <w:bookmarkStart w:id="228" w:name="_Toc509218719"/>
      <w:r>
        <w:rPr>
          <w:rFonts w:hint="eastAsia" w:ascii="宋体" w:hAnsi="宋体" w:cs="宋体"/>
          <w:b w:val="0"/>
          <w:snapToGrid w:val="0"/>
          <w:color w:val="000000" w:themeColor="text1"/>
          <w:sz w:val="21"/>
          <w:szCs w:val="21"/>
          <w:highlight w:val="none"/>
          <w14:textFill>
            <w14:solidFill>
              <w14:schemeClr w14:val="tx1"/>
            </w14:solidFill>
          </w14:textFill>
        </w:rPr>
        <w:t>1.8  计量单位</w:t>
      </w:r>
      <w:bookmarkEnd w:id="218"/>
      <w:bookmarkEnd w:id="219"/>
      <w:bookmarkEnd w:id="220"/>
      <w:bookmarkEnd w:id="221"/>
      <w:bookmarkEnd w:id="222"/>
      <w:bookmarkEnd w:id="223"/>
      <w:bookmarkEnd w:id="224"/>
      <w:bookmarkEnd w:id="225"/>
      <w:bookmarkEnd w:id="226"/>
      <w:bookmarkEnd w:id="227"/>
      <w:bookmarkEnd w:id="228"/>
    </w:p>
    <w:p w14:paraId="472BFBA8">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6B19727B">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29" w:name="_Toc430530445"/>
      <w:bookmarkStart w:id="230" w:name="_Toc287607756"/>
      <w:bookmarkStart w:id="231" w:name="_Toc200513136"/>
      <w:bookmarkStart w:id="232" w:name="_Toc15791"/>
      <w:bookmarkStart w:id="233" w:name="_Toc224103327"/>
      <w:bookmarkStart w:id="234" w:name="_Toc287620695"/>
      <w:bookmarkStart w:id="235" w:name="_Toc28993"/>
      <w:bookmarkStart w:id="236" w:name="_Toc509218720"/>
      <w:bookmarkStart w:id="237" w:name="_Toc23477"/>
      <w:bookmarkStart w:id="238" w:name="_Toc12197"/>
      <w:bookmarkStart w:id="239" w:name="_Toc277082562"/>
      <w:r>
        <w:rPr>
          <w:rFonts w:hint="eastAsia" w:ascii="宋体" w:hAnsi="宋体" w:cs="宋体"/>
          <w:b w:val="0"/>
          <w:snapToGrid w:val="0"/>
          <w:color w:val="000000" w:themeColor="text1"/>
          <w:sz w:val="21"/>
          <w:szCs w:val="21"/>
          <w:highlight w:val="none"/>
          <w14:textFill>
            <w14:solidFill>
              <w14:schemeClr w14:val="tx1"/>
            </w14:solidFill>
          </w14:textFill>
        </w:rPr>
        <w:t>1.9  踏勘现场</w:t>
      </w:r>
      <w:bookmarkEnd w:id="229"/>
      <w:bookmarkEnd w:id="230"/>
      <w:bookmarkEnd w:id="231"/>
      <w:bookmarkEnd w:id="232"/>
      <w:bookmarkEnd w:id="233"/>
      <w:bookmarkEnd w:id="234"/>
      <w:bookmarkEnd w:id="235"/>
      <w:bookmarkEnd w:id="236"/>
      <w:bookmarkEnd w:id="237"/>
      <w:bookmarkEnd w:id="238"/>
      <w:bookmarkEnd w:id="239"/>
    </w:p>
    <w:p w14:paraId="388D0F3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1.9.1  本次招标不组织踏勘现场，由投标人自行踏勘，以便投标人已充分考虑了现场和环境条件，踏勘现场所发生的费用由投标人承担。</w:t>
      </w:r>
    </w:p>
    <w:p w14:paraId="693AD4B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1.9.2  投标人踏勘现场发生的费用自理。</w:t>
      </w:r>
    </w:p>
    <w:p w14:paraId="69015162">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1.9.3  除</w:t>
      </w:r>
      <w:r>
        <w:rPr>
          <w:rFonts w:hint="eastAsia" w:ascii="宋体" w:hAnsi="宋体" w:cs="宋体"/>
          <w:snapToGrid w:val="0"/>
          <w:color w:val="000000" w:themeColor="text1"/>
          <w:kern w:val="0"/>
          <w:szCs w:val="21"/>
          <w:highlight w:val="none"/>
          <w:lang w:eastAsia="zh-CN"/>
          <w14:textFill>
            <w14:solidFill>
              <w14:schemeClr w14:val="tx1"/>
            </w14:solidFill>
          </w14:textFill>
        </w:rPr>
        <w:t>比选人</w:t>
      </w:r>
      <w:r>
        <w:rPr>
          <w:rFonts w:ascii="宋体" w:hAnsi="宋体" w:cs="宋体"/>
          <w:snapToGrid w:val="0"/>
          <w:color w:val="000000" w:themeColor="text1"/>
          <w:kern w:val="0"/>
          <w:szCs w:val="21"/>
          <w:highlight w:val="none"/>
          <w14:textFill>
            <w14:solidFill>
              <w14:schemeClr w14:val="tx1"/>
            </w14:solidFill>
          </w14:textFill>
        </w:rPr>
        <w:t>的原因外，投标人自行负责在踏勘现场中所发生的人员伤亡和财产损失。</w:t>
      </w:r>
    </w:p>
    <w:p w14:paraId="22DB160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 xml:space="preserve">1.9.4  </w:t>
      </w:r>
      <w:r>
        <w:rPr>
          <w:rFonts w:hint="eastAsia" w:ascii="宋体" w:hAnsi="宋体" w:cs="宋体"/>
          <w:snapToGrid w:val="0"/>
          <w:color w:val="000000" w:themeColor="text1"/>
          <w:kern w:val="0"/>
          <w:szCs w:val="21"/>
          <w:highlight w:val="none"/>
          <w:lang w:eastAsia="zh-CN"/>
          <w14:textFill>
            <w14:solidFill>
              <w14:schemeClr w14:val="tx1"/>
            </w14:solidFill>
          </w14:textFill>
        </w:rPr>
        <w:t>比选人</w:t>
      </w:r>
      <w:r>
        <w:rPr>
          <w:rFonts w:ascii="宋体" w:hAnsi="宋体" w:cs="宋体"/>
          <w:snapToGrid w:val="0"/>
          <w:color w:val="000000" w:themeColor="text1"/>
          <w:kern w:val="0"/>
          <w:szCs w:val="21"/>
          <w:highlight w:val="none"/>
          <w14:textFill>
            <w14:solidFill>
              <w14:schemeClr w14:val="tx1"/>
            </w14:solidFill>
          </w14:textFill>
        </w:rPr>
        <w:t>在踏勘现场中介绍的工程场地和相关的周边环境情况，供投标人在编制</w:t>
      </w:r>
      <w:r>
        <w:rPr>
          <w:rFonts w:hint="eastAsia" w:ascii="宋体" w:hAnsi="宋体" w:cs="宋体"/>
          <w:snapToGrid w:val="0"/>
          <w:color w:val="000000" w:themeColor="text1"/>
          <w:kern w:val="0"/>
          <w:szCs w:val="21"/>
          <w:highlight w:val="none"/>
          <w14:textFill>
            <w14:solidFill>
              <w14:schemeClr w14:val="tx1"/>
            </w14:solidFill>
          </w14:textFill>
        </w:rPr>
        <w:t>竞标文件</w:t>
      </w:r>
      <w:r>
        <w:rPr>
          <w:rFonts w:ascii="宋体" w:hAnsi="宋体" w:cs="宋体"/>
          <w:snapToGrid w:val="0"/>
          <w:color w:val="000000" w:themeColor="text1"/>
          <w:kern w:val="0"/>
          <w:szCs w:val="21"/>
          <w:highlight w:val="none"/>
          <w14:textFill>
            <w14:solidFill>
              <w14:schemeClr w14:val="tx1"/>
            </w14:solidFill>
          </w14:textFill>
        </w:rPr>
        <w:t>时参考，</w:t>
      </w:r>
      <w:r>
        <w:rPr>
          <w:rFonts w:hint="eastAsia" w:ascii="宋体" w:hAnsi="宋体" w:cs="宋体"/>
          <w:snapToGrid w:val="0"/>
          <w:color w:val="000000" w:themeColor="text1"/>
          <w:kern w:val="0"/>
          <w:szCs w:val="21"/>
          <w:highlight w:val="none"/>
          <w:lang w:eastAsia="zh-CN"/>
          <w14:textFill>
            <w14:solidFill>
              <w14:schemeClr w14:val="tx1"/>
            </w14:solidFill>
          </w14:textFill>
        </w:rPr>
        <w:t>比选人</w:t>
      </w:r>
      <w:r>
        <w:rPr>
          <w:rFonts w:ascii="宋体" w:hAnsi="宋体" w:cs="宋体"/>
          <w:snapToGrid w:val="0"/>
          <w:color w:val="000000" w:themeColor="text1"/>
          <w:kern w:val="0"/>
          <w:szCs w:val="21"/>
          <w:highlight w:val="none"/>
          <w14:textFill>
            <w14:solidFill>
              <w14:schemeClr w14:val="tx1"/>
            </w14:solidFill>
          </w14:textFill>
        </w:rPr>
        <w:t>不对投标人据此做出的判断和决策负责。</w:t>
      </w:r>
    </w:p>
    <w:p w14:paraId="4F9F8C9B">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40" w:name="_Toc287620697"/>
      <w:bookmarkStart w:id="241" w:name="_Toc200513138"/>
      <w:bookmarkStart w:id="242" w:name="_Toc21569"/>
      <w:bookmarkStart w:id="243" w:name="_Toc921"/>
      <w:bookmarkStart w:id="244" w:name="_Toc19748"/>
      <w:bookmarkStart w:id="245" w:name="_Toc287607758"/>
      <w:bookmarkStart w:id="246" w:name="_Toc224103329"/>
      <w:bookmarkStart w:id="247" w:name="_Toc277082564"/>
      <w:bookmarkStart w:id="248" w:name="_Toc30856"/>
      <w:bookmarkStart w:id="249" w:name="_Toc430530447"/>
      <w:bookmarkStart w:id="250" w:name="_Toc509218722"/>
      <w:r>
        <w:rPr>
          <w:rFonts w:hint="eastAsia" w:ascii="宋体" w:hAnsi="宋体" w:cs="宋体"/>
          <w:b w:val="0"/>
          <w:snapToGrid w:val="0"/>
          <w:color w:val="000000" w:themeColor="text1"/>
          <w:sz w:val="21"/>
          <w:szCs w:val="21"/>
          <w:highlight w:val="none"/>
          <w14:textFill>
            <w14:solidFill>
              <w14:schemeClr w14:val="tx1"/>
            </w14:solidFill>
          </w14:textFill>
        </w:rPr>
        <w:t>1.1</w:t>
      </w:r>
      <w:r>
        <w:rPr>
          <w:rFonts w:hint="eastAsia" w:ascii="宋体" w:hAnsi="宋体" w:cs="宋体"/>
          <w:b w:val="0"/>
          <w:snapToGrid w:val="0"/>
          <w:color w:val="000000" w:themeColor="text1"/>
          <w:sz w:val="21"/>
          <w:szCs w:val="21"/>
          <w:highlight w:val="none"/>
          <w:lang w:val="en-US" w:eastAsia="zh-CN"/>
          <w14:textFill>
            <w14:solidFill>
              <w14:schemeClr w14:val="tx1"/>
            </w14:solidFill>
          </w14:textFill>
        </w:rPr>
        <w:t>0</w:t>
      </w:r>
      <w:r>
        <w:rPr>
          <w:rFonts w:hint="eastAsia" w:ascii="宋体" w:hAnsi="宋体" w:cs="宋体"/>
          <w:b w:val="0"/>
          <w:snapToGrid w:val="0"/>
          <w:color w:val="000000" w:themeColor="text1"/>
          <w:sz w:val="21"/>
          <w:szCs w:val="21"/>
          <w:highlight w:val="none"/>
          <w14:textFill>
            <w14:solidFill>
              <w14:schemeClr w14:val="tx1"/>
            </w14:solidFill>
          </w14:textFill>
        </w:rPr>
        <w:t xml:space="preserve">  分包</w:t>
      </w:r>
      <w:bookmarkEnd w:id="240"/>
      <w:bookmarkEnd w:id="241"/>
      <w:bookmarkEnd w:id="242"/>
      <w:bookmarkEnd w:id="243"/>
      <w:bookmarkEnd w:id="244"/>
      <w:bookmarkEnd w:id="245"/>
      <w:bookmarkEnd w:id="246"/>
      <w:bookmarkEnd w:id="247"/>
      <w:bookmarkEnd w:id="248"/>
      <w:bookmarkEnd w:id="249"/>
      <w:bookmarkEnd w:id="250"/>
    </w:p>
    <w:p w14:paraId="44730C8B">
      <w:pPr>
        <w:autoSpaceDE w:val="0"/>
        <w:autoSpaceDN w:val="0"/>
        <w:adjustRightInd w:val="0"/>
        <w:snapToGrid w:val="0"/>
        <w:spacing w:line="360" w:lineRule="auto"/>
        <w:ind w:firstLine="426"/>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本项目不接受分包。</w:t>
      </w:r>
    </w:p>
    <w:p w14:paraId="2A1B0365">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51" w:name="_Toc27826"/>
      <w:bookmarkStart w:id="252" w:name="_Toc287620698"/>
      <w:bookmarkStart w:id="253" w:name="_Toc224103330"/>
      <w:bookmarkStart w:id="254" w:name="_Toc277082565"/>
      <w:bookmarkStart w:id="255" w:name="_Toc509218723"/>
      <w:bookmarkStart w:id="256" w:name="_Toc1975"/>
      <w:bookmarkStart w:id="257" w:name="_Toc22910"/>
      <w:bookmarkStart w:id="258" w:name="_Toc200513139"/>
      <w:bookmarkStart w:id="259" w:name="_Toc16657"/>
      <w:bookmarkStart w:id="260" w:name="_Toc430530448"/>
      <w:bookmarkStart w:id="261" w:name="_Toc287607759"/>
      <w:r>
        <w:rPr>
          <w:rFonts w:hint="eastAsia" w:ascii="宋体" w:hAnsi="宋体" w:cs="宋体"/>
          <w:b w:val="0"/>
          <w:snapToGrid w:val="0"/>
          <w:color w:val="000000" w:themeColor="text1"/>
          <w:sz w:val="21"/>
          <w:szCs w:val="21"/>
          <w:highlight w:val="none"/>
          <w14:textFill>
            <w14:solidFill>
              <w14:schemeClr w14:val="tx1"/>
            </w14:solidFill>
          </w14:textFill>
        </w:rPr>
        <w:t>1.1</w:t>
      </w:r>
      <w:r>
        <w:rPr>
          <w:rFonts w:hint="eastAsia" w:ascii="宋体" w:hAnsi="宋体" w:cs="宋体"/>
          <w:b w:val="0"/>
          <w:snapToGrid w:val="0"/>
          <w:color w:val="000000" w:themeColor="text1"/>
          <w:sz w:val="21"/>
          <w:szCs w:val="21"/>
          <w:highlight w:val="none"/>
          <w:lang w:val="en-US" w:eastAsia="zh-CN"/>
          <w14:textFill>
            <w14:solidFill>
              <w14:schemeClr w14:val="tx1"/>
            </w14:solidFill>
          </w14:textFill>
        </w:rPr>
        <w:t>1</w:t>
      </w:r>
      <w:r>
        <w:rPr>
          <w:rFonts w:hint="eastAsia" w:ascii="宋体" w:hAnsi="宋体" w:cs="宋体"/>
          <w:b w:val="0"/>
          <w:snapToGrid w:val="0"/>
          <w:color w:val="000000" w:themeColor="text1"/>
          <w:sz w:val="21"/>
          <w:szCs w:val="21"/>
          <w:highlight w:val="none"/>
          <w14:textFill>
            <w14:solidFill>
              <w14:schemeClr w14:val="tx1"/>
            </w14:solidFill>
          </w14:textFill>
        </w:rPr>
        <w:t xml:space="preserve">  偏离</w:t>
      </w:r>
      <w:bookmarkEnd w:id="251"/>
      <w:bookmarkEnd w:id="252"/>
      <w:bookmarkEnd w:id="253"/>
      <w:bookmarkEnd w:id="254"/>
      <w:bookmarkEnd w:id="255"/>
      <w:bookmarkEnd w:id="256"/>
      <w:bookmarkEnd w:id="257"/>
      <w:bookmarkEnd w:id="258"/>
      <w:bookmarkEnd w:id="259"/>
      <w:bookmarkEnd w:id="260"/>
      <w:bookmarkEnd w:id="261"/>
    </w:p>
    <w:p w14:paraId="2F9013A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须知前附表允许投标文件偏离竞争性比选文件某些要求的，偏离应当符合竞争性比选文件规定的偏离范围和幅度。</w:t>
      </w:r>
    </w:p>
    <w:p w14:paraId="43D00557">
      <w:pPr>
        <w:pStyle w:val="4"/>
        <w:keepNext w:val="0"/>
        <w:keepLines w:val="0"/>
        <w:adjustRightInd w:val="0"/>
        <w:snapToGrid w:val="0"/>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262" w:name="_Toc430530449"/>
      <w:bookmarkStart w:id="263" w:name="_Toc200513140"/>
      <w:bookmarkStart w:id="264" w:name="_Toc29756"/>
      <w:bookmarkStart w:id="265" w:name="_Toc224103331"/>
      <w:bookmarkStart w:id="266" w:name="_Toc287620699"/>
      <w:bookmarkStart w:id="267" w:name="_Toc509218724"/>
      <w:bookmarkStart w:id="268" w:name="_Toc277082566"/>
      <w:bookmarkStart w:id="269" w:name="_Toc287607760"/>
      <w:bookmarkStart w:id="270" w:name="_Toc13212"/>
      <w:bookmarkStart w:id="271" w:name="_Toc13726"/>
      <w:bookmarkStart w:id="272" w:name="_Toc13152"/>
      <w:bookmarkStart w:id="273" w:name="_Toc3928"/>
      <w:bookmarkStart w:id="274" w:name="_Toc16222"/>
      <w:r>
        <w:rPr>
          <w:rFonts w:hint="eastAsia" w:ascii="宋体" w:hAnsi="宋体" w:cs="宋体"/>
          <w:bCs w:val="0"/>
          <w:snapToGrid w:val="0"/>
          <w:color w:val="000000" w:themeColor="text1"/>
          <w:sz w:val="21"/>
          <w:szCs w:val="21"/>
          <w:highlight w:val="none"/>
          <w14:textFill>
            <w14:solidFill>
              <w14:schemeClr w14:val="tx1"/>
            </w14:solidFill>
          </w14:textFill>
        </w:rPr>
        <w:t xml:space="preserve">2.  </w:t>
      </w:r>
      <w:bookmarkEnd w:id="262"/>
      <w:bookmarkEnd w:id="263"/>
      <w:bookmarkEnd w:id="264"/>
      <w:bookmarkEnd w:id="265"/>
      <w:bookmarkEnd w:id="266"/>
      <w:bookmarkEnd w:id="267"/>
      <w:bookmarkEnd w:id="268"/>
      <w:bookmarkEnd w:id="269"/>
      <w:r>
        <w:rPr>
          <w:rFonts w:hint="eastAsia" w:ascii="宋体" w:hAnsi="宋体" w:cs="宋体"/>
          <w:bCs w:val="0"/>
          <w:snapToGrid w:val="0"/>
          <w:color w:val="000000" w:themeColor="text1"/>
          <w:sz w:val="21"/>
          <w:szCs w:val="21"/>
          <w:highlight w:val="none"/>
          <w14:textFill>
            <w14:solidFill>
              <w14:schemeClr w14:val="tx1"/>
            </w14:solidFill>
          </w14:textFill>
        </w:rPr>
        <w:t>竞争性比选文件</w:t>
      </w:r>
      <w:bookmarkEnd w:id="270"/>
      <w:bookmarkEnd w:id="271"/>
      <w:bookmarkEnd w:id="272"/>
      <w:bookmarkEnd w:id="273"/>
      <w:bookmarkEnd w:id="274"/>
    </w:p>
    <w:p w14:paraId="5AB5835C">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75" w:name="_Toc200513141"/>
      <w:bookmarkStart w:id="276" w:name="_Toc6379"/>
      <w:bookmarkStart w:id="277" w:name="_Toc287607761"/>
      <w:bookmarkStart w:id="278" w:name="_Toc509218725"/>
      <w:bookmarkStart w:id="279" w:name="_Toc224103332"/>
      <w:bookmarkStart w:id="280" w:name="_Toc26255"/>
      <w:bookmarkStart w:id="281" w:name="_Toc287620700"/>
      <w:bookmarkStart w:id="282" w:name="_Toc277082567"/>
      <w:bookmarkStart w:id="283" w:name="_Toc430530450"/>
      <w:bookmarkStart w:id="284" w:name="_Toc13947"/>
      <w:bookmarkStart w:id="285" w:name="_Toc17076"/>
      <w:r>
        <w:rPr>
          <w:rFonts w:hint="eastAsia" w:ascii="宋体" w:hAnsi="宋体" w:cs="宋体"/>
          <w:b w:val="0"/>
          <w:snapToGrid w:val="0"/>
          <w:color w:val="000000" w:themeColor="text1"/>
          <w:sz w:val="21"/>
          <w:szCs w:val="21"/>
          <w:highlight w:val="none"/>
          <w14:textFill>
            <w14:solidFill>
              <w14:schemeClr w14:val="tx1"/>
            </w14:solidFill>
          </w14:textFill>
        </w:rPr>
        <w:t>2.1  竞争性比选文件的组成</w:t>
      </w:r>
      <w:bookmarkEnd w:id="275"/>
      <w:bookmarkEnd w:id="276"/>
      <w:bookmarkEnd w:id="277"/>
      <w:bookmarkEnd w:id="278"/>
      <w:bookmarkEnd w:id="279"/>
      <w:bookmarkEnd w:id="280"/>
      <w:bookmarkEnd w:id="281"/>
      <w:bookmarkEnd w:id="282"/>
      <w:bookmarkEnd w:id="283"/>
      <w:bookmarkEnd w:id="284"/>
      <w:bookmarkEnd w:id="285"/>
    </w:p>
    <w:p w14:paraId="4ECDD534">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本竞争性比选文件包括：</w:t>
      </w:r>
    </w:p>
    <w:p w14:paraId="414841B5">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（1）竞争性比选公告；</w:t>
      </w:r>
    </w:p>
    <w:p w14:paraId="32AE3DB3">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w:t>
      </w:r>
    </w:p>
    <w:p w14:paraId="18D308F0">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（3）评标办法；</w:t>
      </w:r>
    </w:p>
    <w:p w14:paraId="55822A17">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67ECB1E6">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（5）工程量清单；</w:t>
      </w:r>
    </w:p>
    <w:p w14:paraId="6D8D7795">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（6）技术标准和要求；</w:t>
      </w:r>
    </w:p>
    <w:p w14:paraId="4C75BDF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（7）投标文件格式；</w:t>
      </w:r>
    </w:p>
    <w:p w14:paraId="546C489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须知前附表规定的其他材料。</w:t>
      </w:r>
    </w:p>
    <w:p w14:paraId="69BBCEA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根据竞争性比选文件所作的澄清、修改，构成竞争性比选文件的组成部分。</w:t>
      </w:r>
    </w:p>
    <w:p w14:paraId="2E0E64E9">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86" w:name="_Toc509218726"/>
      <w:bookmarkStart w:id="287" w:name="_Toc14935"/>
      <w:bookmarkStart w:id="288" w:name="_Toc7544"/>
      <w:bookmarkStart w:id="289" w:name="_Toc17113"/>
      <w:bookmarkStart w:id="290" w:name="_Toc430530451"/>
      <w:bookmarkStart w:id="291" w:name="_Toc20464"/>
      <w:r>
        <w:rPr>
          <w:rFonts w:hint="eastAsia" w:ascii="宋体" w:hAnsi="宋体" w:cs="宋体"/>
          <w:b w:val="0"/>
          <w:snapToGrid w:val="0"/>
          <w:color w:val="000000" w:themeColor="text1"/>
          <w:sz w:val="21"/>
          <w:szCs w:val="21"/>
          <w:highlight w:val="none"/>
          <w14:textFill>
            <w14:solidFill>
              <w14:schemeClr w14:val="tx1"/>
            </w14:solidFill>
          </w14:textFill>
        </w:rPr>
        <w:t>2.2  竞争性比选文件的澄清</w:t>
      </w:r>
      <w:bookmarkEnd w:id="286"/>
      <w:bookmarkEnd w:id="287"/>
      <w:bookmarkEnd w:id="288"/>
      <w:bookmarkEnd w:id="289"/>
      <w:bookmarkEnd w:id="290"/>
      <w:bookmarkEnd w:id="291"/>
    </w:p>
    <w:p w14:paraId="42F4E127">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应仔细阅读和检查竞争性比选文件的全部内容。如发现缺页或附件不全，应及时向比选人提出，以便补齐。如有疑问，应在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须知前附表规定的时间前，要求比选人对竞争性比选文件予以澄清。</w:t>
      </w:r>
    </w:p>
    <w:p w14:paraId="1F99C1D7">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2.2.2  竞争性比选文件的澄清将在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须知前附表规定的时间前</w:t>
      </w:r>
      <w:r>
        <w:rPr>
          <w:rFonts w:hint="eastAsia" w:ascii="宋体" w:hAnsi="宋体" w:cs="宋体"/>
          <w:color w:val="000000" w:themeColor="text1"/>
          <w:kern w:val="0"/>
          <w:szCs w:val="21"/>
          <w:highlight w:val="none"/>
          <w14:textFill>
            <w14:solidFill>
              <w14:schemeClr w14:val="tx1"/>
            </w14:solidFill>
          </w14:textFill>
        </w:rPr>
        <w:t>在相应法定网站发布，</w:t>
      </w:r>
      <w:r>
        <w:rPr>
          <w:rFonts w:hint="eastAsia" w:ascii="宋体" w:hAnsi="宋体" w:cs="宋体"/>
          <w:snapToGrid w:val="0"/>
          <w:color w:val="000000" w:themeColor="text1"/>
          <w:kern w:val="0"/>
          <w:szCs w:val="21"/>
          <w:highlight w:val="none"/>
          <w14:textFill>
            <w14:solidFill>
              <w14:schemeClr w14:val="tx1"/>
            </w14:solidFill>
          </w14:textFill>
        </w:rPr>
        <w:t>但不指明澄清问题的来源。</w:t>
      </w:r>
    </w:p>
    <w:p w14:paraId="2975982D">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2.2.3  </w:t>
      </w:r>
      <w:r>
        <w:rPr>
          <w:rFonts w:hint="eastAsia" w:ascii="宋体" w:hAnsi="宋体" w:cs="宋体"/>
          <w:color w:val="000000" w:themeColor="text1"/>
          <w:kern w:val="0"/>
          <w:szCs w:val="21"/>
          <w:highlight w:val="none"/>
          <w14:textFill>
            <w14:solidFill>
              <w14:schemeClr w14:val="tx1"/>
            </w14:solidFill>
          </w14:textFill>
        </w:rPr>
        <w:t>比选人对竞争性比选文件的</w:t>
      </w: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修改内容可能影响投标文件编制的，须相应延后投标截止时间。</w:t>
      </w:r>
    </w:p>
    <w:p w14:paraId="6828BE4D">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292" w:name="_Toc23213"/>
      <w:bookmarkStart w:id="293" w:name="_Toc287620702"/>
      <w:bookmarkStart w:id="294" w:name="_Toc2440"/>
      <w:bookmarkStart w:id="295" w:name="_Toc200513143"/>
      <w:bookmarkStart w:id="296" w:name="_Toc287607763"/>
      <w:bookmarkStart w:id="297" w:name="_Toc224103334"/>
      <w:bookmarkStart w:id="298" w:name="_Toc277082569"/>
      <w:bookmarkStart w:id="299" w:name="_Toc10468"/>
      <w:bookmarkStart w:id="300" w:name="_Toc19289"/>
      <w:bookmarkStart w:id="301" w:name="_Toc509218727"/>
      <w:bookmarkStart w:id="302" w:name="_Toc430530452"/>
      <w:r>
        <w:rPr>
          <w:rFonts w:hint="eastAsia" w:ascii="宋体" w:hAnsi="宋体" w:cs="宋体"/>
          <w:b w:val="0"/>
          <w:snapToGrid w:val="0"/>
          <w:color w:val="000000" w:themeColor="text1"/>
          <w:sz w:val="21"/>
          <w:szCs w:val="21"/>
          <w:highlight w:val="none"/>
          <w14:textFill>
            <w14:solidFill>
              <w14:schemeClr w14:val="tx1"/>
            </w14:solidFill>
          </w14:textFill>
        </w:rPr>
        <w:t>2.3  竞争性比选文件的修改</w:t>
      </w:r>
      <w:bookmarkEnd w:id="292"/>
      <w:bookmarkEnd w:id="293"/>
      <w:bookmarkEnd w:id="294"/>
      <w:bookmarkEnd w:id="295"/>
      <w:bookmarkEnd w:id="296"/>
      <w:bookmarkEnd w:id="297"/>
      <w:bookmarkEnd w:id="298"/>
      <w:bookmarkEnd w:id="299"/>
      <w:bookmarkEnd w:id="300"/>
      <w:bookmarkEnd w:id="301"/>
      <w:bookmarkEnd w:id="302"/>
    </w:p>
    <w:p w14:paraId="614DC3A0">
      <w:pPr>
        <w:autoSpaceDE w:val="0"/>
        <w:autoSpaceDN w:val="0"/>
        <w:adjustRightInd w:val="0"/>
        <w:snapToGrid w:val="0"/>
        <w:spacing w:line="360" w:lineRule="auto"/>
        <w:ind w:firstLine="420"/>
        <w:rPr>
          <w:rFonts w:ascii="宋体" w:hAnsi="宋体" w:cs="宋体"/>
          <w:snapToGrid w:val="0"/>
          <w:color w:val="000000" w:themeColor="text1"/>
          <w:szCs w:val="21"/>
          <w:highlight w:val="none"/>
          <w14:textFill>
            <w14:solidFill>
              <w14:schemeClr w14:val="tx1"/>
            </w14:solidFill>
          </w14:textFill>
        </w:rPr>
      </w:pPr>
      <w:bookmarkStart w:id="303" w:name="_Toc287607764"/>
      <w:bookmarkStart w:id="304" w:name="_Toc224103335"/>
      <w:bookmarkStart w:id="305" w:name="_Toc200513144"/>
      <w:bookmarkStart w:id="306" w:name="_Toc287620703"/>
      <w:bookmarkStart w:id="307" w:name="_Toc277082570"/>
      <w:r>
        <w:rPr>
          <w:rFonts w:hint="eastAsia" w:ascii="宋体" w:hAnsi="宋体" w:cs="宋体"/>
          <w:snapToGrid w:val="0"/>
          <w:color w:val="000000" w:themeColor="text1"/>
          <w:szCs w:val="21"/>
          <w:highlight w:val="none"/>
          <w14:textFill>
            <w14:solidFill>
              <w14:schemeClr w14:val="tx1"/>
            </w14:solidFill>
          </w14:textFill>
        </w:rPr>
        <w:t>按照本章第2.2款竞争性比选文件的澄清相关内容及方式执行。</w:t>
      </w:r>
    </w:p>
    <w:p w14:paraId="7D6F7E81">
      <w:pPr>
        <w:pStyle w:val="4"/>
        <w:keepNext w:val="0"/>
        <w:keepLines w:val="0"/>
        <w:adjustRightInd w:val="0"/>
        <w:snapToGrid w:val="0"/>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308" w:name="_Toc27091"/>
      <w:bookmarkStart w:id="309" w:name="_Toc28534"/>
      <w:bookmarkStart w:id="310" w:name="_Toc430530453"/>
      <w:bookmarkStart w:id="311" w:name="_Toc2182"/>
      <w:bookmarkStart w:id="312" w:name="_Toc509218728"/>
      <w:bookmarkStart w:id="313" w:name="_Toc29757"/>
      <w:bookmarkStart w:id="314" w:name="_Toc14024"/>
      <w:bookmarkStart w:id="315" w:name="_Toc18578"/>
      <w:r>
        <w:rPr>
          <w:rFonts w:hint="eastAsia" w:ascii="宋体" w:hAnsi="宋体" w:cs="宋体"/>
          <w:bCs w:val="0"/>
          <w:snapToGrid w:val="0"/>
          <w:color w:val="000000" w:themeColor="text1"/>
          <w:sz w:val="21"/>
          <w:szCs w:val="21"/>
          <w:highlight w:val="none"/>
          <w14:textFill>
            <w14:solidFill>
              <w14:schemeClr w14:val="tx1"/>
            </w14:solidFill>
          </w14:textFill>
        </w:rPr>
        <w:t>3.  投标文件</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2E0BE4E6">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316" w:name="_Toc4306"/>
      <w:bookmarkStart w:id="317" w:name="_Toc28937"/>
      <w:bookmarkStart w:id="318" w:name="_Toc430530454"/>
      <w:bookmarkStart w:id="319" w:name="_Toc224103336"/>
      <w:bookmarkStart w:id="320" w:name="_Toc277082571"/>
      <w:bookmarkStart w:id="321" w:name="_Toc287620704"/>
      <w:bookmarkStart w:id="322" w:name="_Toc200513145"/>
      <w:bookmarkStart w:id="323" w:name="_Toc287607765"/>
      <w:bookmarkStart w:id="324" w:name="_Toc3950"/>
      <w:bookmarkStart w:id="325" w:name="_Toc509218729"/>
      <w:bookmarkStart w:id="326" w:name="_Toc31411"/>
      <w:r>
        <w:rPr>
          <w:rFonts w:hint="eastAsia" w:ascii="宋体" w:hAnsi="宋体" w:cs="宋体"/>
          <w:b w:val="0"/>
          <w:snapToGrid w:val="0"/>
          <w:color w:val="000000" w:themeColor="text1"/>
          <w:sz w:val="21"/>
          <w:szCs w:val="21"/>
          <w:highlight w:val="none"/>
          <w14:textFill>
            <w14:solidFill>
              <w14:schemeClr w14:val="tx1"/>
            </w14:solidFill>
          </w14:textFill>
        </w:rPr>
        <w:t>3.1  投标文件的组成</w:t>
      </w:r>
      <w:bookmarkEnd w:id="316"/>
      <w:bookmarkEnd w:id="317"/>
      <w:bookmarkEnd w:id="318"/>
      <w:bookmarkEnd w:id="319"/>
      <w:bookmarkEnd w:id="320"/>
      <w:bookmarkEnd w:id="321"/>
      <w:bookmarkEnd w:id="322"/>
      <w:bookmarkEnd w:id="323"/>
      <w:bookmarkEnd w:id="324"/>
      <w:bookmarkEnd w:id="325"/>
      <w:bookmarkEnd w:id="326"/>
    </w:p>
    <w:p w14:paraId="1B9828B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投标文件应包括下列内容：</w:t>
      </w:r>
    </w:p>
    <w:p w14:paraId="6BA544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（1）投标函部分</w:t>
      </w:r>
    </w:p>
    <w:p w14:paraId="700A51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（2）经济部分</w:t>
      </w:r>
    </w:p>
    <w:p w14:paraId="661B83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（3）资格审查部分</w:t>
      </w:r>
    </w:p>
    <w:p w14:paraId="1ECE97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（4）技术部分</w:t>
      </w:r>
    </w:p>
    <w:p w14:paraId="064FDD23">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327" w:name="_Toc224103337"/>
      <w:bookmarkStart w:id="328" w:name="_Toc287620705"/>
      <w:bookmarkStart w:id="329" w:name="_Toc277082572"/>
      <w:bookmarkStart w:id="330" w:name="_Toc17787"/>
      <w:bookmarkStart w:id="331" w:name="_Toc32431"/>
      <w:bookmarkStart w:id="332" w:name="_Toc287607766"/>
      <w:bookmarkStart w:id="333" w:name="_Toc2540"/>
      <w:bookmarkStart w:id="334" w:name="_Toc200513146"/>
      <w:bookmarkStart w:id="335" w:name="_Toc430530455"/>
      <w:bookmarkStart w:id="336" w:name="_Toc509218730"/>
      <w:bookmarkStart w:id="337" w:name="_Toc6655"/>
      <w:r>
        <w:rPr>
          <w:rFonts w:hint="eastAsia" w:ascii="宋体" w:hAnsi="宋体" w:cs="宋体"/>
          <w:b w:val="0"/>
          <w:snapToGrid w:val="0"/>
          <w:color w:val="000000" w:themeColor="text1"/>
          <w:sz w:val="21"/>
          <w:szCs w:val="21"/>
          <w:highlight w:val="none"/>
          <w14:textFill>
            <w14:solidFill>
              <w14:schemeClr w14:val="tx1"/>
            </w14:solidFill>
          </w14:textFill>
        </w:rPr>
        <w:t>3.2  投标报价</w:t>
      </w:r>
      <w:bookmarkEnd w:id="327"/>
      <w:bookmarkEnd w:id="328"/>
      <w:bookmarkEnd w:id="329"/>
      <w:bookmarkEnd w:id="330"/>
      <w:bookmarkEnd w:id="331"/>
      <w:bookmarkEnd w:id="332"/>
      <w:bookmarkEnd w:id="333"/>
      <w:bookmarkEnd w:id="334"/>
      <w:bookmarkEnd w:id="335"/>
      <w:bookmarkEnd w:id="336"/>
      <w:bookmarkEnd w:id="337"/>
    </w:p>
    <w:p w14:paraId="4E2E878F">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应按第五章“工程量清单”的要求填写相应表格。</w:t>
      </w:r>
    </w:p>
    <w:p w14:paraId="0A3A6CC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在投标截止时间前修改投标函中的投标总报价，应同时修改第五章“工程量清单”中的相应报价。此修改须符合本章第 4.3 款的有关要求。</w:t>
      </w:r>
    </w:p>
    <w:p w14:paraId="62FC9F20">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338" w:name="_Toc287607767"/>
      <w:bookmarkStart w:id="339" w:name="_Toc430530456"/>
      <w:bookmarkStart w:id="340" w:name="_Toc10995"/>
      <w:bookmarkStart w:id="341" w:name="_Toc200513147"/>
      <w:bookmarkStart w:id="342" w:name="_Toc509218731"/>
      <w:bookmarkStart w:id="343" w:name="_Toc277082573"/>
      <w:bookmarkStart w:id="344" w:name="_Toc224103338"/>
      <w:bookmarkStart w:id="345" w:name="_Toc287620706"/>
      <w:bookmarkStart w:id="346" w:name="_Toc14896"/>
      <w:bookmarkStart w:id="347" w:name="_Toc8936"/>
      <w:bookmarkStart w:id="348" w:name="_Toc13221"/>
      <w:r>
        <w:rPr>
          <w:rFonts w:hint="eastAsia" w:ascii="宋体" w:hAnsi="宋体" w:cs="宋体"/>
          <w:b w:val="0"/>
          <w:snapToGrid w:val="0"/>
          <w:color w:val="000000" w:themeColor="text1"/>
          <w:sz w:val="21"/>
          <w:szCs w:val="21"/>
          <w:highlight w:val="none"/>
          <w14:textFill>
            <w14:solidFill>
              <w14:schemeClr w14:val="tx1"/>
            </w14:solidFill>
          </w14:textFill>
        </w:rPr>
        <w:t>3.3  投标有效期</w:t>
      </w:r>
      <w:bookmarkEnd w:id="338"/>
      <w:bookmarkEnd w:id="339"/>
      <w:bookmarkEnd w:id="340"/>
      <w:bookmarkEnd w:id="341"/>
      <w:bookmarkEnd w:id="342"/>
      <w:bookmarkEnd w:id="343"/>
      <w:bookmarkEnd w:id="344"/>
      <w:bookmarkEnd w:id="345"/>
      <w:bookmarkEnd w:id="346"/>
      <w:bookmarkEnd w:id="347"/>
      <w:bookmarkEnd w:id="348"/>
    </w:p>
    <w:p w14:paraId="00E5505E">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须知前附表规定的投标有效期内，</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不得要求撤销或修改其投标文件。</w:t>
      </w:r>
    </w:p>
    <w:p w14:paraId="190AC89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出现特殊情况需要延长投标有效期的，比选人以书面形式通知所有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延长投标有效期。</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同意延长的，应相应延长其投标保函的有效期，但不得要求或被允许修改或撤销其投标文件；</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有权收回其投标保函。（适用于</w:t>
      </w:r>
      <w:r>
        <w:rPr>
          <w:rFonts w:hint="eastAsia" w:ascii="宋体" w:hAnsi="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cs="宋体"/>
          <w:snapToGrid w:val="0"/>
          <w:color w:val="000000" w:themeColor="text1"/>
          <w:kern w:val="0"/>
          <w:szCs w:val="21"/>
          <w:highlight w:val="none"/>
          <w14:textFill>
            <w14:solidFill>
              <w14:schemeClr w14:val="tx1"/>
            </w14:solidFill>
          </w14:textFill>
        </w:rPr>
        <w:t>保证金采用投标保函形式的）</w:t>
      </w:r>
    </w:p>
    <w:p w14:paraId="26178E12">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出现特殊情况需要延长投标有效期的，比选人以书面形式通知所有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延长投标有效期。</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同意延长的，应相应延长其</w:t>
      </w:r>
      <w:r>
        <w:rPr>
          <w:rFonts w:hint="eastAsia" w:ascii="宋体" w:hAnsi="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cs="宋体"/>
          <w:snapToGrid w:val="0"/>
          <w:color w:val="000000" w:themeColor="text1"/>
          <w:kern w:val="0"/>
          <w:szCs w:val="21"/>
          <w:highlight w:val="none"/>
          <w14:textFill>
            <w14:solidFill>
              <w14:schemeClr w14:val="tx1"/>
            </w14:solidFill>
          </w14:textFill>
        </w:rPr>
        <w:t>保证金的有效期，但不得要求或被允许修改或撤销其投标文件；</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有权收回其</w:t>
      </w:r>
      <w:r>
        <w:rPr>
          <w:rFonts w:hint="eastAsia" w:ascii="宋体" w:hAnsi="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cs="宋体"/>
          <w:snapToGrid w:val="0"/>
          <w:color w:val="000000" w:themeColor="text1"/>
          <w:kern w:val="0"/>
          <w:szCs w:val="21"/>
          <w:highlight w:val="none"/>
          <w14:textFill>
            <w14:solidFill>
              <w14:schemeClr w14:val="tx1"/>
            </w14:solidFill>
          </w14:textFill>
        </w:rPr>
        <w:t>保证金。（适用于</w:t>
      </w:r>
      <w:r>
        <w:rPr>
          <w:rFonts w:hint="eastAsia" w:ascii="宋体" w:hAnsi="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cs="宋体"/>
          <w:snapToGrid w:val="0"/>
          <w:color w:val="000000" w:themeColor="text1"/>
          <w:kern w:val="0"/>
          <w:szCs w:val="21"/>
          <w:highlight w:val="none"/>
          <w14:textFill>
            <w14:solidFill>
              <w14:schemeClr w14:val="tx1"/>
            </w14:solidFill>
          </w14:textFill>
        </w:rPr>
        <w:t>保证金采用银行转账形式的）</w:t>
      </w:r>
    </w:p>
    <w:p w14:paraId="038A57F8">
      <w:pPr>
        <w:pStyle w:val="5"/>
        <w:snapToGrid w:val="0"/>
        <w:spacing w:line="360" w:lineRule="auto"/>
        <w:rPr>
          <w:rFonts w:hint="eastAsia" w:ascii="宋体" w:hAnsi="宋体" w:cs="宋体"/>
          <w:b w:val="0"/>
          <w:snapToGrid w:val="0"/>
          <w:color w:val="000000" w:themeColor="text1"/>
          <w:sz w:val="21"/>
          <w:szCs w:val="21"/>
          <w:highlight w:val="none"/>
          <w14:textFill>
            <w14:solidFill>
              <w14:schemeClr w14:val="tx1"/>
            </w14:solidFill>
          </w14:textFill>
        </w:rPr>
      </w:pPr>
      <w:bookmarkStart w:id="349" w:name="_Toc509218732"/>
      <w:bookmarkStart w:id="350" w:name="_Toc4445"/>
      <w:bookmarkStart w:id="351" w:name="_Toc277082574"/>
      <w:bookmarkStart w:id="352" w:name="_Toc224103339"/>
      <w:bookmarkStart w:id="353" w:name="_Toc287620707"/>
      <w:bookmarkStart w:id="354" w:name="_Toc287607768"/>
      <w:bookmarkStart w:id="355" w:name="_Toc430530457"/>
      <w:bookmarkStart w:id="356" w:name="_Toc200513148"/>
      <w:bookmarkStart w:id="357" w:name="_Toc30533"/>
      <w:bookmarkStart w:id="358" w:name="_Toc11332"/>
      <w:bookmarkStart w:id="359" w:name="_Toc19772"/>
      <w:r>
        <w:rPr>
          <w:rFonts w:hint="eastAsia" w:ascii="宋体" w:hAnsi="宋体" w:cs="宋体"/>
          <w:b w:val="0"/>
          <w:snapToGrid w:val="0"/>
          <w:color w:val="000000" w:themeColor="text1"/>
          <w:sz w:val="21"/>
          <w:szCs w:val="21"/>
          <w:highlight w:val="none"/>
          <w14:textFill>
            <w14:solidFill>
              <w14:schemeClr w14:val="tx1"/>
            </w14:solidFill>
          </w14:textFill>
        </w:rPr>
        <w:t xml:space="preserve">3.4  </w:t>
      </w:r>
      <w:bookmarkEnd w:id="349"/>
      <w:bookmarkEnd w:id="350"/>
      <w:bookmarkEnd w:id="351"/>
      <w:bookmarkEnd w:id="352"/>
      <w:bookmarkEnd w:id="353"/>
      <w:bookmarkEnd w:id="354"/>
      <w:bookmarkEnd w:id="355"/>
      <w:bookmarkEnd w:id="356"/>
      <w:r>
        <w:rPr>
          <w:rFonts w:hint="eastAsia" w:ascii="宋体" w:hAnsi="宋体" w:cs="宋体"/>
          <w:b w:val="0"/>
          <w:snapToGrid w:val="0"/>
          <w:color w:val="000000" w:themeColor="text1"/>
          <w:sz w:val="21"/>
          <w:szCs w:val="21"/>
          <w:highlight w:val="none"/>
          <w:lang w:eastAsia="zh-CN"/>
          <w14:textFill>
            <w14:solidFill>
              <w14:schemeClr w14:val="tx1"/>
            </w14:solidFill>
          </w14:textFill>
        </w:rPr>
        <w:t>投标</w:t>
      </w:r>
      <w:r>
        <w:rPr>
          <w:rFonts w:hint="eastAsia" w:ascii="宋体" w:hAnsi="宋体" w:cs="宋体"/>
          <w:b w:val="0"/>
          <w:snapToGrid w:val="0"/>
          <w:color w:val="000000" w:themeColor="text1"/>
          <w:sz w:val="21"/>
          <w:szCs w:val="21"/>
          <w:highlight w:val="none"/>
          <w14:textFill>
            <w14:solidFill>
              <w14:schemeClr w14:val="tx1"/>
            </w14:solidFill>
          </w14:textFill>
        </w:rPr>
        <w:t>保证金</w:t>
      </w:r>
      <w:bookmarkEnd w:id="357"/>
      <w:bookmarkEnd w:id="358"/>
      <w:bookmarkEnd w:id="359"/>
    </w:p>
    <w:p w14:paraId="31EB7132">
      <w:pPr>
        <w:ind w:firstLine="630" w:firstLineChars="300"/>
        <w:jc w:val="both"/>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val="0"/>
          <w:snapToGrid w:val="0"/>
          <w:color w:val="000000" w:themeColor="text1"/>
          <w:sz w:val="21"/>
          <w:szCs w:val="21"/>
          <w:highlight w:val="none"/>
          <w:lang w:val="en-US" w:eastAsia="zh-CN"/>
          <w14:textFill>
            <w14:solidFill>
              <w14:schemeClr w14:val="tx1"/>
            </w14:solidFill>
          </w14:textFill>
        </w:rPr>
        <w:t>本项目不设置投标保证金。</w:t>
      </w:r>
    </w:p>
    <w:p w14:paraId="46C5CD75">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360" w:name="_Toc12193"/>
      <w:bookmarkStart w:id="361" w:name="_Toc22953"/>
      <w:bookmarkStart w:id="362" w:name="_Toc21874"/>
      <w:bookmarkStart w:id="363" w:name="_Toc200513150"/>
      <w:bookmarkStart w:id="364" w:name="_Toc509218734"/>
      <w:bookmarkStart w:id="365" w:name="_Toc8527"/>
      <w:bookmarkStart w:id="366" w:name="_Toc277082576"/>
      <w:bookmarkStart w:id="367" w:name="_Toc430530459"/>
      <w:bookmarkStart w:id="368" w:name="_Toc224103341"/>
      <w:bookmarkStart w:id="369" w:name="_Toc287620709"/>
      <w:bookmarkStart w:id="370" w:name="_Toc287607770"/>
      <w:r>
        <w:rPr>
          <w:rFonts w:hint="eastAsia" w:ascii="宋体" w:hAnsi="宋体" w:cs="宋体"/>
          <w:b w:val="0"/>
          <w:snapToGrid w:val="0"/>
          <w:color w:val="000000" w:themeColor="text1"/>
          <w:sz w:val="21"/>
          <w:szCs w:val="21"/>
          <w:highlight w:val="none"/>
          <w14:textFill>
            <w14:solidFill>
              <w14:schemeClr w14:val="tx1"/>
            </w14:solidFill>
          </w14:textFill>
        </w:rPr>
        <w:t>3.5  资格审查资料</w:t>
      </w:r>
      <w:bookmarkEnd w:id="360"/>
      <w:bookmarkEnd w:id="361"/>
      <w:bookmarkEnd w:id="362"/>
      <w:bookmarkEnd w:id="363"/>
      <w:bookmarkEnd w:id="364"/>
      <w:bookmarkEnd w:id="365"/>
      <w:bookmarkEnd w:id="366"/>
      <w:bookmarkEnd w:id="367"/>
      <w:bookmarkEnd w:id="368"/>
      <w:bookmarkEnd w:id="369"/>
      <w:bookmarkEnd w:id="370"/>
    </w:p>
    <w:p w14:paraId="467701A2">
      <w:pPr>
        <w:autoSpaceDE w:val="0"/>
        <w:autoSpaceDN w:val="0"/>
        <w:adjustRightInd w:val="0"/>
        <w:snapToGrid w:val="0"/>
        <w:spacing w:line="360" w:lineRule="auto"/>
        <w:ind w:left="103" w:leftChars="49" w:right="3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应附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须知前附表第1.4.1项中要求的相关证明材料</w:t>
      </w:r>
      <w:r>
        <w:rPr>
          <w:rFonts w:hint="eastAsia" w:ascii="宋体" w:hAnsi="宋体" w:cs="宋体"/>
          <w:color w:val="000000" w:themeColor="text1"/>
          <w:szCs w:val="21"/>
          <w:highlight w:val="none"/>
          <w14:textFill>
            <w14:solidFill>
              <w14:schemeClr w14:val="tx1"/>
            </w14:solidFill>
          </w14:textFill>
        </w:rPr>
        <w:t>。</w:t>
      </w:r>
    </w:p>
    <w:p w14:paraId="75E3799D">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比选文件中</w:t>
      </w:r>
      <w:r>
        <w:rPr>
          <w:rFonts w:hint="eastAsia" w:ascii="宋体" w:hAnsi="宋体" w:cs="宋体"/>
          <w:snapToGrid w:val="0"/>
          <w:color w:val="000000" w:themeColor="text1"/>
          <w:kern w:val="0"/>
          <w:szCs w:val="21"/>
          <w:highlight w:val="none"/>
          <w14:textFill>
            <w14:solidFill>
              <w14:schemeClr w14:val="tx1"/>
            </w14:solidFill>
          </w14:textFill>
        </w:rPr>
        <w:t>规定接受联合体投标的，详见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须知前附表联合体投标相关内容。</w:t>
      </w:r>
    </w:p>
    <w:p w14:paraId="3409DA2F">
      <w:pPr>
        <w:autoSpaceDE w:val="0"/>
        <w:autoSpaceDN w:val="0"/>
        <w:adjustRightInd w:val="0"/>
        <w:snapToGrid w:val="0"/>
        <w:spacing w:line="360" w:lineRule="auto"/>
        <w:rPr>
          <w:rFonts w:hint="eastAsia" w:ascii="宋体" w:hAnsi="宋体" w:cs="宋体"/>
          <w:b w:val="0"/>
          <w:snapToGrid w:val="0"/>
          <w:color w:val="000000" w:themeColor="text1"/>
          <w:sz w:val="21"/>
          <w:szCs w:val="21"/>
          <w:highlight w:val="none"/>
          <w14:textFill>
            <w14:solidFill>
              <w14:schemeClr w14:val="tx1"/>
            </w14:solidFill>
          </w14:textFill>
        </w:rPr>
      </w:pPr>
      <w:bookmarkStart w:id="371" w:name="_Toc30746"/>
      <w:bookmarkStart w:id="372" w:name="_Toc200513151"/>
      <w:bookmarkStart w:id="373" w:name="_Toc24226"/>
      <w:bookmarkStart w:id="374" w:name="_Toc19347"/>
      <w:bookmarkStart w:id="375" w:name="_Toc509218735"/>
      <w:bookmarkStart w:id="376" w:name="_Toc224103342"/>
      <w:bookmarkStart w:id="377" w:name="_Toc277082577"/>
      <w:bookmarkStart w:id="378" w:name="_Toc12617"/>
      <w:bookmarkStart w:id="379" w:name="_Toc287607771"/>
      <w:bookmarkStart w:id="380" w:name="_Toc430530460"/>
      <w:bookmarkStart w:id="381" w:name="_Toc287620710"/>
      <w:r>
        <w:rPr>
          <w:rFonts w:hint="eastAsia" w:ascii="宋体" w:hAnsi="宋体" w:cs="宋体"/>
          <w:b w:val="0"/>
          <w:snapToGrid w:val="0"/>
          <w:color w:val="000000" w:themeColor="text1"/>
          <w:sz w:val="21"/>
          <w:szCs w:val="21"/>
          <w:highlight w:val="none"/>
          <w14:textFill>
            <w14:solidFill>
              <w14:schemeClr w14:val="tx1"/>
            </w14:solidFill>
          </w14:textFill>
        </w:rPr>
        <w:t xml:space="preserve">3.6  </w:t>
      </w:r>
      <w:bookmarkEnd w:id="371"/>
      <w:bookmarkEnd w:id="372"/>
      <w:bookmarkEnd w:id="373"/>
      <w:bookmarkEnd w:id="374"/>
      <w:bookmarkEnd w:id="375"/>
      <w:bookmarkEnd w:id="376"/>
      <w:bookmarkEnd w:id="377"/>
      <w:bookmarkEnd w:id="378"/>
      <w:bookmarkEnd w:id="379"/>
      <w:bookmarkEnd w:id="380"/>
      <w:bookmarkEnd w:id="381"/>
      <w:r>
        <w:rPr>
          <w:rFonts w:hint="eastAsia" w:ascii="宋体" w:hAnsi="宋体" w:cs="宋体"/>
          <w:b w:val="0"/>
          <w:snapToGrid w:val="0"/>
          <w:color w:val="000000" w:themeColor="text1"/>
          <w:sz w:val="21"/>
          <w:szCs w:val="21"/>
          <w:highlight w:val="none"/>
          <w14:textFill>
            <w14:solidFill>
              <w14:schemeClr w14:val="tx1"/>
            </w14:solidFill>
          </w14:textFill>
        </w:rPr>
        <w:t>投标文件的编制</w:t>
      </w:r>
    </w:p>
    <w:p w14:paraId="483C30B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.1  投标文件应按第八章“投标文件格式”进行编写，如有必要，可以增加附页，作为投标文件的组成部分。其中，《投标函》附录在满足竞争性比选文件实质性要求的基础上，可以提出比竞争性比选文件要求更有利于比选人的承诺。</w:t>
      </w:r>
    </w:p>
    <w:p w14:paraId="0262288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.2  投标文件应当对竞争性比选文件有关工期、投标有效期、质量要求、技术标准和要求、招标范围等实质性内容做出响应。</w:t>
      </w:r>
    </w:p>
    <w:p w14:paraId="6060F14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w:t>
      </w:r>
      <w:r>
        <w:rPr>
          <w:rFonts w:hint="eastAsia" w:ascii="宋体" w:hAnsi="宋体" w:cs="宋体"/>
          <w:snapToGrid w:val="0"/>
          <w:color w:val="000000" w:themeColor="text1"/>
          <w:kern w:val="0"/>
          <w:position w:val="-2"/>
          <w:szCs w:val="21"/>
          <w:highlight w:val="none"/>
          <w:lang w:val="en-US" w:eastAsia="zh-CN"/>
          <w14:textFill>
            <w14:solidFill>
              <w14:schemeClr w14:val="tx1"/>
            </w14:solidFill>
          </w14:textFill>
        </w:rPr>
        <w:t>6</w:t>
      </w:r>
      <w:r>
        <w:rPr>
          <w:rFonts w:hint="eastAsia" w:ascii="宋体" w:hAnsi="宋体" w:cs="宋体"/>
          <w:snapToGrid w:val="0"/>
          <w:color w:val="000000" w:themeColor="text1"/>
          <w:kern w:val="0"/>
          <w:position w:val="-2"/>
          <w:szCs w:val="21"/>
          <w:highlight w:val="none"/>
          <w14:textFill>
            <w14:solidFill>
              <w14:schemeClr w14:val="tx1"/>
            </w14:solidFill>
          </w14:textFill>
        </w:rPr>
        <w:t>.3  投标文件的</w:t>
      </w:r>
      <w:r>
        <w:rPr>
          <w:rFonts w:hint="eastAsia" w:ascii="宋体" w:hAnsi="宋体" w:cs="宋体"/>
          <w:color w:val="000000" w:themeColor="text1"/>
          <w:szCs w:val="21"/>
          <w:highlight w:val="none"/>
          <w14:textFill>
            <w14:solidFill>
              <w14:schemeClr w14:val="tx1"/>
            </w14:solidFill>
          </w14:textFill>
        </w:rPr>
        <w:t>签名盖章要</w:t>
      </w:r>
      <w:r>
        <w:rPr>
          <w:rFonts w:hint="eastAsia" w:ascii="宋体" w:hAnsi="宋体" w:cs="宋体"/>
          <w:snapToGrid w:val="0"/>
          <w:color w:val="000000" w:themeColor="text1"/>
          <w:kern w:val="0"/>
          <w:position w:val="-2"/>
          <w:szCs w:val="21"/>
          <w:highlight w:val="none"/>
          <w14:textFill>
            <w14:solidFill>
              <w14:schemeClr w14:val="tx1"/>
            </w14:solidFill>
          </w14:textFill>
        </w:rPr>
        <w:t>求：按本章</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position w:val="-2"/>
          <w:szCs w:val="21"/>
          <w:highlight w:val="none"/>
          <w14:textFill>
            <w14:solidFill>
              <w14:schemeClr w14:val="tx1"/>
            </w14:solidFill>
          </w14:textFill>
        </w:rPr>
        <w:t>须知前附表第3.7.3项执行。</w:t>
      </w:r>
    </w:p>
    <w:p w14:paraId="4E766A6F">
      <w:pPr>
        <w:autoSpaceDE w:val="0"/>
        <w:autoSpaceDN w:val="0"/>
        <w:adjustRightInd w:val="0"/>
        <w:snapToGrid w:val="0"/>
        <w:spacing w:line="360" w:lineRule="auto"/>
        <w:ind w:right="-164"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.4  投标文件份数：</w:t>
      </w:r>
      <w:r>
        <w:rPr>
          <w:rFonts w:hint="eastAsia" w:ascii="宋体" w:hAnsi="宋体" w:cs="宋体"/>
          <w:snapToGrid w:val="0"/>
          <w:color w:val="000000" w:themeColor="text1"/>
          <w:kern w:val="0"/>
          <w:position w:val="-2"/>
          <w:szCs w:val="21"/>
          <w:highlight w:val="none"/>
          <w14:textFill>
            <w14:solidFill>
              <w14:schemeClr w14:val="tx1"/>
            </w14:solidFill>
          </w14:textFill>
        </w:rPr>
        <w:t>按本章</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position w:val="-2"/>
          <w:szCs w:val="21"/>
          <w:highlight w:val="none"/>
          <w14:textFill>
            <w14:solidFill>
              <w14:schemeClr w14:val="tx1"/>
            </w14:solidFill>
          </w14:textFill>
        </w:rPr>
        <w:t>须知前附表第3.7.4项执行</w:t>
      </w:r>
      <w:r>
        <w:rPr>
          <w:rFonts w:hint="eastAsia" w:ascii="宋体" w:hAnsi="宋体" w:cs="宋体"/>
          <w:color w:val="000000" w:themeColor="text1"/>
          <w:kern w:val="0"/>
          <w:szCs w:val="21"/>
          <w:highlight w:val="none"/>
          <w14:textFill>
            <w14:solidFill>
              <w14:schemeClr w14:val="tx1"/>
            </w14:solidFill>
          </w14:textFill>
        </w:rPr>
        <w:t>。</w:t>
      </w:r>
    </w:p>
    <w:p w14:paraId="016EA5CA">
      <w:pPr>
        <w:pStyle w:val="2"/>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.5  投标文件应按规定格式排版，并编制目录，具体编制要求见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w:t>
      </w:r>
    </w:p>
    <w:p w14:paraId="0FAF00A8">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382" w:name="_Toc1361"/>
      <w:bookmarkStart w:id="383" w:name="_Toc29278"/>
      <w:bookmarkStart w:id="384" w:name="_Toc7134"/>
      <w:bookmarkStart w:id="385" w:name="_Toc287620712"/>
      <w:bookmarkStart w:id="386" w:name="_Toc277082579"/>
      <w:bookmarkStart w:id="387" w:name="_Toc509218737"/>
      <w:bookmarkStart w:id="388" w:name="_Toc200513153"/>
      <w:bookmarkStart w:id="389" w:name="_Toc287607773"/>
      <w:bookmarkStart w:id="390" w:name="_Toc16479"/>
      <w:bookmarkStart w:id="391" w:name="_Toc5134"/>
      <w:bookmarkStart w:id="392" w:name="_Toc21693"/>
      <w:bookmarkStart w:id="393" w:name="_Toc224103344"/>
      <w:bookmarkStart w:id="394" w:name="_Toc430530462"/>
      <w:r>
        <w:rPr>
          <w:rFonts w:hint="eastAsia" w:ascii="宋体" w:hAnsi="宋体" w:cs="宋体"/>
          <w:bCs w:val="0"/>
          <w:snapToGrid w:val="0"/>
          <w:color w:val="000000" w:themeColor="text1"/>
          <w:sz w:val="21"/>
          <w:szCs w:val="21"/>
          <w:highlight w:val="none"/>
          <w14:textFill>
            <w14:solidFill>
              <w14:schemeClr w14:val="tx1"/>
            </w14:solidFill>
          </w14:textFill>
        </w:rPr>
        <w:t>4.  投标</w:t>
      </w:r>
      <w:bookmarkEnd w:id="382"/>
      <w:bookmarkEnd w:id="383"/>
      <w:bookmarkEnd w:id="384"/>
      <w:bookmarkEnd w:id="385"/>
      <w:bookmarkEnd w:id="386"/>
      <w:bookmarkEnd w:id="387"/>
      <w:bookmarkEnd w:id="388"/>
      <w:bookmarkEnd w:id="389"/>
      <w:bookmarkEnd w:id="390"/>
      <w:bookmarkEnd w:id="391"/>
      <w:bookmarkEnd w:id="392"/>
      <w:bookmarkEnd w:id="393"/>
      <w:bookmarkEnd w:id="394"/>
    </w:p>
    <w:p w14:paraId="63F5519E">
      <w:pPr>
        <w:pStyle w:val="5"/>
        <w:keepNext w:val="0"/>
        <w:keepLines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395" w:name="_Toc18023"/>
      <w:bookmarkStart w:id="396" w:name="_Toc509218738"/>
      <w:bookmarkStart w:id="397" w:name="_Toc200513154"/>
      <w:bookmarkStart w:id="398" w:name="_Toc224103345"/>
      <w:bookmarkStart w:id="399" w:name="_Toc430530463"/>
      <w:bookmarkStart w:id="400" w:name="_Toc287607774"/>
      <w:bookmarkStart w:id="401" w:name="_Toc18995"/>
      <w:bookmarkStart w:id="402" w:name="_Toc277082580"/>
      <w:bookmarkStart w:id="403" w:name="_Toc21035"/>
      <w:bookmarkStart w:id="404" w:name="_Toc287620713"/>
      <w:bookmarkStart w:id="405" w:name="_Toc30495"/>
      <w:bookmarkStart w:id="406" w:name="_Toc15487"/>
      <w:bookmarkStart w:id="407" w:name="_Toc430530466"/>
      <w:bookmarkStart w:id="408" w:name="_Toc200513157"/>
      <w:bookmarkStart w:id="409" w:name="_Toc224103348"/>
      <w:bookmarkStart w:id="410" w:name="_Toc287607777"/>
      <w:bookmarkStart w:id="411" w:name="_Toc509218741"/>
      <w:bookmarkStart w:id="412" w:name="_Toc277082583"/>
      <w:bookmarkStart w:id="413" w:name="_Toc287620716"/>
      <w:bookmarkStart w:id="414" w:name="_Toc30504"/>
      <w:r>
        <w:rPr>
          <w:rFonts w:hint="eastAsia" w:ascii="宋体" w:hAnsi="宋体" w:cs="宋体"/>
          <w:b w:val="0"/>
          <w:snapToGrid w:val="0"/>
          <w:color w:val="000000" w:themeColor="text1"/>
          <w:sz w:val="21"/>
          <w:szCs w:val="21"/>
          <w:highlight w:val="none"/>
          <w14:textFill>
            <w14:solidFill>
              <w14:schemeClr w14:val="tx1"/>
            </w14:solidFill>
          </w14:textFill>
        </w:rPr>
        <w:t>4.1  投标文件的密封和标记</w:t>
      </w:r>
      <w:bookmarkEnd w:id="395"/>
      <w:bookmarkEnd w:id="396"/>
      <w:bookmarkEnd w:id="397"/>
      <w:bookmarkEnd w:id="398"/>
      <w:bookmarkEnd w:id="399"/>
      <w:bookmarkEnd w:id="400"/>
      <w:bookmarkEnd w:id="401"/>
      <w:bookmarkEnd w:id="402"/>
      <w:bookmarkEnd w:id="403"/>
      <w:bookmarkEnd w:id="404"/>
      <w:bookmarkEnd w:id="405"/>
      <w:bookmarkEnd w:id="406"/>
    </w:p>
    <w:p w14:paraId="3E6EAD19">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bookmarkStart w:id="415"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54F65F2">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53D6D22B">
      <w:pPr>
        <w:pStyle w:val="5"/>
        <w:keepNext w:val="0"/>
        <w:keepLines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16" w:name="_Toc287607775"/>
      <w:bookmarkStart w:id="417" w:name="_Toc224103346"/>
      <w:bookmarkStart w:id="418" w:name="_Toc3270"/>
      <w:bookmarkStart w:id="419" w:name="_Toc287620714"/>
      <w:bookmarkStart w:id="420" w:name="_Toc25809"/>
      <w:bookmarkStart w:id="421" w:name="_Toc277082581"/>
      <w:bookmarkStart w:id="422" w:name="_Toc4020"/>
      <w:bookmarkStart w:id="423" w:name="_Toc509218739"/>
      <w:bookmarkStart w:id="424" w:name="_Toc1051"/>
      <w:bookmarkStart w:id="425" w:name="_Toc27089"/>
      <w:bookmarkStart w:id="426" w:name="_Toc430530464"/>
      <w:r>
        <w:rPr>
          <w:rFonts w:hint="eastAsia" w:ascii="宋体" w:hAnsi="宋体" w:cs="宋体"/>
          <w:b w:val="0"/>
          <w:snapToGrid w:val="0"/>
          <w:color w:val="000000" w:themeColor="text1"/>
          <w:sz w:val="21"/>
          <w:szCs w:val="21"/>
          <w:highlight w:val="none"/>
          <w14:textFill>
            <w14:solidFill>
              <w14:schemeClr w14:val="tx1"/>
            </w14:solidFill>
          </w14:textFill>
        </w:rPr>
        <w:t>4.2  投标文件的递交</w:t>
      </w:r>
      <w:bookmarkEnd w:id="415"/>
      <w:bookmarkEnd w:id="416"/>
      <w:bookmarkEnd w:id="417"/>
      <w:bookmarkEnd w:id="418"/>
      <w:bookmarkEnd w:id="419"/>
      <w:bookmarkEnd w:id="420"/>
      <w:bookmarkEnd w:id="421"/>
      <w:bookmarkEnd w:id="422"/>
      <w:bookmarkEnd w:id="423"/>
      <w:bookmarkEnd w:id="424"/>
      <w:bookmarkEnd w:id="425"/>
      <w:bookmarkEnd w:id="426"/>
    </w:p>
    <w:p w14:paraId="0580955B">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应在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须知前附表第 2.2.2 项规定的投标截止时间前递交投标文件。</w:t>
      </w:r>
    </w:p>
    <w:p w14:paraId="5B913BFE">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4.2.2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递交投标文件的地点：见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C19A6D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所递交的投标文件不予退还。</w:t>
      </w:r>
    </w:p>
    <w:p w14:paraId="028F3F4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比选人收到投标文件后，向</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出具签收凭证。</w:t>
      </w:r>
    </w:p>
    <w:p w14:paraId="1C1F967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逾期送达的或者未送达指定地点的投标文件，比选人不予受理。</w:t>
      </w:r>
    </w:p>
    <w:p w14:paraId="6792AEBF">
      <w:pPr>
        <w:pStyle w:val="5"/>
        <w:keepNext w:val="0"/>
        <w:keepLines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27" w:name="_Toc23986"/>
      <w:bookmarkStart w:id="428" w:name="_Toc12168"/>
      <w:bookmarkStart w:id="429" w:name="_Toc200513156"/>
      <w:bookmarkStart w:id="430" w:name="_Toc31683"/>
      <w:bookmarkStart w:id="431" w:name="_Toc509218740"/>
      <w:bookmarkStart w:id="432" w:name="_Toc20480"/>
      <w:bookmarkStart w:id="433" w:name="_Toc224103347"/>
      <w:bookmarkStart w:id="434" w:name="_Toc29470"/>
      <w:bookmarkStart w:id="435" w:name="_Toc277082582"/>
      <w:bookmarkStart w:id="436" w:name="_Toc287607776"/>
      <w:bookmarkStart w:id="437" w:name="_Toc287620715"/>
      <w:bookmarkStart w:id="438" w:name="_Toc430530465"/>
      <w:r>
        <w:rPr>
          <w:rFonts w:hint="eastAsia" w:ascii="宋体" w:hAnsi="宋体" w:cs="宋体"/>
          <w:b w:val="0"/>
          <w:snapToGrid w:val="0"/>
          <w:color w:val="000000" w:themeColor="text1"/>
          <w:sz w:val="21"/>
          <w:szCs w:val="21"/>
          <w:highlight w:val="none"/>
          <w14:textFill>
            <w14:solidFill>
              <w14:schemeClr w14:val="tx1"/>
            </w14:solidFill>
          </w14:textFill>
        </w:rPr>
        <w:t>4.3  投标文件的修改与撤回</w:t>
      </w:r>
      <w:bookmarkEnd w:id="427"/>
      <w:bookmarkEnd w:id="428"/>
      <w:bookmarkEnd w:id="429"/>
      <w:bookmarkEnd w:id="430"/>
      <w:bookmarkEnd w:id="431"/>
      <w:bookmarkEnd w:id="432"/>
      <w:bookmarkEnd w:id="433"/>
      <w:bookmarkEnd w:id="434"/>
      <w:bookmarkEnd w:id="435"/>
      <w:bookmarkEnd w:id="436"/>
      <w:bookmarkEnd w:id="437"/>
      <w:bookmarkEnd w:id="438"/>
    </w:p>
    <w:p w14:paraId="455C6A0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须知前附表第2.2.2项规定的投标截止时间前，</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可以修改或撤回已递交的投标文件，但应以书面形式通知比选人。</w:t>
      </w:r>
    </w:p>
    <w:p w14:paraId="46624AF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4.3.2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修改或撤回已递交投标文件的书面通知应按照本章第3.7.3项的要求签字或盖章。比选人收到书面通知后，向</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出具签收凭证。</w:t>
      </w:r>
    </w:p>
    <w:p w14:paraId="32CB647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7D5CF41D">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439" w:name="_Toc12576"/>
      <w:bookmarkStart w:id="440" w:name="_Toc25278"/>
      <w:bookmarkStart w:id="441" w:name="_Toc23412"/>
      <w:bookmarkStart w:id="442" w:name="_Toc14245"/>
      <w:bookmarkStart w:id="443" w:name="_Toc1561"/>
      <w:r>
        <w:rPr>
          <w:rFonts w:hint="eastAsia" w:ascii="宋体" w:hAnsi="宋体" w:cs="宋体"/>
          <w:bCs w:val="0"/>
          <w:snapToGrid w:val="0"/>
          <w:color w:val="000000" w:themeColor="text1"/>
          <w:sz w:val="21"/>
          <w:szCs w:val="21"/>
          <w:highlight w:val="none"/>
          <w14:textFill>
            <w14:solidFill>
              <w14:schemeClr w14:val="tx1"/>
            </w14:solidFill>
          </w14:textFill>
        </w:rPr>
        <w:t>5.  开标</w:t>
      </w:r>
      <w:bookmarkEnd w:id="407"/>
      <w:bookmarkEnd w:id="408"/>
      <w:bookmarkEnd w:id="409"/>
      <w:bookmarkEnd w:id="410"/>
      <w:bookmarkEnd w:id="411"/>
      <w:bookmarkEnd w:id="412"/>
      <w:bookmarkEnd w:id="413"/>
      <w:bookmarkEnd w:id="414"/>
      <w:bookmarkEnd w:id="439"/>
      <w:bookmarkEnd w:id="440"/>
      <w:bookmarkEnd w:id="441"/>
      <w:bookmarkEnd w:id="442"/>
      <w:bookmarkEnd w:id="443"/>
    </w:p>
    <w:p w14:paraId="12E20A64">
      <w:pPr>
        <w:pStyle w:val="5"/>
        <w:keepNext w:val="0"/>
        <w:keepLines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44" w:name="_Toc12079"/>
      <w:bookmarkStart w:id="445" w:name="_Toc15357"/>
      <w:bookmarkStart w:id="446" w:name="_Toc224103349"/>
      <w:bookmarkStart w:id="447" w:name="_Toc200513158"/>
      <w:bookmarkStart w:id="448" w:name="_Toc287607778"/>
      <w:bookmarkStart w:id="449" w:name="_Toc277082584"/>
      <w:bookmarkStart w:id="450" w:name="_Toc287620717"/>
      <w:bookmarkStart w:id="451" w:name="_Toc20593"/>
      <w:bookmarkStart w:id="452" w:name="_Toc23607"/>
      <w:bookmarkStart w:id="453" w:name="_Toc509218742"/>
      <w:bookmarkStart w:id="454" w:name="_Toc430530467"/>
      <w:bookmarkStart w:id="455" w:name="_Toc20644"/>
      <w:bookmarkStart w:id="456" w:name="_Toc224103351"/>
      <w:bookmarkStart w:id="457" w:name="_Toc287620719"/>
      <w:bookmarkStart w:id="458" w:name="_Toc509218744"/>
      <w:bookmarkStart w:id="459" w:name="_Toc430530469"/>
      <w:bookmarkStart w:id="460" w:name="_Toc287607780"/>
      <w:bookmarkStart w:id="461" w:name="_Toc31453"/>
      <w:bookmarkStart w:id="462" w:name="_Toc277082586"/>
      <w:bookmarkStart w:id="463" w:name="_Toc200513160"/>
      <w:r>
        <w:rPr>
          <w:rFonts w:hint="eastAsia" w:ascii="宋体" w:hAnsi="宋体" w:cs="宋体"/>
          <w:b w:val="0"/>
          <w:snapToGrid w:val="0"/>
          <w:color w:val="000000" w:themeColor="text1"/>
          <w:sz w:val="21"/>
          <w:szCs w:val="21"/>
          <w:highlight w:val="none"/>
          <w14:textFill>
            <w14:solidFill>
              <w14:schemeClr w14:val="tx1"/>
            </w14:solidFill>
          </w14:textFill>
        </w:rPr>
        <w:t>5.1  开标时间和地点</w:t>
      </w:r>
      <w:bookmarkEnd w:id="444"/>
      <w:bookmarkEnd w:id="445"/>
      <w:bookmarkEnd w:id="446"/>
      <w:bookmarkEnd w:id="447"/>
      <w:bookmarkEnd w:id="448"/>
      <w:bookmarkEnd w:id="449"/>
      <w:bookmarkEnd w:id="450"/>
      <w:bookmarkEnd w:id="451"/>
      <w:bookmarkEnd w:id="452"/>
      <w:bookmarkEnd w:id="453"/>
      <w:bookmarkEnd w:id="454"/>
      <w:bookmarkEnd w:id="455"/>
    </w:p>
    <w:p w14:paraId="2A97CB40">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须知前附表规定的投标截止时间（开标时间）和</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的法定代表人或其委托代理人准时参加。</w:t>
      </w:r>
    </w:p>
    <w:p w14:paraId="58847E77">
      <w:pPr>
        <w:pStyle w:val="5"/>
        <w:keepNext w:val="0"/>
        <w:keepLines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64" w:name="_Toc7784"/>
      <w:bookmarkStart w:id="465" w:name="_Toc277082585"/>
      <w:bookmarkStart w:id="466" w:name="_Toc287607779"/>
      <w:bookmarkStart w:id="467" w:name="_Toc14994"/>
      <w:bookmarkStart w:id="468" w:name="_Toc11059"/>
      <w:bookmarkStart w:id="469" w:name="_Toc430530468"/>
      <w:bookmarkStart w:id="470" w:name="_Toc19487"/>
      <w:bookmarkStart w:id="471" w:name="_Toc509218743"/>
      <w:bookmarkStart w:id="472" w:name="_Toc15344"/>
      <w:bookmarkStart w:id="473" w:name="_Toc224103350"/>
      <w:bookmarkStart w:id="474" w:name="_Toc287620718"/>
      <w:bookmarkStart w:id="475" w:name="_Toc200513159"/>
      <w:r>
        <w:rPr>
          <w:rFonts w:hint="eastAsia" w:ascii="宋体" w:hAnsi="宋体" w:cs="宋体"/>
          <w:b w:val="0"/>
          <w:snapToGrid w:val="0"/>
          <w:color w:val="000000" w:themeColor="text1"/>
          <w:sz w:val="21"/>
          <w:szCs w:val="21"/>
          <w:highlight w:val="none"/>
          <w14:textFill>
            <w14:solidFill>
              <w14:schemeClr w14:val="tx1"/>
            </w14:solidFill>
          </w14:textFill>
        </w:rPr>
        <w:t>5.2  开标程序</w:t>
      </w:r>
      <w:bookmarkEnd w:id="464"/>
      <w:bookmarkEnd w:id="465"/>
      <w:bookmarkEnd w:id="466"/>
      <w:bookmarkEnd w:id="467"/>
      <w:bookmarkEnd w:id="468"/>
      <w:bookmarkEnd w:id="469"/>
      <w:bookmarkEnd w:id="470"/>
      <w:bookmarkEnd w:id="471"/>
      <w:bookmarkEnd w:id="472"/>
      <w:bookmarkEnd w:id="473"/>
      <w:bookmarkEnd w:id="474"/>
      <w:bookmarkEnd w:id="475"/>
    </w:p>
    <w:p w14:paraId="231B0FE0">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须知前附表开标程序。</w:t>
      </w:r>
    </w:p>
    <w:p w14:paraId="492C0B73">
      <w:pPr>
        <w:pStyle w:val="4"/>
        <w:keepNext w:val="0"/>
        <w:keepLines w:val="0"/>
        <w:adjustRightInd w:val="0"/>
        <w:snapToGrid w:val="0"/>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476" w:name="_Toc14658"/>
      <w:bookmarkStart w:id="477" w:name="_Toc26805"/>
      <w:bookmarkStart w:id="478" w:name="_Toc9455"/>
      <w:bookmarkStart w:id="479" w:name="_Toc8832"/>
      <w:bookmarkStart w:id="480" w:name="_Toc31733"/>
      <w:r>
        <w:rPr>
          <w:rFonts w:hint="eastAsia" w:ascii="宋体" w:hAnsi="宋体" w:cs="宋体"/>
          <w:bCs w:val="0"/>
          <w:snapToGrid w:val="0"/>
          <w:color w:val="000000" w:themeColor="text1"/>
          <w:sz w:val="21"/>
          <w:szCs w:val="21"/>
          <w:highlight w:val="none"/>
          <w14:textFill>
            <w14:solidFill>
              <w14:schemeClr w14:val="tx1"/>
            </w14:solidFill>
          </w14:textFill>
        </w:rPr>
        <w:t>6.  评标</w:t>
      </w:r>
      <w:bookmarkEnd w:id="456"/>
      <w:bookmarkEnd w:id="457"/>
      <w:bookmarkEnd w:id="458"/>
      <w:bookmarkEnd w:id="459"/>
      <w:bookmarkEnd w:id="460"/>
      <w:bookmarkEnd w:id="461"/>
      <w:bookmarkEnd w:id="462"/>
      <w:bookmarkEnd w:id="463"/>
      <w:bookmarkEnd w:id="476"/>
      <w:bookmarkEnd w:id="477"/>
      <w:bookmarkEnd w:id="478"/>
      <w:bookmarkEnd w:id="479"/>
      <w:bookmarkEnd w:id="480"/>
    </w:p>
    <w:p w14:paraId="07415896">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81" w:name="_Toc6832"/>
      <w:bookmarkStart w:id="482" w:name="_Toc224103352"/>
      <w:bookmarkStart w:id="483" w:name="_Toc19454"/>
      <w:bookmarkStart w:id="484" w:name="_Toc430530470"/>
      <w:bookmarkStart w:id="485" w:name="_Toc287607781"/>
      <w:bookmarkStart w:id="486" w:name="_Toc1596"/>
      <w:bookmarkStart w:id="487" w:name="_Toc509218745"/>
      <w:bookmarkStart w:id="488" w:name="_Toc26400"/>
      <w:bookmarkStart w:id="489" w:name="_Toc277082587"/>
      <w:bookmarkStart w:id="490" w:name="_Toc200513161"/>
      <w:bookmarkStart w:id="491" w:name="_Toc287620720"/>
      <w:r>
        <w:rPr>
          <w:rFonts w:hint="eastAsia" w:ascii="宋体" w:hAnsi="宋体" w:cs="宋体"/>
          <w:b w:val="0"/>
          <w:snapToGrid w:val="0"/>
          <w:color w:val="000000" w:themeColor="text1"/>
          <w:sz w:val="21"/>
          <w:szCs w:val="21"/>
          <w:highlight w:val="none"/>
          <w14:textFill>
            <w14:solidFill>
              <w14:schemeClr w14:val="tx1"/>
            </w14:solidFill>
          </w14:textFill>
        </w:rPr>
        <w:t>6.1  评标委员会</w:t>
      </w:r>
      <w:bookmarkEnd w:id="481"/>
      <w:bookmarkEnd w:id="482"/>
      <w:bookmarkEnd w:id="483"/>
      <w:bookmarkEnd w:id="484"/>
      <w:bookmarkEnd w:id="485"/>
      <w:bookmarkEnd w:id="486"/>
      <w:bookmarkEnd w:id="487"/>
      <w:bookmarkEnd w:id="488"/>
      <w:bookmarkEnd w:id="489"/>
      <w:bookmarkEnd w:id="490"/>
      <w:bookmarkEnd w:id="491"/>
    </w:p>
    <w:p w14:paraId="1D27BF18">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评标由比选人依据法律法规和相关规范性文件组建的评标委员会负责。</w:t>
      </w:r>
    </w:p>
    <w:p w14:paraId="428D205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评标委员会成员有下列情形之一的，应当回避：</w:t>
      </w:r>
    </w:p>
    <w:p w14:paraId="688B190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的主要负责人的近亲属；</w:t>
      </w:r>
    </w:p>
    <w:p w14:paraId="707E2B95">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（2）项目主管部门或者项目行政监督部门的人员；</w:t>
      </w:r>
    </w:p>
    <w:p w14:paraId="4DB86800">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有利害关系，可能影响对投标公正评审的；</w:t>
      </w:r>
    </w:p>
    <w:p w14:paraId="68BBC99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p>
    <w:p w14:paraId="03E28DBD">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（5）法律法规规定的其他情形。</w:t>
      </w:r>
    </w:p>
    <w:p w14:paraId="0C98B862">
      <w:pPr>
        <w:pStyle w:val="115"/>
        <w:widowControl w:val="0"/>
        <w:adjustRightInd w:val="0"/>
        <w:snapToGrid w:val="0"/>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7174C9B1">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492" w:name="_Toc287607782"/>
      <w:bookmarkStart w:id="493" w:name="_Toc287620721"/>
      <w:bookmarkStart w:id="494" w:name="_Toc509218746"/>
      <w:bookmarkStart w:id="495" w:name="_Toc430530471"/>
      <w:bookmarkStart w:id="496" w:name="_Toc28089"/>
      <w:bookmarkStart w:id="497" w:name="_Toc30379"/>
      <w:bookmarkStart w:id="498" w:name="_Toc200513162"/>
      <w:bookmarkStart w:id="499" w:name="_Toc277082588"/>
      <w:bookmarkStart w:id="500" w:name="_Toc14426"/>
      <w:bookmarkStart w:id="501" w:name="_Toc24001"/>
      <w:bookmarkStart w:id="502" w:name="_Toc224103353"/>
      <w:r>
        <w:rPr>
          <w:rFonts w:hint="eastAsia" w:ascii="宋体" w:hAnsi="宋体" w:cs="宋体"/>
          <w:b w:val="0"/>
          <w:snapToGrid w:val="0"/>
          <w:color w:val="000000" w:themeColor="text1"/>
          <w:sz w:val="21"/>
          <w:szCs w:val="21"/>
          <w:highlight w:val="none"/>
          <w14:textFill>
            <w14:solidFill>
              <w14:schemeClr w14:val="tx1"/>
            </w14:solidFill>
          </w14:textFill>
        </w:rPr>
        <w:t>6.2  评标原则</w:t>
      </w:r>
      <w:bookmarkEnd w:id="492"/>
      <w:bookmarkEnd w:id="493"/>
      <w:bookmarkEnd w:id="494"/>
      <w:bookmarkEnd w:id="495"/>
      <w:bookmarkEnd w:id="496"/>
      <w:bookmarkEnd w:id="497"/>
      <w:bookmarkEnd w:id="498"/>
      <w:bookmarkEnd w:id="499"/>
      <w:bookmarkEnd w:id="500"/>
      <w:bookmarkEnd w:id="501"/>
      <w:bookmarkEnd w:id="502"/>
    </w:p>
    <w:p w14:paraId="47DDBA7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评标活动遵循公平、公正、科学和择优的原则。</w:t>
      </w:r>
    </w:p>
    <w:p w14:paraId="3EFB4834">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03" w:name="_Toc18166"/>
      <w:bookmarkStart w:id="504" w:name="_Toc200513163"/>
      <w:bookmarkStart w:id="505" w:name="_Toc277082589"/>
      <w:bookmarkStart w:id="506" w:name="_Toc32753"/>
      <w:bookmarkStart w:id="507" w:name="_Toc224103354"/>
      <w:bookmarkStart w:id="508" w:name="_Toc509218747"/>
      <w:bookmarkStart w:id="509" w:name="_Toc430530472"/>
      <w:bookmarkStart w:id="510" w:name="_Toc12795"/>
      <w:bookmarkStart w:id="511" w:name="_Toc287607783"/>
      <w:bookmarkStart w:id="512" w:name="_Toc287620722"/>
      <w:bookmarkStart w:id="513" w:name="_Toc27850"/>
      <w:r>
        <w:rPr>
          <w:rFonts w:hint="eastAsia" w:ascii="宋体" w:hAnsi="宋体" w:cs="宋体"/>
          <w:b w:val="0"/>
          <w:snapToGrid w:val="0"/>
          <w:color w:val="000000" w:themeColor="text1"/>
          <w:sz w:val="21"/>
          <w:szCs w:val="21"/>
          <w:highlight w:val="none"/>
          <w14:textFill>
            <w14:solidFill>
              <w14:schemeClr w14:val="tx1"/>
            </w14:solidFill>
          </w14:textFill>
        </w:rPr>
        <w:t>6.3  评标</w:t>
      </w:r>
      <w:bookmarkEnd w:id="503"/>
      <w:bookmarkEnd w:id="504"/>
      <w:bookmarkEnd w:id="505"/>
      <w:bookmarkEnd w:id="506"/>
      <w:bookmarkEnd w:id="507"/>
      <w:bookmarkEnd w:id="508"/>
      <w:bookmarkEnd w:id="509"/>
      <w:bookmarkEnd w:id="510"/>
      <w:bookmarkEnd w:id="511"/>
      <w:bookmarkEnd w:id="512"/>
      <w:bookmarkEnd w:id="513"/>
    </w:p>
    <w:p w14:paraId="7712171F">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评标委员会按照第三章“评标办法”规定的方法、评审因素、标准和程序对投标文件进行评审。第三章“评标办法”没有规定的方法、评审因素和标准，不得作为评标依据。</w:t>
      </w:r>
    </w:p>
    <w:p w14:paraId="67771FE0">
      <w:pPr>
        <w:pStyle w:val="4"/>
        <w:keepNext w:val="0"/>
        <w:keepLines w:val="0"/>
        <w:adjustRightInd w:val="0"/>
        <w:snapToGrid w:val="0"/>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514" w:name="_Toc26326"/>
      <w:bookmarkStart w:id="515" w:name="_Toc13033"/>
      <w:bookmarkStart w:id="516" w:name="_Toc12394"/>
      <w:bookmarkStart w:id="517" w:name="_Toc7011"/>
      <w:bookmarkStart w:id="518" w:name="_Toc224103355"/>
      <w:bookmarkStart w:id="519" w:name="_Toc200513164"/>
      <w:bookmarkStart w:id="520" w:name="_Toc277082590"/>
      <w:bookmarkStart w:id="521" w:name="_Toc430530473"/>
      <w:bookmarkStart w:id="522" w:name="_Toc12077"/>
      <w:bookmarkStart w:id="523" w:name="_Toc287607784"/>
      <w:bookmarkStart w:id="524" w:name="_Toc287620723"/>
      <w:bookmarkStart w:id="525" w:name="_Toc29908"/>
      <w:bookmarkStart w:id="526" w:name="_Toc509218748"/>
      <w:r>
        <w:rPr>
          <w:rFonts w:hint="eastAsia" w:ascii="宋体" w:hAnsi="宋体" w:cs="宋体"/>
          <w:bCs w:val="0"/>
          <w:snapToGrid w:val="0"/>
          <w:color w:val="000000" w:themeColor="text1"/>
          <w:sz w:val="21"/>
          <w:szCs w:val="21"/>
          <w:highlight w:val="none"/>
          <w14:textFill>
            <w14:solidFill>
              <w14:schemeClr w14:val="tx1"/>
            </w14:solidFill>
          </w14:textFill>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04EF4560">
      <w:pPr>
        <w:pStyle w:val="5"/>
        <w:keepNext w:val="0"/>
        <w:keepLines w:val="0"/>
        <w:adjustRightInd w:val="0"/>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27" w:name="_Toc287620724"/>
      <w:bookmarkStart w:id="528" w:name="_Toc18121"/>
      <w:bookmarkStart w:id="529" w:name="_Toc200513165"/>
      <w:bookmarkStart w:id="530" w:name="_Toc430530474"/>
      <w:bookmarkStart w:id="531" w:name="_Toc2919"/>
      <w:bookmarkStart w:id="532" w:name="_Toc224103356"/>
      <w:bookmarkStart w:id="533" w:name="_Toc31324"/>
      <w:bookmarkStart w:id="534" w:name="_Toc31846"/>
      <w:bookmarkStart w:id="535" w:name="_Toc287607785"/>
      <w:bookmarkStart w:id="536" w:name="_Toc509218749"/>
      <w:bookmarkStart w:id="537" w:name="_Toc277082591"/>
      <w:r>
        <w:rPr>
          <w:rFonts w:hint="eastAsia" w:ascii="宋体" w:hAnsi="宋体" w:cs="宋体"/>
          <w:b w:val="0"/>
          <w:snapToGrid w:val="0"/>
          <w:color w:val="000000" w:themeColor="text1"/>
          <w:sz w:val="21"/>
          <w:szCs w:val="21"/>
          <w:highlight w:val="none"/>
          <w14:textFill>
            <w14:solidFill>
              <w14:schemeClr w14:val="tx1"/>
            </w14:solidFill>
          </w14:textFill>
        </w:rPr>
        <w:t>7.1  定标方式</w:t>
      </w:r>
      <w:bookmarkEnd w:id="527"/>
      <w:bookmarkEnd w:id="528"/>
      <w:bookmarkEnd w:id="529"/>
      <w:bookmarkEnd w:id="530"/>
      <w:bookmarkEnd w:id="531"/>
      <w:bookmarkEnd w:id="532"/>
      <w:bookmarkEnd w:id="533"/>
      <w:bookmarkEnd w:id="534"/>
      <w:bookmarkEnd w:id="535"/>
      <w:bookmarkEnd w:id="536"/>
      <w:bookmarkEnd w:id="537"/>
    </w:p>
    <w:p w14:paraId="283620C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标候选人为中标人。排名第一的中标候选人放弃中标、因不可抗力不能履行合同、不按照竞争性比选文件要求提交履约保证金，或者被查实存在影响中标结果的违法行为等情形，不符合中标条件的，比选人可以按照评标委员会提出的中标候选人名单排序依次确定其他中标候选人为中标人，也可以重新招标。</w:t>
      </w:r>
    </w:p>
    <w:p w14:paraId="771C5A0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59BE0609">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38" w:name="_Toc10766"/>
      <w:bookmarkStart w:id="539" w:name="_Toc11718"/>
      <w:bookmarkStart w:id="540" w:name="_Toc509218750"/>
      <w:bookmarkStart w:id="541" w:name="_Toc14428"/>
      <w:bookmarkStart w:id="542" w:name="_Toc15389"/>
      <w:bookmarkStart w:id="543" w:name="_Toc430530475"/>
      <w:r>
        <w:rPr>
          <w:rFonts w:hint="eastAsia" w:ascii="宋体" w:hAnsi="宋体" w:cs="宋体"/>
          <w:b w:val="0"/>
          <w:snapToGrid w:val="0"/>
          <w:color w:val="000000" w:themeColor="text1"/>
          <w:sz w:val="21"/>
          <w:szCs w:val="21"/>
          <w:highlight w:val="none"/>
          <w14:textFill>
            <w14:solidFill>
              <w14:schemeClr w14:val="tx1"/>
            </w14:solidFill>
          </w14:textFill>
        </w:rPr>
        <w:t>7.2  中标公示及中标通知</w:t>
      </w:r>
      <w:bookmarkEnd w:id="538"/>
      <w:bookmarkEnd w:id="539"/>
      <w:bookmarkEnd w:id="540"/>
      <w:bookmarkEnd w:id="541"/>
      <w:bookmarkEnd w:id="542"/>
      <w:bookmarkEnd w:id="543"/>
    </w:p>
    <w:p w14:paraId="424011B4">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比选人在收到评标报告之日起3日内公示中标候选人，公示期不得少于3日</w:t>
      </w:r>
      <w:r>
        <w:rPr>
          <w:rFonts w:hint="eastAsia" w:ascii="宋体" w:hAnsi="宋体" w:cs="宋体"/>
          <w:color w:val="000000" w:themeColor="text1"/>
          <w:szCs w:val="21"/>
          <w:highlight w:val="none"/>
          <w14:textFill>
            <w14:solidFill>
              <w14:schemeClr w14:val="tx1"/>
            </w14:solidFill>
          </w14:textFill>
        </w:rPr>
        <w:t>。</w:t>
      </w:r>
    </w:p>
    <w:p w14:paraId="0CA6BA22">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的异议与投诉，比选人以书面形式向中标人发出中标通知书。</w:t>
      </w:r>
    </w:p>
    <w:p w14:paraId="3AE6738D">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44" w:name="_Toc287620726"/>
      <w:bookmarkStart w:id="545" w:name="_Toc15076"/>
      <w:bookmarkStart w:id="546" w:name="_Toc430530476"/>
      <w:bookmarkStart w:id="547" w:name="_Toc277082593"/>
      <w:bookmarkStart w:id="548" w:name="_Toc14820"/>
      <w:bookmarkStart w:id="549" w:name="_Toc17147"/>
      <w:bookmarkStart w:id="550" w:name="_Toc287607787"/>
      <w:bookmarkStart w:id="551" w:name="_Toc200513167"/>
      <w:bookmarkStart w:id="552" w:name="_Toc224103358"/>
      <w:bookmarkStart w:id="553" w:name="_Toc509218751"/>
      <w:bookmarkStart w:id="554" w:name="_Toc32224"/>
      <w:r>
        <w:rPr>
          <w:rFonts w:hint="eastAsia" w:ascii="宋体" w:hAnsi="宋体" w:cs="宋体"/>
          <w:b w:val="0"/>
          <w:snapToGrid w:val="0"/>
          <w:color w:val="000000" w:themeColor="text1"/>
          <w:sz w:val="21"/>
          <w:szCs w:val="21"/>
          <w:highlight w:val="none"/>
          <w14:textFill>
            <w14:solidFill>
              <w14:schemeClr w14:val="tx1"/>
            </w14:solidFill>
          </w14:textFill>
        </w:rPr>
        <w:t>7.3  履约担保</w:t>
      </w:r>
      <w:bookmarkEnd w:id="544"/>
      <w:bookmarkEnd w:id="545"/>
      <w:bookmarkEnd w:id="546"/>
      <w:bookmarkEnd w:id="547"/>
      <w:bookmarkEnd w:id="548"/>
      <w:bookmarkEnd w:id="549"/>
      <w:bookmarkEnd w:id="550"/>
      <w:bookmarkEnd w:id="551"/>
      <w:bookmarkEnd w:id="552"/>
      <w:bookmarkEnd w:id="553"/>
      <w:bookmarkEnd w:id="554"/>
    </w:p>
    <w:p w14:paraId="2C7A4EA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本项目不提供履约担保。</w:t>
      </w:r>
    </w:p>
    <w:p w14:paraId="0A81D008">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55" w:name="_Toc19646"/>
      <w:bookmarkStart w:id="556" w:name="_Toc509218752"/>
      <w:bookmarkStart w:id="557" w:name="_Toc29088"/>
      <w:bookmarkStart w:id="558" w:name="_Toc28070"/>
      <w:bookmarkStart w:id="559" w:name="_Toc277082594"/>
      <w:bookmarkStart w:id="560" w:name="_Toc287620727"/>
      <w:bookmarkStart w:id="561" w:name="_Toc287607788"/>
      <w:bookmarkStart w:id="562" w:name="_Toc200513168"/>
      <w:bookmarkStart w:id="563" w:name="_Toc430530477"/>
      <w:bookmarkStart w:id="564" w:name="_Toc19630"/>
      <w:bookmarkStart w:id="565" w:name="_Toc224103359"/>
      <w:r>
        <w:rPr>
          <w:rFonts w:hint="eastAsia" w:ascii="宋体" w:hAnsi="宋体" w:cs="宋体"/>
          <w:b w:val="0"/>
          <w:snapToGrid w:val="0"/>
          <w:color w:val="000000" w:themeColor="text1"/>
          <w:sz w:val="21"/>
          <w:szCs w:val="21"/>
          <w:highlight w:val="none"/>
          <w14:textFill>
            <w14:solidFill>
              <w14:schemeClr w14:val="tx1"/>
            </w14:solidFill>
          </w14:textFill>
        </w:rPr>
        <w:t>7.4  签订合同</w:t>
      </w:r>
      <w:bookmarkEnd w:id="555"/>
      <w:bookmarkEnd w:id="556"/>
      <w:bookmarkEnd w:id="557"/>
      <w:bookmarkEnd w:id="558"/>
      <w:bookmarkEnd w:id="559"/>
      <w:bookmarkEnd w:id="560"/>
      <w:bookmarkEnd w:id="561"/>
      <w:bookmarkEnd w:id="562"/>
      <w:bookmarkEnd w:id="563"/>
      <w:bookmarkEnd w:id="564"/>
      <w:bookmarkEnd w:id="565"/>
    </w:p>
    <w:p w14:paraId="2983F2D3">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比选人和中标人应当自中标通知书发出之日起 30 天内，根据竞争性比选文件和中标人的投标文件订立书面合同。中标人放弃中标项目，无正当理由不与比选人签订合同，在签订合同时向比选人提出附加条件或者更改合同实质性内容，比选人取消其中标资格；给比选人造成的损失中标人还应当对</w:t>
      </w:r>
      <w:r>
        <w:rPr>
          <w:rFonts w:hint="eastAsia" w:ascii="宋体" w:hAnsi="宋体" w:cs="宋体"/>
          <w:snapToGrid w:val="0"/>
          <w:color w:val="000000" w:themeColor="text1"/>
          <w:kern w:val="0"/>
          <w:szCs w:val="21"/>
          <w:highlight w:val="none"/>
          <w:lang w:eastAsia="zh-CN"/>
          <w14:textFill>
            <w14:solidFill>
              <w14:schemeClr w14:val="tx1"/>
            </w14:solidFill>
          </w14:textFill>
        </w:rPr>
        <w:t>比选人</w:t>
      </w:r>
      <w:r>
        <w:rPr>
          <w:rFonts w:hint="eastAsia" w:ascii="宋体" w:hAnsi="宋体" w:cs="宋体"/>
          <w:snapToGrid w:val="0"/>
          <w:color w:val="000000" w:themeColor="text1"/>
          <w:kern w:val="0"/>
          <w:szCs w:val="21"/>
          <w:highlight w:val="none"/>
          <w14:textFill>
            <w14:solidFill>
              <w14:schemeClr w14:val="tx1"/>
            </w14:solidFill>
          </w14:textFill>
        </w:rPr>
        <w:t>予以赔偿。</w:t>
      </w:r>
    </w:p>
    <w:p w14:paraId="6C7C69D7">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发出中标通知书后，比选人无正当理由拒签合同的</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给中标人造成损失的，还应当赔偿损失。</w:t>
      </w:r>
    </w:p>
    <w:p w14:paraId="1AA41A86">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566" w:name="_Toc287620728"/>
      <w:bookmarkStart w:id="567" w:name="_Toc277082595"/>
      <w:bookmarkStart w:id="568" w:name="_Toc287607789"/>
      <w:bookmarkStart w:id="569" w:name="_Toc30648"/>
      <w:bookmarkStart w:id="570" w:name="_Toc9728"/>
      <w:bookmarkStart w:id="571" w:name="_Toc509218753"/>
      <w:bookmarkStart w:id="572" w:name="_Toc200513169"/>
      <w:bookmarkStart w:id="573" w:name="_Toc3231"/>
      <w:bookmarkStart w:id="574" w:name="_Toc26316"/>
      <w:bookmarkStart w:id="575" w:name="_Toc430530478"/>
      <w:bookmarkStart w:id="576" w:name="_Toc3371"/>
      <w:bookmarkStart w:id="577" w:name="_Toc224103360"/>
      <w:bookmarkStart w:id="578" w:name="_Toc32116"/>
      <w:r>
        <w:rPr>
          <w:rFonts w:hint="eastAsia" w:ascii="宋体" w:hAnsi="宋体" w:cs="宋体"/>
          <w:bCs w:val="0"/>
          <w:snapToGrid w:val="0"/>
          <w:color w:val="000000" w:themeColor="text1"/>
          <w:sz w:val="21"/>
          <w:szCs w:val="21"/>
          <w:highlight w:val="none"/>
          <w14:textFill>
            <w14:solidFill>
              <w14:schemeClr w14:val="tx1"/>
            </w14:solidFill>
          </w14:textFill>
        </w:rPr>
        <w:t>8.  重新招标和不再招标</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57B95D9A">
      <w:pPr>
        <w:autoSpaceDE w:val="0"/>
        <w:autoSpaceDN w:val="0"/>
        <w:adjustRightInd w:val="0"/>
        <w:snapToGrid w:val="0"/>
        <w:spacing w:line="360" w:lineRule="auto"/>
        <w:ind w:left="359" w:leftChars="171"/>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8.1重新招标的情形</w:t>
      </w:r>
    </w:p>
    <w:p w14:paraId="22B96A59">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有下列情形之一的，比选人将重新招标：</w:t>
      </w:r>
    </w:p>
    <w:p w14:paraId="5E9D95C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（1）投标截止时间止，</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少于3个的；</w:t>
      </w:r>
    </w:p>
    <w:p w14:paraId="0136F741">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（2）经评标委员会评审后否决所有投标的；</w:t>
      </w:r>
    </w:p>
    <w:p w14:paraId="3942134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（3）经评标委员会评审后部分投标被否决，导致有效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的经济、技术等指标仍然具有市场竞争力，能够满足竞争性比选文件要求的，评标委员会可以继续评标并确定中标候选人；</w:t>
      </w:r>
    </w:p>
    <w:p w14:paraId="7C460C8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14:paraId="619DA879">
      <w:pPr>
        <w:autoSpaceDE w:val="0"/>
        <w:autoSpaceDN w:val="0"/>
        <w:adjustRightInd w:val="0"/>
        <w:snapToGrid w:val="0"/>
        <w:spacing w:line="360" w:lineRule="auto"/>
        <w:ind w:firstLine="42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8.2重新招标和不再招标</w:t>
      </w:r>
    </w:p>
    <w:p w14:paraId="1419317E">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重新招标的</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仍然少于3个的，按照招标投标法律法规规定的程序开标和评标。重新招标经评审有有效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p>
    <w:p w14:paraId="733BFEAC">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579" w:name="_Toc22280"/>
      <w:bookmarkStart w:id="580" w:name="_Toc224103363"/>
      <w:bookmarkStart w:id="581" w:name="_Toc277082598"/>
      <w:bookmarkStart w:id="582" w:name="_Toc16641"/>
      <w:bookmarkStart w:id="583" w:name="_Toc287607792"/>
      <w:bookmarkStart w:id="584" w:name="_Toc19937"/>
      <w:bookmarkStart w:id="585" w:name="_Toc14991"/>
      <w:bookmarkStart w:id="586" w:name="_Toc11605"/>
      <w:bookmarkStart w:id="587" w:name="_Toc287620731"/>
      <w:bookmarkStart w:id="588" w:name="_Toc509218756"/>
      <w:bookmarkStart w:id="589" w:name="_Toc430530481"/>
      <w:bookmarkStart w:id="590" w:name="_Toc200513172"/>
      <w:bookmarkStart w:id="591" w:name="_Toc5632"/>
      <w:r>
        <w:rPr>
          <w:rFonts w:hint="eastAsia" w:ascii="宋体" w:hAnsi="宋体" w:cs="宋体"/>
          <w:bCs w:val="0"/>
          <w:snapToGrid w:val="0"/>
          <w:color w:val="000000" w:themeColor="text1"/>
          <w:sz w:val="21"/>
          <w:szCs w:val="21"/>
          <w:highlight w:val="none"/>
          <w14:textFill>
            <w14:solidFill>
              <w14:schemeClr w14:val="tx1"/>
            </w14:solidFill>
          </w14:textFill>
        </w:rPr>
        <w:t>9.  纪律和监督</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03BF1AAE">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592" w:name="_Toc509218757"/>
      <w:bookmarkStart w:id="593" w:name="_Toc12003"/>
      <w:bookmarkStart w:id="594" w:name="_Toc28859"/>
      <w:bookmarkStart w:id="595" w:name="_Toc224103364"/>
      <w:bookmarkStart w:id="596" w:name="_Toc277082599"/>
      <w:bookmarkStart w:id="597" w:name="_Toc287607793"/>
      <w:bookmarkStart w:id="598" w:name="_Toc32326"/>
      <w:bookmarkStart w:id="599" w:name="_Toc287620732"/>
      <w:bookmarkStart w:id="600" w:name="_Toc587"/>
      <w:bookmarkStart w:id="601" w:name="_Toc430530482"/>
      <w:bookmarkStart w:id="602" w:name="_Toc200513173"/>
      <w:r>
        <w:rPr>
          <w:rFonts w:hint="eastAsia" w:ascii="宋体" w:hAnsi="宋体" w:cs="宋体"/>
          <w:b w:val="0"/>
          <w:snapToGrid w:val="0"/>
          <w:color w:val="000000" w:themeColor="text1"/>
          <w:sz w:val="21"/>
          <w:szCs w:val="21"/>
          <w:highlight w:val="none"/>
          <w14:textFill>
            <w14:solidFill>
              <w14:schemeClr w14:val="tx1"/>
            </w14:solidFill>
          </w14:textFill>
        </w:rPr>
        <w:t>9.1  对比选人的纪律要求</w:t>
      </w:r>
      <w:bookmarkEnd w:id="592"/>
      <w:bookmarkEnd w:id="593"/>
      <w:bookmarkEnd w:id="594"/>
      <w:bookmarkEnd w:id="595"/>
      <w:bookmarkEnd w:id="596"/>
      <w:bookmarkEnd w:id="597"/>
      <w:bookmarkEnd w:id="598"/>
      <w:bookmarkEnd w:id="599"/>
      <w:bookmarkEnd w:id="600"/>
      <w:bookmarkEnd w:id="601"/>
      <w:bookmarkEnd w:id="602"/>
    </w:p>
    <w:p w14:paraId="5BD3C76C">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比选人不得泄漏招标投标活动中应当保密的情况和资料，不得与</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串通损害国家利 益、社会公共利益或者他人合法权益，</w:t>
      </w:r>
      <w:r>
        <w:rPr>
          <w:rFonts w:hint="eastAsia" w:ascii="宋体" w:hAnsi="宋体" w:cs="宋体"/>
          <w:color w:val="000000" w:themeColor="text1"/>
          <w:szCs w:val="21"/>
          <w:highlight w:val="none"/>
          <w14:textFill>
            <w14:solidFill>
              <w14:schemeClr w14:val="tx1"/>
            </w14:solidFill>
          </w14:textFill>
        </w:rPr>
        <w:t>禁止比选人与</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串通投标。</w:t>
      </w:r>
    </w:p>
    <w:p w14:paraId="07BF5DC5">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有下列情形之一的，属于比选人与</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串通投标：</w:t>
      </w:r>
    </w:p>
    <w:p w14:paraId="4C9A0410">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（1）比选人在开标前开启投标文件并将有关信息泄露给其他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w:t>
      </w:r>
    </w:p>
    <w:p w14:paraId="1D991478">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（2）比选人直接或者间接向</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泄露标底、评标委员会成员等信息；</w:t>
      </w:r>
    </w:p>
    <w:p w14:paraId="79EDCB23">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（3）比选人明示或者暗示</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压低或者抬高投标报价；</w:t>
      </w:r>
    </w:p>
    <w:p w14:paraId="082BE0AB">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（4）比选人授意</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撤换、修改投标文件；</w:t>
      </w:r>
    </w:p>
    <w:p w14:paraId="00B6DDFC">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（5）比选人明示或者暗示</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为特定</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中标提供方便；</w:t>
      </w:r>
    </w:p>
    <w:p w14:paraId="6DAA2BEC">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（6）比选人与</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为谋求特定</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中标而采取的其他串通行为。</w:t>
      </w:r>
    </w:p>
    <w:p w14:paraId="74334BD6">
      <w:pPr>
        <w:pStyle w:val="5"/>
        <w:snapToGrid w:val="0"/>
        <w:spacing w:line="360" w:lineRule="auto"/>
        <w:ind w:firstLine="420" w:firstLineChars="200"/>
        <w:rPr>
          <w:rFonts w:ascii="宋体" w:hAnsi="宋体" w:cs="宋体"/>
          <w:b w:val="0"/>
          <w:snapToGrid w:val="0"/>
          <w:color w:val="000000" w:themeColor="text1"/>
          <w:sz w:val="21"/>
          <w:szCs w:val="21"/>
          <w:highlight w:val="none"/>
          <w14:textFill>
            <w14:solidFill>
              <w14:schemeClr w14:val="tx1"/>
            </w14:solidFill>
          </w14:textFill>
        </w:rPr>
      </w:pPr>
      <w:bookmarkStart w:id="603" w:name="_Toc5318"/>
      <w:bookmarkStart w:id="604" w:name="_Toc287607794"/>
      <w:bookmarkStart w:id="605" w:name="_Toc287620733"/>
      <w:bookmarkStart w:id="606" w:name="_Toc25359"/>
      <w:bookmarkStart w:id="607" w:name="_Toc509218758"/>
      <w:bookmarkStart w:id="608" w:name="_Toc27207"/>
      <w:bookmarkStart w:id="609" w:name="_Toc277082600"/>
      <w:bookmarkStart w:id="610" w:name="_Toc17972"/>
      <w:bookmarkStart w:id="611" w:name="_Toc430530483"/>
      <w:bookmarkStart w:id="612" w:name="_Toc200513174"/>
      <w:bookmarkStart w:id="613" w:name="_Toc224103365"/>
      <w:r>
        <w:rPr>
          <w:rFonts w:hint="eastAsia" w:ascii="宋体" w:hAnsi="宋体" w:cs="宋体"/>
          <w:b w:val="0"/>
          <w:snapToGrid w:val="0"/>
          <w:color w:val="000000" w:themeColor="text1"/>
          <w:sz w:val="21"/>
          <w:szCs w:val="21"/>
          <w:highlight w:val="none"/>
          <w14:textFill>
            <w14:solidFill>
              <w14:schemeClr w14:val="tx1"/>
            </w14:solidFill>
          </w14:textFill>
        </w:rPr>
        <w:t>9.2  对</w:t>
      </w:r>
      <w:r>
        <w:rPr>
          <w:rFonts w:hint="eastAsia" w:ascii="宋体" w:hAnsi="宋体" w:cs="宋体"/>
          <w:b w:val="0"/>
          <w:snapToGrid w:val="0"/>
          <w:color w:val="000000" w:themeColor="text1"/>
          <w:sz w:val="21"/>
          <w:szCs w:val="21"/>
          <w:highlight w:val="none"/>
          <w:lang w:eastAsia="zh-CN"/>
          <w14:textFill>
            <w14:solidFill>
              <w14:schemeClr w14:val="tx1"/>
            </w14:solidFill>
          </w14:textFill>
        </w:rPr>
        <w:t>投标人</w:t>
      </w:r>
      <w:r>
        <w:rPr>
          <w:rFonts w:hint="eastAsia" w:ascii="宋体" w:hAnsi="宋体" w:cs="宋体"/>
          <w:b w:val="0"/>
          <w:snapToGrid w:val="0"/>
          <w:color w:val="000000" w:themeColor="text1"/>
          <w:sz w:val="21"/>
          <w:szCs w:val="21"/>
          <w:highlight w:val="none"/>
          <w14:textFill>
            <w14:solidFill>
              <w14:schemeClr w14:val="tx1"/>
            </w14:solidFill>
          </w14:textFill>
        </w:rPr>
        <w:t>的纪律要求</w:t>
      </w:r>
      <w:bookmarkEnd w:id="603"/>
      <w:bookmarkEnd w:id="604"/>
      <w:bookmarkEnd w:id="605"/>
      <w:bookmarkEnd w:id="606"/>
      <w:bookmarkEnd w:id="607"/>
      <w:bookmarkEnd w:id="608"/>
      <w:bookmarkEnd w:id="609"/>
      <w:bookmarkEnd w:id="610"/>
      <w:bookmarkEnd w:id="611"/>
      <w:bookmarkEnd w:id="612"/>
      <w:bookmarkEnd w:id="613"/>
    </w:p>
    <w:p w14:paraId="022AB1A0">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在资格审查中自行承诺不得相互串通投标或者与比选人串通投标，不得向比选人或者评标委员会成员行贿谋取中标，不得以他人名义投标或者以其他方式弄虚作假骗取中标；</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不得以任何方式干扰、影响评标工作。否则视为不响应比选文件要求。</w:t>
      </w:r>
    </w:p>
    <w:p w14:paraId="709729F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9.2.1  </w:t>
      </w:r>
      <w:r>
        <w:rPr>
          <w:rFonts w:hint="eastAsia" w:ascii="宋体" w:hAnsi="宋体" w:cs="宋体"/>
          <w:color w:val="000000" w:themeColor="text1"/>
          <w:szCs w:val="21"/>
          <w:highlight w:val="none"/>
          <w14:textFill>
            <w14:solidFill>
              <w14:schemeClr w14:val="tx1"/>
            </w14:solidFill>
          </w14:textFill>
        </w:rPr>
        <w:t>有下列情形之一的，属于</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相互串通投标：</w:t>
      </w:r>
    </w:p>
    <w:p w14:paraId="190B5FDB">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之间协商投标报价等投标文件的实质性内容；</w:t>
      </w:r>
    </w:p>
    <w:p w14:paraId="4A07A0E1">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之间约定中标人；</w:t>
      </w:r>
    </w:p>
    <w:p w14:paraId="3491C0F3">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之间约定部分</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放弃投标或者中标；</w:t>
      </w:r>
    </w:p>
    <w:p w14:paraId="486A9B39">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按照该组织要求协同投标；</w:t>
      </w:r>
    </w:p>
    <w:p w14:paraId="6BD40159">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之间为谋取中标或者排斥特定</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而采取的其他联合行动。</w:t>
      </w:r>
    </w:p>
    <w:p w14:paraId="03409F95">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9.2.2  有下列情形之一的，视为</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相互串通投标：</w:t>
      </w:r>
    </w:p>
    <w:p w14:paraId="3043880F">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的投标文件由同一单位或者个人编制；</w:t>
      </w:r>
    </w:p>
    <w:p w14:paraId="0A81AB16">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委托同一单位或者个人办理投标事宜；</w:t>
      </w:r>
    </w:p>
    <w:p w14:paraId="28A8DA88">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的投标文件载明的项目管理成员为同一人；</w:t>
      </w:r>
    </w:p>
    <w:p w14:paraId="3F44DC94">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的投标文件异常一致或者投标报价呈规律性差异；</w:t>
      </w:r>
    </w:p>
    <w:p w14:paraId="5397A213">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的投标文件相互混装；</w:t>
      </w:r>
    </w:p>
    <w:p w14:paraId="65A02485">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保证金从同一单位或者个人的账户转出；</w:t>
      </w:r>
    </w:p>
    <w:p w14:paraId="61180EAC">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9.2.3  使用通过受让或者租借等方式获取的资格、资质证书投标的，属于以他人名义投标。</w:t>
      </w:r>
    </w:p>
    <w:p w14:paraId="44364CF7">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9.2.4  </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有下列情形之一的，属于以其他方式弄虚作假的行为：</w:t>
      </w:r>
    </w:p>
    <w:p w14:paraId="133C7E15">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（1）使用伪造、变造的许可证件；</w:t>
      </w:r>
    </w:p>
    <w:p w14:paraId="687EBA90">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（2）提供虚假的财务状况或者业绩；</w:t>
      </w:r>
    </w:p>
    <w:p w14:paraId="1E0BAA52">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（3）提供虚假的项目负责人或者主要技术人员简历、劳动关系证明；</w:t>
      </w:r>
    </w:p>
    <w:p w14:paraId="004F3C24">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（4）提供虚假的信用状况；</w:t>
      </w:r>
    </w:p>
    <w:p w14:paraId="7CEFA37B">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（5）其他弄虚作假的行为。</w:t>
      </w:r>
    </w:p>
    <w:p w14:paraId="1914D830">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614" w:name="_Toc12653"/>
      <w:bookmarkStart w:id="615" w:name="_Toc4555"/>
      <w:bookmarkStart w:id="616" w:name="_Toc24998"/>
      <w:bookmarkStart w:id="617" w:name="_Toc30912"/>
      <w:bookmarkStart w:id="618" w:name="_Toc224103366"/>
      <w:bookmarkStart w:id="619" w:name="_Toc200513175"/>
      <w:bookmarkStart w:id="620" w:name="_Toc277082601"/>
      <w:bookmarkStart w:id="621" w:name="_Toc430530484"/>
      <w:bookmarkStart w:id="622" w:name="_Toc509218759"/>
      <w:bookmarkStart w:id="623" w:name="_Toc287620734"/>
      <w:bookmarkStart w:id="624" w:name="_Toc287607795"/>
      <w:r>
        <w:rPr>
          <w:rFonts w:hint="eastAsia" w:ascii="宋体" w:hAnsi="宋体" w:cs="宋体"/>
          <w:b w:val="0"/>
          <w:snapToGrid w:val="0"/>
          <w:color w:val="000000" w:themeColor="text1"/>
          <w:sz w:val="21"/>
          <w:szCs w:val="21"/>
          <w:highlight w:val="none"/>
          <w14:textFill>
            <w14:solidFill>
              <w14:schemeClr w14:val="tx1"/>
            </w14:solidFill>
          </w14:textFill>
        </w:rPr>
        <w:t>9.3  对评标委员会成员的纪律要求</w:t>
      </w:r>
      <w:bookmarkEnd w:id="614"/>
      <w:bookmarkEnd w:id="615"/>
      <w:bookmarkEnd w:id="616"/>
      <w:bookmarkEnd w:id="617"/>
      <w:bookmarkEnd w:id="618"/>
      <w:bookmarkEnd w:id="619"/>
      <w:bookmarkEnd w:id="620"/>
      <w:bookmarkEnd w:id="621"/>
      <w:bookmarkEnd w:id="622"/>
      <w:bookmarkEnd w:id="623"/>
      <w:bookmarkEnd w:id="624"/>
    </w:p>
    <w:p w14:paraId="5FC56F24">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524533A9">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625" w:name="_Toc287607796"/>
      <w:bookmarkStart w:id="626" w:name="_Toc28825"/>
      <w:bookmarkStart w:id="627" w:name="_Toc509218760"/>
      <w:bookmarkStart w:id="628" w:name="_Toc287620735"/>
      <w:bookmarkStart w:id="629" w:name="_Toc277082602"/>
      <w:bookmarkStart w:id="630" w:name="_Toc23652"/>
      <w:bookmarkStart w:id="631" w:name="_Toc430530485"/>
      <w:bookmarkStart w:id="632" w:name="_Toc200513176"/>
      <w:bookmarkStart w:id="633" w:name="_Toc224103367"/>
      <w:bookmarkStart w:id="634" w:name="_Toc1720"/>
      <w:bookmarkStart w:id="635" w:name="_Toc5553"/>
      <w:r>
        <w:rPr>
          <w:rFonts w:hint="eastAsia" w:ascii="宋体" w:hAnsi="宋体" w:cs="宋体"/>
          <w:b w:val="0"/>
          <w:snapToGrid w:val="0"/>
          <w:color w:val="000000" w:themeColor="text1"/>
          <w:sz w:val="21"/>
          <w:szCs w:val="21"/>
          <w:highlight w:val="none"/>
          <w14:textFill>
            <w14:solidFill>
              <w14:schemeClr w14:val="tx1"/>
            </w14:solidFill>
          </w14:textFill>
        </w:rPr>
        <w:t>9.4  对与评标活动有关的工作人员的纪律要求</w:t>
      </w:r>
      <w:bookmarkEnd w:id="625"/>
      <w:bookmarkEnd w:id="626"/>
      <w:bookmarkEnd w:id="627"/>
      <w:bookmarkEnd w:id="628"/>
      <w:bookmarkEnd w:id="629"/>
      <w:bookmarkEnd w:id="630"/>
      <w:bookmarkEnd w:id="631"/>
      <w:bookmarkEnd w:id="632"/>
      <w:bookmarkEnd w:id="633"/>
      <w:bookmarkEnd w:id="634"/>
      <w:bookmarkEnd w:id="635"/>
    </w:p>
    <w:p w14:paraId="7C27B42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D142662">
      <w:pPr>
        <w:pStyle w:val="5"/>
        <w:snapToGrid w:val="0"/>
        <w:spacing w:line="360" w:lineRule="auto"/>
        <w:rPr>
          <w:rFonts w:ascii="宋体" w:hAnsi="宋体" w:cs="宋体"/>
          <w:b w:val="0"/>
          <w:snapToGrid w:val="0"/>
          <w:color w:val="000000" w:themeColor="text1"/>
          <w:sz w:val="21"/>
          <w:szCs w:val="21"/>
          <w:highlight w:val="none"/>
          <w14:textFill>
            <w14:solidFill>
              <w14:schemeClr w14:val="tx1"/>
            </w14:solidFill>
          </w14:textFill>
        </w:rPr>
      </w:pPr>
      <w:bookmarkStart w:id="636" w:name="_Toc12032"/>
      <w:bookmarkStart w:id="637" w:name="_Toc430530486"/>
      <w:bookmarkStart w:id="638" w:name="_Toc509218761"/>
      <w:bookmarkStart w:id="639" w:name="_Toc277082603"/>
      <w:bookmarkStart w:id="640" w:name="_Toc224103368"/>
      <w:bookmarkStart w:id="641" w:name="_Toc645"/>
      <w:bookmarkStart w:id="642" w:name="_Toc17162"/>
      <w:bookmarkStart w:id="643" w:name="_Toc287607797"/>
      <w:bookmarkStart w:id="644" w:name="_Toc287620736"/>
      <w:bookmarkStart w:id="645" w:name="_Toc200513177"/>
      <w:bookmarkStart w:id="646" w:name="_Toc4126"/>
      <w:r>
        <w:rPr>
          <w:rFonts w:hint="eastAsia" w:ascii="宋体" w:hAnsi="宋体" w:cs="宋体"/>
          <w:b w:val="0"/>
          <w:snapToGrid w:val="0"/>
          <w:color w:val="000000" w:themeColor="text1"/>
          <w:sz w:val="21"/>
          <w:szCs w:val="21"/>
          <w:highlight w:val="none"/>
          <w14:textFill>
            <w14:solidFill>
              <w14:schemeClr w14:val="tx1"/>
            </w14:solidFill>
          </w14:textFill>
        </w:rPr>
        <w:t>9.5  投诉</w:t>
      </w:r>
      <w:bookmarkEnd w:id="636"/>
      <w:bookmarkEnd w:id="637"/>
      <w:bookmarkEnd w:id="638"/>
      <w:bookmarkEnd w:id="639"/>
      <w:bookmarkEnd w:id="640"/>
      <w:bookmarkEnd w:id="641"/>
      <w:bookmarkEnd w:id="642"/>
      <w:bookmarkEnd w:id="643"/>
      <w:bookmarkEnd w:id="644"/>
      <w:bookmarkEnd w:id="645"/>
      <w:bookmarkEnd w:id="646"/>
    </w:p>
    <w:p w14:paraId="63FBF779">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和其他利害关系人认为本次招标活动违反法律、法规和规章规定的，有权向有关行政监督部门投诉。</w:t>
      </w:r>
    </w:p>
    <w:p w14:paraId="7C8A9D64">
      <w:pPr>
        <w:pStyle w:val="4"/>
        <w:spacing w:line="360" w:lineRule="auto"/>
        <w:rPr>
          <w:rFonts w:ascii="宋体" w:hAnsi="宋体" w:cs="宋体"/>
          <w:bCs w:val="0"/>
          <w:snapToGrid w:val="0"/>
          <w:color w:val="000000" w:themeColor="text1"/>
          <w:sz w:val="21"/>
          <w:szCs w:val="21"/>
          <w:highlight w:val="none"/>
          <w14:textFill>
            <w14:solidFill>
              <w14:schemeClr w14:val="tx1"/>
            </w14:solidFill>
          </w14:textFill>
        </w:rPr>
      </w:pPr>
      <w:bookmarkStart w:id="647" w:name="_Toc4984"/>
      <w:bookmarkStart w:id="648" w:name="_Toc4793"/>
      <w:bookmarkStart w:id="649" w:name="_Toc4116"/>
      <w:bookmarkStart w:id="650" w:name="_Toc224103369"/>
      <w:bookmarkStart w:id="651" w:name="_Toc25538"/>
      <w:bookmarkStart w:id="652" w:name="_Toc200513178"/>
      <w:bookmarkStart w:id="653" w:name="_Toc509218762"/>
      <w:bookmarkStart w:id="654" w:name="_Toc287607798"/>
      <w:bookmarkStart w:id="655" w:name="_Toc16546"/>
      <w:bookmarkStart w:id="656" w:name="_Toc287620737"/>
      <w:bookmarkStart w:id="657" w:name="_Toc277082604"/>
      <w:bookmarkStart w:id="658" w:name="_Toc430530487"/>
      <w:bookmarkStart w:id="659" w:name="_Toc11050"/>
      <w:r>
        <w:rPr>
          <w:rFonts w:hint="eastAsia" w:ascii="宋体" w:hAnsi="宋体" w:cs="宋体"/>
          <w:bCs w:val="0"/>
          <w:snapToGrid w:val="0"/>
          <w:color w:val="000000" w:themeColor="text1"/>
          <w:sz w:val="21"/>
          <w:szCs w:val="21"/>
          <w:highlight w:val="none"/>
          <w14:textFill>
            <w14:solidFill>
              <w14:schemeClr w14:val="tx1"/>
            </w14:solidFill>
          </w14:textFill>
        </w:rPr>
        <w:t>10. 需要补充的其他内容</w:t>
      </w:r>
      <w:bookmarkEnd w:id="647"/>
      <w:bookmarkEnd w:id="648"/>
      <w:bookmarkEnd w:id="649"/>
      <w:bookmarkEnd w:id="650"/>
      <w:bookmarkEnd w:id="651"/>
      <w:bookmarkEnd w:id="652"/>
      <w:bookmarkEnd w:id="653"/>
      <w:bookmarkEnd w:id="654"/>
      <w:bookmarkEnd w:id="655"/>
      <w:bookmarkEnd w:id="656"/>
      <w:bookmarkEnd w:id="657"/>
      <w:bookmarkEnd w:id="658"/>
      <w:bookmarkEnd w:id="659"/>
    </w:p>
    <w:p w14:paraId="46E90C33">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909F180">
      <w:pPr>
        <w:pStyle w:val="2"/>
        <w:rPr>
          <w:rFonts w:ascii="宋体" w:hAnsi="宋体" w:cs="宋体"/>
          <w:color w:val="000000" w:themeColor="text1"/>
          <w:highlight w:val="none"/>
          <w14:textFill>
            <w14:solidFill>
              <w14:schemeClr w14:val="tx1"/>
            </w14:solidFill>
          </w14:textFill>
        </w:rPr>
        <w:sectPr>
          <w:footerReference r:id="rId4" w:type="default"/>
          <w:pgSz w:w="11906" w:h="16838"/>
          <w:pgMar w:top="1440" w:right="1080" w:bottom="1440" w:left="1080" w:header="851" w:footer="851" w:gutter="0"/>
          <w:pgBorders>
            <w:top w:val="none" w:sz="0" w:space="0"/>
            <w:left w:val="none" w:sz="0" w:space="0"/>
            <w:bottom w:val="none" w:sz="0" w:space="0"/>
            <w:right w:val="none" w:sz="0" w:space="0"/>
          </w:pgBorders>
          <w:pgNumType w:start="1"/>
          <w:cols w:space="720" w:num="1"/>
          <w:docGrid w:type="lines" w:linePitch="312" w:charSpace="0"/>
        </w:sectPr>
      </w:pPr>
    </w:p>
    <w:p w14:paraId="46A8470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14:paraId="22C245A9">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附表一：开标记录表</w:t>
      </w:r>
    </w:p>
    <w:p w14:paraId="51316E34">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14:paraId="7F4BDE7A">
      <w:pPr>
        <w:bidi w:val="0"/>
        <w:jc w:val="center"/>
        <w:rPr>
          <w:rFonts w:hint="eastAsia"/>
          <w:b/>
          <w:bCs/>
          <w:color w:val="000000" w:themeColor="text1"/>
          <w:sz w:val="36"/>
          <w:szCs w:val="36"/>
          <w:highlight w:val="none"/>
          <w14:textFill>
            <w14:solidFill>
              <w14:schemeClr w14:val="tx1"/>
            </w14:solidFill>
          </w14:textFill>
        </w:rPr>
      </w:pPr>
      <w:bookmarkStart w:id="660" w:name="_Toc14210"/>
      <w:bookmarkStart w:id="661" w:name="_Toc23388"/>
      <w:bookmarkStart w:id="662" w:name="_Toc27039"/>
      <w:bookmarkStart w:id="663" w:name="_Toc23512"/>
      <w:r>
        <w:rPr>
          <w:rFonts w:hint="eastAsia"/>
          <w:b/>
          <w:bCs/>
          <w:color w:val="000000" w:themeColor="text1"/>
          <w:sz w:val="36"/>
          <w:szCs w:val="36"/>
          <w:highlight w:val="none"/>
          <w:u w:val="single"/>
          <w14:textFill>
            <w14:solidFill>
              <w14:schemeClr w14:val="tx1"/>
            </w14:solidFill>
          </w14:textFill>
        </w:rPr>
        <w:t>（项目名称）</w:t>
      </w:r>
      <w:r>
        <w:rPr>
          <w:rFonts w:hint="eastAsia"/>
          <w:b/>
          <w:bCs/>
          <w:color w:val="000000" w:themeColor="text1"/>
          <w:sz w:val="36"/>
          <w:szCs w:val="36"/>
          <w:highlight w:val="none"/>
          <w14:textFill>
            <w14:solidFill>
              <w14:schemeClr w14:val="tx1"/>
            </w14:solidFill>
          </w14:textFill>
        </w:rPr>
        <w:t>开标记录表</w:t>
      </w:r>
      <w:bookmarkEnd w:id="660"/>
      <w:bookmarkEnd w:id="661"/>
      <w:bookmarkEnd w:id="662"/>
      <w:bookmarkEnd w:id="663"/>
    </w:p>
    <w:p w14:paraId="06291FC8">
      <w:pPr>
        <w:tabs>
          <w:tab w:val="left" w:pos="2260"/>
          <w:tab w:val="left" w:pos="5060"/>
        </w:tabs>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开标时间：年   月   日   时  分</w:t>
      </w:r>
    </w:p>
    <w:tbl>
      <w:tblPr>
        <w:tblStyle w:val="47"/>
        <w:tblW w:w="1405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2456"/>
        <w:gridCol w:w="2424"/>
        <w:gridCol w:w="2377"/>
        <w:gridCol w:w="1499"/>
        <w:gridCol w:w="1269"/>
        <w:gridCol w:w="1269"/>
        <w:gridCol w:w="1016"/>
        <w:gridCol w:w="1315"/>
      </w:tblGrid>
      <w:tr w14:paraId="071543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6C168C92">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2456" w:type="dxa"/>
            <w:vAlign w:val="center"/>
          </w:tcPr>
          <w:p w14:paraId="798220A8">
            <w:pPr>
              <w:autoSpaceDE w:val="0"/>
              <w:autoSpaceDN w:val="0"/>
              <w:adjustRightInd w:val="0"/>
              <w:snapToGrid w:val="0"/>
              <w:jc w:val="cente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p>
        </w:tc>
        <w:tc>
          <w:tcPr>
            <w:tcW w:w="2424" w:type="dxa"/>
            <w:tcBorders>
              <w:right w:val="single" w:color="auto" w:sz="4" w:space="0"/>
            </w:tcBorders>
            <w:vAlign w:val="center"/>
          </w:tcPr>
          <w:p w14:paraId="33A602A3">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密封情况</w:t>
            </w:r>
          </w:p>
        </w:tc>
        <w:tc>
          <w:tcPr>
            <w:tcW w:w="2377" w:type="dxa"/>
            <w:tcBorders>
              <w:right w:val="single" w:color="auto" w:sz="4" w:space="0"/>
            </w:tcBorders>
            <w:vAlign w:val="center"/>
          </w:tcPr>
          <w:p w14:paraId="259C10EA">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投标总报价</w:t>
            </w:r>
          </w:p>
        </w:tc>
        <w:tc>
          <w:tcPr>
            <w:tcW w:w="1499" w:type="dxa"/>
            <w:vAlign w:val="center"/>
          </w:tcPr>
          <w:p w14:paraId="7DED96AF">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269" w:type="dxa"/>
            <w:vAlign w:val="center"/>
          </w:tcPr>
          <w:p w14:paraId="7C160B45">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工期</w:t>
            </w:r>
          </w:p>
        </w:tc>
        <w:tc>
          <w:tcPr>
            <w:tcW w:w="1269" w:type="dxa"/>
            <w:vAlign w:val="center"/>
          </w:tcPr>
          <w:p w14:paraId="7C19C9B8">
            <w:pPr>
              <w:autoSpaceDE w:val="0"/>
              <w:autoSpaceDN w:val="0"/>
              <w:adjustRightInd w:val="0"/>
              <w:snapToGrid w:val="0"/>
              <w:jc w:val="cente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项目经理</w:t>
            </w:r>
          </w:p>
        </w:tc>
        <w:tc>
          <w:tcPr>
            <w:tcW w:w="1016" w:type="dxa"/>
            <w:vAlign w:val="center"/>
          </w:tcPr>
          <w:p w14:paraId="2375E916">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c>
          <w:tcPr>
            <w:tcW w:w="1315" w:type="dxa"/>
            <w:vAlign w:val="center"/>
          </w:tcPr>
          <w:p w14:paraId="6A1516F9">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r>
      <w:tr w14:paraId="3C3E25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1FE6BF9">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0A6DCE1A">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50C3A0EF">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6B312B4B">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5B9790F8">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157A35AA">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3E21D276">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2A209794">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678E5BF6">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24638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557CA9C">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087608D4">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57FB8D57">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606BA18E">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7357DC98">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61EF4137">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70498286">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66661868">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6C34A83B">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19CC3E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9917C70">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78D0DE7C">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64145CB5">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6CB74976">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3FA6F69C">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35787178">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24A581B3">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43266A94">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6793CF73">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485AAF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6F8824A">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04FAEB9C">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3ADCE811">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626CF98B">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5DFF2592">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5602D010">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1EEA191D">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1188CBB5">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572EC8E1">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6C23D7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29A9621">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0D3C9A4C">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4FA49076">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1602C253">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2FCB3E64">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38D2FF75">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5B933031">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1C895FF7">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2F1CC4E0">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758A30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C133822">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56" w:type="dxa"/>
            <w:vAlign w:val="center"/>
          </w:tcPr>
          <w:p w14:paraId="58ACF8E0">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2424" w:type="dxa"/>
            <w:tcBorders>
              <w:right w:val="single" w:color="auto" w:sz="4" w:space="0"/>
            </w:tcBorders>
            <w:vAlign w:val="center"/>
          </w:tcPr>
          <w:p w14:paraId="6317DB13">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right w:val="single" w:color="auto" w:sz="4" w:space="0"/>
            </w:tcBorders>
            <w:vAlign w:val="center"/>
          </w:tcPr>
          <w:p w14:paraId="7C97D96E">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p>
        </w:tc>
        <w:tc>
          <w:tcPr>
            <w:tcW w:w="1499" w:type="dxa"/>
            <w:vAlign w:val="center"/>
          </w:tcPr>
          <w:p w14:paraId="14B83FE0">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20D559D1">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269" w:type="dxa"/>
            <w:vAlign w:val="center"/>
          </w:tcPr>
          <w:p w14:paraId="01FF85A1">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16" w:type="dxa"/>
            <w:vAlign w:val="center"/>
          </w:tcPr>
          <w:p w14:paraId="0E4AED94">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315" w:type="dxa"/>
            <w:vAlign w:val="center"/>
          </w:tcPr>
          <w:p w14:paraId="3E04BD87">
            <w:pPr>
              <w:autoSpaceDE w:val="0"/>
              <w:autoSpaceDN w:val="0"/>
              <w:adjustRightInd w:val="0"/>
              <w:snapToGrid w:val="0"/>
              <w:jc w:val="left"/>
              <w:rPr>
                <w:rFonts w:ascii="宋体" w:hAnsi="宋体" w:cs="宋体"/>
                <w:snapToGrid w:val="0"/>
                <w:color w:val="000000" w:themeColor="text1"/>
                <w:kern w:val="0"/>
                <w:sz w:val="28"/>
                <w:szCs w:val="28"/>
                <w:highlight w:val="none"/>
                <w14:textFill>
                  <w14:solidFill>
                    <w14:schemeClr w14:val="tx1"/>
                  </w14:solidFill>
                </w14:textFill>
              </w:rPr>
            </w:pPr>
          </w:p>
        </w:tc>
      </w:tr>
      <w:tr w14:paraId="3DAE34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2889" w:type="dxa"/>
            <w:gridSpan w:val="2"/>
            <w:tcBorders>
              <w:bottom w:val="single" w:color="auto" w:sz="4" w:space="0"/>
            </w:tcBorders>
            <w:vAlign w:val="center"/>
          </w:tcPr>
          <w:p w14:paraId="0C0EF02B">
            <w:pPr>
              <w:autoSpaceDE w:val="0"/>
              <w:autoSpaceDN w:val="0"/>
              <w:adjustRightInd w:val="0"/>
              <w:snapToGri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最高限价</w:t>
            </w:r>
          </w:p>
        </w:tc>
        <w:tc>
          <w:tcPr>
            <w:tcW w:w="2424" w:type="dxa"/>
            <w:tcBorders>
              <w:bottom w:val="single" w:color="auto" w:sz="4" w:space="0"/>
            </w:tcBorders>
            <w:vAlign w:val="center"/>
          </w:tcPr>
          <w:p w14:paraId="63BCEE6E">
            <w:pPr>
              <w:autoSpaceDE w:val="0"/>
              <w:autoSpaceDN w:val="0"/>
              <w:adjustRightInd w:val="0"/>
              <w:snapToGrid w:val="0"/>
              <w:jc w:val="left"/>
              <w:rPr>
                <w:rFonts w:ascii="宋体" w:hAnsi="宋体" w:cs="宋体"/>
                <w:snapToGrid w:val="0"/>
                <w:color w:val="000000" w:themeColor="text1"/>
                <w:kern w:val="0"/>
                <w:szCs w:val="21"/>
                <w:highlight w:val="none"/>
                <w14:textFill>
                  <w14:solidFill>
                    <w14:schemeClr w14:val="tx1"/>
                  </w14:solidFill>
                </w14:textFill>
              </w:rPr>
            </w:pPr>
          </w:p>
        </w:tc>
        <w:tc>
          <w:tcPr>
            <w:tcW w:w="2377" w:type="dxa"/>
            <w:tcBorders>
              <w:bottom w:val="single" w:color="auto" w:sz="4" w:space="0"/>
            </w:tcBorders>
            <w:vAlign w:val="center"/>
          </w:tcPr>
          <w:p w14:paraId="722E328E">
            <w:pPr>
              <w:autoSpaceDE w:val="0"/>
              <w:autoSpaceDN w:val="0"/>
              <w:adjustRightInd w:val="0"/>
              <w:snapToGrid w:val="0"/>
              <w:jc w:val="left"/>
              <w:rPr>
                <w:rFonts w:ascii="宋体" w:hAnsi="宋体" w:cs="宋体"/>
                <w:snapToGrid w:val="0"/>
                <w:color w:val="000000" w:themeColor="text1"/>
                <w:kern w:val="0"/>
                <w:szCs w:val="21"/>
                <w:highlight w:val="none"/>
                <w14:textFill>
                  <w14:solidFill>
                    <w14:schemeClr w14:val="tx1"/>
                  </w14:solidFill>
                </w14:textFill>
              </w:rPr>
            </w:pPr>
          </w:p>
        </w:tc>
        <w:tc>
          <w:tcPr>
            <w:tcW w:w="6368" w:type="dxa"/>
            <w:gridSpan w:val="5"/>
            <w:tcBorders>
              <w:bottom w:val="single" w:color="auto" w:sz="4" w:space="0"/>
            </w:tcBorders>
            <w:vAlign w:val="center"/>
          </w:tcPr>
          <w:p w14:paraId="691B9853">
            <w:pPr>
              <w:autoSpaceDE w:val="0"/>
              <w:autoSpaceDN w:val="0"/>
              <w:adjustRightInd w:val="0"/>
              <w:snapToGrid w:val="0"/>
              <w:jc w:val="left"/>
              <w:rPr>
                <w:rFonts w:ascii="宋体" w:hAnsi="宋体" w:cs="宋体"/>
                <w:snapToGrid w:val="0"/>
                <w:color w:val="000000" w:themeColor="text1"/>
                <w:kern w:val="0"/>
                <w:szCs w:val="21"/>
                <w:highlight w:val="none"/>
                <w14:textFill>
                  <w14:solidFill>
                    <w14:schemeClr w14:val="tx1"/>
                  </w14:solidFill>
                </w14:textFill>
              </w:rPr>
            </w:pPr>
          </w:p>
        </w:tc>
      </w:tr>
    </w:tbl>
    <w:p w14:paraId="2B10DA83">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14:paraId="3321AA4B">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                     监标人：                   主持人：                     记录人：</w:t>
      </w:r>
    </w:p>
    <w:p w14:paraId="6E5D5FA5">
      <w:pPr>
        <w:autoSpaceDE w:val="0"/>
        <w:autoSpaceDN w:val="0"/>
        <w:adjustRightInd w:val="0"/>
        <w:snapToGrid w:val="0"/>
        <w:spacing w:beforeLines="20" w:line="360" w:lineRule="auto"/>
        <w:jc w:val="cente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年   月   日</w:t>
      </w:r>
    </w:p>
    <w:p w14:paraId="01114C53">
      <w:pPr>
        <w:pStyle w:val="2"/>
        <w:ind w:right="120"/>
        <w:jc w:val="right"/>
        <w:rPr>
          <w:rFonts w:ascii="宋体" w:hAnsi="宋体" w:cs="宋体"/>
          <w:snapToGrid w:val="0"/>
          <w:color w:val="000000" w:themeColor="text1"/>
          <w:kern w:val="0"/>
          <w:sz w:val="24"/>
          <w:highlight w:val="none"/>
          <w14:textFill>
            <w14:solidFill>
              <w14:schemeClr w14:val="tx1"/>
            </w14:solidFill>
          </w14:textFill>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0E713E54">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14:paraId="45822DC8">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附表二：中标通知书</w:t>
      </w:r>
    </w:p>
    <w:p w14:paraId="4321F53A">
      <w:pPr>
        <w:autoSpaceDE w:val="0"/>
        <w:autoSpaceDN w:val="0"/>
        <w:adjustRightIn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14:paraId="16724E18">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中标通知书</w:t>
      </w:r>
    </w:p>
    <w:p w14:paraId="5B9EB2BF">
      <w:pPr>
        <w:spacing w:line="440" w:lineRule="exact"/>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bookmarkStart w:id="664" w:name="_Toc221950337"/>
      <w:r>
        <w:rPr>
          <w:color w:val="000000" w:themeColor="text1"/>
          <w:szCs w:val="21"/>
          <w:highlight w:val="none"/>
          <w14:textFill>
            <w14:solidFill>
              <w14:schemeClr w14:val="tx1"/>
            </w14:solidFill>
          </w14:textFill>
        </w:rPr>
        <w:t>（中标人名称）：</w:t>
      </w:r>
      <w:bookmarkEnd w:id="664"/>
    </w:p>
    <w:p w14:paraId="408C66E3">
      <w:pPr>
        <w:spacing w:line="440" w:lineRule="exact"/>
        <w:rPr>
          <w:color w:val="000000" w:themeColor="text1"/>
          <w:szCs w:val="21"/>
          <w:highlight w:val="none"/>
          <w14:textFill>
            <w14:solidFill>
              <w14:schemeClr w14:val="tx1"/>
            </w14:solidFill>
          </w14:textFill>
        </w:rPr>
      </w:pPr>
    </w:p>
    <w:p w14:paraId="7DD2D608">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bookmarkStart w:id="665" w:name="_Toc221950338"/>
      <w:r>
        <w:rPr>
          <w:color w:val="000000" w:themeColor="text1"/>
          <w:szCs w:val="21"/>
          <w:highlight w:val="none"/>
          <w14:textFill>
            <w14:solidFill>
              <w14:schemeClr w14:val="tx1"/>
            </w14:solidFill>
          </w14:textFill>
        </w:rPr>
        <w:t>你方于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投标日期</w:t>
      </w:r>
      <w:r>
        <w:rPr>
          <w:color w:val="000000" w:themeColor="text1"/>
          <w:szCs w:val="21"/>
          <w:highlight w:val="none"/>
          <w14:textFill>
            <w14:solidFill>
              <w14:schemeClr w14:val="tx1"/>
            </w14:solidFill>
          </w14:textFill>
        </w:rPr>
        <w:t>）所递交的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（项目名称）投标文件已被我方接受，</w:t>
      </w:r>
      <w:r>
        <w:rPr>
          <w:rFonts w:hint="eastAsia"/>
          <w:color w:val="000000" w:themeColor="text1"/>
          <w:szCs w:val="21"/>
          <w:highlight w:val="none"/>
          <w14:textFill>
            <w14:solidFill>
              <w14:schemeClr w14:val="tx1"/>
            </w14:solidFill>
          </w14:textFill>
        </w:rPr>
        <w:t>并</w:t>
      </w:r>
      <w:r>
        <w:rPr>
          <w:color w:val="000000" w:themeColor="text1"/>
          <w:szCs w:val="21"/>
          <w:highlight w:val="none"/>
          <w14:textFill>
            <w14:solidFill>
              <w14:schemeClr w14:val="tx1"/>
            </w14:solidFill>
          </w14:textFill>
        </w:rPr>
        <w:t>被确定为中标人。</w:t>
      </w:r>
      <w:bookmarkEnd w:id="665"/>
    </w:p>
    <w:p w14:paraId="0A5DF8A5">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bookmarkStart w:id="666" w:name="_Toc221950339"/>
      <w:r>
        <w:rPr>
          <w:color w:val="000000" w:themeColor="text1"/>
          <w:szCs w:val="21"/>
          <w:highlight w:val="none"/>
          <w14:textFill>
            <w14:solidFill>
              <w14:schemeClr w14:val="tx1"/>
            </w14:solidFill>
          </w14:textFill>
        </w:rPr>
        <w:t>中标价：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元。</w:t>
      </w:r>
      <w:bookmarkEnd w:id="666"/>
    </w:p>
    <w:p w14:paraId="7307D1F3">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bookmarkStart w:id="667" w:name="_Toc221950340"/>
      <w:r>
        <w:rPr>
          <w:color w:val="000000" w:themeColor="text1"/>
          <w:szCs w:val="21"/>
          <w:highlight w:val="none"/>
          <w14:textFill>
            <w14:solidFill>
              <w14:schemeClr w14:val="tx1"/>
            </w14:solidFill>
          </w14:textFill>
        </w:rPr>
        <w:t>工期：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日历天。</w:t>
      </w:r>
      <w:bookmarkEnd w:id="667"/>
    </w:p>
    <w:p w14:paraId="53FEEE97">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bookmarkStart w:id="668" w:name="_Toc221950341"/>
      <w:r>
        <w:rPr>
          <w:color w:val="000000" w:themeColor="text1"/>
          <w:szCs w:val="21"/>
          <w:highlight w:val="none"/>
          <w14:textFill>
            <w14:solidFill>
              <w14:schemeClr w14:val="tx1"/>
            </w14:solidFill>
          </w14:textFill>
        </w:rPr>
        <w:t>工程质量：符合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标准。</w:t>
      </w:r>
      <w:bookmarkEnd w:id="668"/>
    </w:p>
    <w:p w14:paraId="257DE045">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bookmarkStart w:id="669" w:name="_Toc221950342"/>
      <w:r>
        <w:rPr>
          <w:color w:val="000000" w:themeColor="text1"/>
          <w:szCs w:val="21"/>
          <w:highlight w:val="none"/>
          <w14:textFill>
            <w14:solidFill>
              <w14:schemeClr w14:val="tx1"/>
            </w14:solidFill>
          </w14:textFill>
        </w:rPr>
        <w:t>项目经理：</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w:t>
      </w:r>
      <w:bookmarkEnd w:id="669"/>
    </w:p>
    <w:p w14:paraId="20418BBE">
      <w:pPr>
        <w:spacing w:line="440" w:lineRule="exact"/>
        <w:rPr>
          <w:rFonts w:ascii="Times New Roman" w:hAnsi="Times New Roman" w:eastAsia="宋体"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bookmarkStart w:id="670" w:name="_Toc221950343"/>
      <w:r>
        <w:rPr>
          <w:color w:val="000000" w:themeColor="text1"/>
          <w:szCs w:val="21"/>
          <w:highlight w:val="none"/>
          <w14:textFill>
            <w14:solidFill>
              <w14:schemeClr w14:val="tx1"/>
            </w14:solidFill>
          </w14:textFill>
        </w:rPr>
        <w:t>请你方在接到本通知书后的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日内到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详细地点</w:t>
      </w:r>
      <w:r>
        <w:rPr>
          <w:color w:val="000000" w:themeColor="text1"/>
          <w:szCs w:val="21"/>
          <w:highlight w:val="none"/>
          <w14:textFill>
            <w14:solidFill>
              <w14:schemeClr w14:val="tx1"/>
            </w14:solidFill>
          </w14:textFill>
        </w:rPr>
        <w:t>）与我方签订施工合同</w:t>
      </w:r>
      <w:r>
        <w:rPr>
          <w:rFonts w:hint="eastAsia"/>
          <w:color w:val="000000" w:themeColor="text1"/>
          <w:szCs w:val="21"/>
          <w:highlight w:val="none"/>
          <w14:textFill>
            <w14:solidFill>
              <w14:schemeClr w14:val="tx1"/>
            </w14:solidFill>
          </w14:textFill>
        </w:rPr>
        <w:t>协议书</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rFonts w:ascii="Times New Roman" w:hAnsi="Times New Roman" w:eastAsia="宋体" w:cs="Times New Roman"/>
          <w:color w:val="000000" w:themeColor="text1"/>
          <w:szCs w:val="21"/>
          <w:highlight w:val="none"/>
          <w14:textFill>
            <w14:solidFill>
              <w14:schemeClr w14:val="tx1"/>
            </w14:solidFill>
          </w14:textFill>
        </w:rPr>
        <w:t>第</w:t>
      </w:r>
      <w:r>
        <w:rPr>
          <w:rFonts w:hint="eastAsia" w:ascii="Times New Roman" w:hAnsi="Times New Roman" w:eastAsia="宋体" w:cs="Times New Roman"/>
          <w:color w:val="000000" w:themeColor="text1"/>
          <w:szCs w:val="21"/>
          <w:highlight w:val="none"/>
          <w14:textFill>
            <w14:solidFill>
              <w14:schemeClr w14:val="tx1"/>
            </w14:solidFill>
          </w14:textFill>
        </w:rPr>
        <w:t>二</w:t>
      </w:r>
      <w:r>
        <w:rPr>
          <w:rFonts w:ascii="Times New Roman" w:hAnsi="Times New Roman" w:eastAsia="宋体" w:cs="Times New Roman"/>
          <w:color w:val="000000" w:themeColor="text1"/>
          <w:szCs w:val="21"/>
          <w:highlight w:val="none"/>
          <w14:textFill>
            <w14:solidFill>
              <w14:schemeClr w14:val="tx1"/>
            </w14:solidFill>
          </w14:textFill>
        </w:rPr>
        <w:t>章投标人须知第7.</w:t>
      </w:r>
      <w:r>
        <w:rPr>
          <w:rFonts w:hint="eastAsia" w:ascii="Times New Roman" w:hAnsi="Times New Roman" w:eastAsia="宋体" w:cs="Times New Roman"/>
          <w:color w:val="000000" w:themeColor="text1"/>
          <w:szCs w:val="21"/>
          <w:highlight w:val="none"/>
          <w14:textFill>
            <w14:solidFill>
              <w14:schemeClr w14:val="tx1"/>
            </w14:solidFill>
          </w14:textFill>
        </w:rPr>
        <w:t>6条</w:t>
      </w:r>
      <w:r>
        <w:rPr>
          <w:rFonts w:ascii="Times New Roman" w:hAnsi="Times New Roman" w:eastAsia="宋体" w:cs="Times New Roman"/>
          <w:color w:val="000000" w:themeColor="text1"/>
          <w:szCs w:val="21"/>
          <w:highlight w:val="none"/>
          <w14:textFill>
            <w14:solidFill>
              <w14:schemeClr w14:val="tx1"/>
            </w14:solidFill>
          </w14:textFill>
        </w:rPr>
        <w:t>规定向我方提交履约担保。</w:t>
      </w:r>
      <w:bookmarkEnd w:id="670"/>
    </w:p>
    <w:p w14:paraId="31F7AF13">
      <w:pPr>
        <w:spacing w:line="44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特此通知。</w:t>
      </w:r>
    </w:p>
    <w:p w14:paraId="7204559C">
      <w:pPr>
        <w:spacing w:line="480" w:lineRule="auto"/>
        <w:rPr>
          <w:rFonts w:ascii="宋体" w:hAnsi="宋体" w:cs="宋体"/>
          <w:color w:val="000000" w:themeColor="text1"/>
          <w:kern w:val="0"/>
          <w:sz w:val="24"/>
          <w:highlight w:val="none"/>
          <w14:textFill>
            <w14:solidFill>
              <w14:schemeClr w14:val="tx1"/>
            </w14:solidFill>
          </w14:textFill>
        </w:rPr>
      </w:pPr>
    </w:p>
    <w:p w14:paraId="42E32A42">
      <w:pPr>
        <w:pStyle w:val="2"/>
        <w:rPr>
          <w:rFonts w:ascii="宋体" w:hAnsi="宋体" w:cs="宋体"/>
          <w:color w:val="000000" w:themeColor="text1"/>
          <w:kern w:val="0"/>
          <w:sz w:val="24"/>
          <w:highlight w:val="none"/>
          <w14:textFill>
            <w14:solidFill>
              <w14:schemeClr w14:val="tx1"/>
            </w14:solidFill>
          </w14:textFill>
        </w:rPr>
      </w:pPr>
    </w:p>
    <w:p w14:paraId="587A3F84">
      <w:pPr>
        <w:rPr>
          <w:rFonts w:ascii="宋体" w:hAnsi="宋体" w:cs="宋体"/>
          <w:color w:val="000000" w:themeColor="text1"/>
          <w:highlight w:val="none"/>
          <w14:textFill>
            <w14:solidFill>
              <w14:schemeClr w14:val="tx1"/>
            </w14:solidFill>
          </w14:textFill>
        </w:rPr>
      </w:pPr>
    </w:p>
    <w:p w14:paraId="5D25C88F">
      <w:pPr>
        <w:spacing w:line="48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49C52F73">
      <w:pPr>
        <w:wordWrap w:val="0"/>
        <w:spacing w:line="48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38527580">
      <w:pPr>
        <w:wordWrap w:val="0"/>
        <w:spacing w:line="480" w:lineRule="auto"/>
        <w:ind w:right="420" w:firstLine="4200" w:firstLineChars="2000"/>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D931287">
      <w:pPr>
        <w:wordWrap w:val="0"/>
        <w:spacing w:line="480" w:lineRule="auto"/>
        <w:ind w:right="420" w:firstLine="4200" w:firstLineChars="20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2D1A8C9F">
      <w:pPr>
        <w:spacing w:line="480" w:lineRule="auto"/>
        <w:jc w:val="right"/>
        <w:rPr>
          <w:rFonts w:ascii="宋体" w:hAnsi="宋体" w:cs="宋体"/>
          <w:color w:val="000000" w:themeColor="text1"/>
          <w:kern w:val="0"/>
          <w:szCs w:val="21"/>
          <w:highlight w:val="none"/>
          <w14:textFill>
            <w14:solidFill>
              <w14:schemeClr w14:val="tx1"/>
            </w14:solidFill>
          </w14:textFill>
        </w:rPr>
      </w:pPr>
    </w:p>
    <w:p w14:paraId="0D35FD16">
      <w:pPr>
        <w:spacing w:line="48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26D4117D">
      <w:pPr>
        <w:pStyle w:val="46"/>
        <w:rPr>
          <w:rFonts w:ascii="宋体" w:hAnsi="宋体" w:cs="宋体"/>
          <w:color w:val="000000" w:themeColor="text1"/>
          <w:kern w:val="0"/>
          <w:szCs w:val="21"/>
          <w:highlight w:val="none"/>
          <w14:textFill>
            <w14:solidFill>
              <w14:schemeClr w14:val="tx1"/>
            </w14:solidFill>
          </w14:textFill>
        </w:rPr>
      </w:pPr>
    </w:p>
    <w:p w14:paraId="2B0F3FA3">
      <w:pPr>
        <w:pStyle w:val="46"/>
        <w:ind w:firstLine="422"/>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br w:type="page"/>
      </w:r>
    </w:p>
    <w:p w14:paraId="538C4818">
      <w:pPr>
        <w:pStyle w:val="3"/>
        <w:spacing w:line="360" w:lineRule="auto"/>
        <w:jc w:val="center"/>
        <w:rPr>
          <w:rFonts w:hint="eastAsia" w:ascii="宋体" w:hAnsi="宋体" w:cs="宋体"/>
          <w:snapToGrid w:val="0"/>
          <w:color w:val="000000" w:themeColor="text1"/>
          <w:kern w:val="0"/>
          <w:sz w:val="36"/>
          <w:szCs w:val="36"/>
          <w:highlight w:val="none"/>
          <w14:textFill>
            <w14:solidFill>
              <w14:schemeClr w14:val="tx1"/>
            </w14:solidFill>
          </w14:textFill>
        </w:rPr>
      </w:pPr>
      <w:bookmarkStart w:id="671" w:name="_Toc13557"/>
      <w:bookmarkStart w:id="672" w:name="_Toc14608"/>
      <w:bookmarkStart w:id="673" w:name="_Toc16888"/>
      <w:bookmarkStart w:id="674" w:name="_Toc6128"/>
      <w:bookmarkStart w:id="675" w:name="_Toc509218774"/>
      <w:r>
        <w:rPr>
          <w:rFonts w:hint="eastAsia" w:ascii="宋体" w:hAnsi="宋体" w:cs="宋体"/>
          <w:snapToGrid w:val="0"/>
          <w:color w:val="000000" w:themeColor="text1"/>
          <w:kern w:val="0"/>
          <w:sz w:val="36"/>
          <w:szCs w:val="36"/>
          <w:highlight w:val="none"/>
          <w14:textFill>
            <w14:solidFill>
              <w14:schemeClr w14:val="tx1"/>
            </w14:solidFill>
          </w14:textFill>
        </w:rPr>
        <w:t>第三章  评标办法（</w:t>
      </w:r>
      <w:r>
        <w:rPr>
          <w:rFonts w:hint="eastAsia" w:ascii="宋体" w:hAnsi="宋体" w:cs="宋体"/>
          <w:snapToGrid w:val="0"/>
          <w:color w:val="000000" w:themeColor="text1"/>
          <w:kern w:val="0"/>
          <w:sz w:val="36"/>
          <w:szCs w:val="36"/>
          <w:highlight w:val="none"/>
          <w:lang w:val="en-US" w:eastAsia="zh-CN"/>
          <w14:textFill>
            <w14:solidFill>
              <w14:schemeClr w14:val="tx1"/>
            </w14:solidFill>
          </w14:textFill>
        </w:rPr>
        <w:t>综合评估法</w:t>
      </w:r>
      <w:r>
        <w:rPr>
          <w:rFonts w:hint="eastAsia" w:ascii="宋体" w:hAnsi="宋体" w:cs="宋体"/>
          <w:snapToGrid w:val="0"/>
          <w:color w:val="000000" w:themeColor="text1"/>
          <w:kern w:val="0"/>
          <w:sz w:val="36"/>
          <w:szCs w:val="36"/>
          <w:highlight w:val="none"/>
          <w14:textFill>
            <w14:solidFill>
              <w14:schemeClr w14:val="tx1"/>
            </w14:solidFill>
          </w14:textFill>
        </w:rPr>
        <w:t>）</w:t>
      </w:r>
      <w:bookmarkEnd w:id="671"/>
      <w:bookmarkEnd w:id="672"/>
      <w:bookmarkEnd w:id="673"/>
      <w:bookmarkEnd w:id="674"/>
      <w:bookmarkEnd w:id="675"/>
      <w:bookmarkStart w:id="676" w:name="_Toc224103383"/>
      <w:bookmarkStart w:id="677" w:name="_Toc430530499"/>
      <w:bookmarkStart w:id="678" w:name="_Toc277082617"/>
      <w:bookmarkStart w:id="679" w:name="_Toc287620750"/>
      <w:bookmarkStart w:id="680" w:name="_Toc287607811"/>
    </w:p>
    <w:p w14:paraId="202B4B8C">
      <w:pPr>
        <w:pStyle w:val="4"/>
        <w:spacing w:before="100" w:after="100" w:line="360" w:lineRule="auto"/>
        <w:jc w:val="center"/>
        <w:rPr>
          <w:rFonts w:hint="eastAsia" w:ascii="宋体" w:hAnsi="宋体" w:eastAsia="宋体" w:cs="宋体"/>
          <w:color w:val="000000" w:themeColor="text1"/>
          <w:highlight w:val="none"/>
          <w14:textFill>
            <w14:solidFill>
              <w14:schemeClr w14:val="tx1"/>
            </w14:solidFill>
          </w14:textFill>
        </w:rPr>
      </w:pPr>
      <w:bookmarkStart w:id="681" w:name="_Toc31480"/>
      <w:bookmarkStart w:id="682" w:name="_Toc509218775"/>
      <w:bookmarkStart w:id="683" w:name="_Toc22591"/>
      <w:bookmarkStart w:id="684" w:name="_Toc14663"/>
      <w:bookmarkStart w:id="685" w:name="_Toc12279"/>
      <w:r>
        <w:rPr>
          <w:rFonts w:hint="eastAsia" w:ascii="宋体" w:hAnsi="宋体" w:eastAsia="宋体" w:cs="宋体"/>
          <w:color w:val="000000" w:themeColor="text1"/>
          <w:highlight w:val="none"/>
          <w14:textFill>
            <w14:solidFill>
              <w14:schemeClr w14:val="tx1"/>
            </w14:solidFill>
          </w14:textFill>
        </w:rPr>
        <w:t>评标办法前附表</w:t>
      </w:r>
      <w:bookmarkEnd w:id="681"/>
      <w:bookmarkEnd w:id="682"/>
      <w:bookmarkEnd w:id="683"/>
      <w:bookmarkEnd w:id="684"/>
      <w:bookmarkEnd w:id="685"/>
    </w:p>
    <w:p w14:paraId="5F317DD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评标办法前附表中的评审内容必须和</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须知前附表中的对应内容一致，若</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须知前附表中未作要求的内容，不得列入评标办法前附表作为评定依据。</w:t>
      </w:r>
    </w:p>
    <w:bookmarkEnd w:id="676"/>
    <w:bookmarkEnd w:id="677"/>
    <w:bookmarkEnd w:id="678"/>
    <w:bookmarkEnd w:id="679"/>
    <w:bookmarkEnd w:id="680"/>
    <w:tbl>
      <w:tblPr>
        <w:tblStyle w:val="47"/>
        <w:tblW w:w="956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12"/>
        <w:gridCol w:w="594"/>
        <w:gridCol w:w="692"/>
        <w:gridCol w:w="202"/>
        <w:gridCol w:w="1112"/>
        <w:gridCol w:w="679"/>
        <w:gridCol w:w="4531"/>
      </w:tblGrid>
      <w:tr w14:paraId="78E7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AE48836">
            <w:pPr>
              <w:keepNext w:val="0"/>
              <w:keepLines w:val="0"/>
              <w:pageBreakBefore w:val="0"/>
              <w:widowControl w:val="0"/>
              <w:kinsoku/>
              <w:wordWrap/>
              <w:overflowPunct/>
              <w:topLinePunct w:val="0"/>
              <w:bidi w:val="0"/>
              <w:snapToGrid w:val="0"/>
              <w:spacing w:line="312" w:lineRule="auto"/>
              <w:jc w:val="center"/>
              <w:textAlignment w:val="auto"/>
              <w:rPr>
                <w:rStyle w:val="338"/>
                <w:b/>
                <w:color w:val="000000" w:themeColor="text1"/>
                <w:kern w:val="0"/>
                <w:szCs w:val="21"/>
                <w:highlight w:val="none"/>
                <w14:textFill>
                  <w14:solidFill>
                    <w14:schemeClr w14:val="tx1"/>
                  </w14:solidFill>
                </w14:textFill>
              </w:rPr>
            </w:pPr>
            <w:r>
              <w:rPr>
                <w:rStyle w:val="338"/>
                <w:b/>
                <w:color w:val="000000" w:themeColor="text1"/>
                <w:kern w:val="0"/>
                <w:szCs w:val="21"/>
                <w:highlight w:val="none"/>
                <w14:textFill>
                  <w14:solidFill>
                    <w14:schemeClr w14:val="tx1"/>
                  </w14:solidFill>
                </w14:textFill>
              </w:rPr>
              <w:t>条款号</w:t>
            </w: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20FA4A20">
            <w:pPr>
              <w:keepNext w:val="0"/>
              <w:keepLines w:val="0"/>
              <w:pageBreakBefore w:val="0"/>
              <w:widowControl w:val="0"/>
              <w:kinsoku/>
              <w:wordWrap/>
              <w:overflowPunct/>
              <w:topLinePunct w:val="0"/>
              <w:bidi w:val="0"/>
              <w:snapToGrid w:val="0"/>
              <w:spacing w:line="312" w:lineRule="auto"/>
              <w:jc w:val="center"/>
              <w:textAlignment w:val="auto"/>
              <w:rPr>
                <w:rStyle w:val="338"/>
                <w:b/>
                <w:color w:val="000000" w:themeColor="text1"/>
                <w:kern w:val="0"/>
                <w:szCs w:val="21"/>
                <w:highlight w:val="none"/>
                <w14:textFill>
                  <w14:solidFill>
                    <w14:schemeClr w14:val="tx1"/>
                  </w14:solidFill>
                </w14:textFill>
              </w:rPr>
            </w:pPr>
            <w:r>
              <w:rPr>
                <w:rStyle w:val="338"/>
                <w:b/>
                <w:color w:val="000000" w:themeColor="text1"/>
                <w:kern w:val="0"/>
                <w:szCs w:val="21"/>
                <w:highlight w:val="none"/>
                <w14:textFill>
                  <w14:solidFill>
                    <w14:schemeClr w14:val="tx1"/>
                  </w14:solidFill>
                </w14:textFill>
              </w:rPr>
              <w:t>评审因素</w:t>
            </w:r>
          </w:p>
        </w:tc>
        <w:tc>
          <w:tcPr>
            <w:tcW w:w="4531" w:type="dxa"/>
            <w:tcBorders>
              <w:top w:val="single" w:color="000000" w:sz="4" w:space="0"/>
              <w:left w:val="single" w:color="000000" w:sz="4" w:space="0"/>
              <w:bottom w:val="single" w:color="000000" w:sz="4" w:space="0"/>
              <w:right w:val="single" w:color="000000" w:sz="4" w:space="0"/>
            </w:tcBorders>
            <w:vAlign w:val="center"/>
          </w:tcPr>
          <w:p w14:paraId="49981549">
            <w:pPr>
              <w:keepNext w:val="0"/>
              <w:keepLines w:val="0"/>
              <w:pageBreakBefore w:val="0"/>
              <w:widowControl w:val="0"/>
              <w:kinsoku/>
              <w:wordWrap/>
              <w:overflowPunct/>
              <w:topLinePunct w:val="0"/>
              <w:bidi w:val="0"/>
              <w:snapToGrid w:val="0"/>
              <w:spacing w:line="312" w:lineRule="auto"/>
              <w:jc w:val="center"/>
              <w:textAlignment w:val="auto"/>
              <w:rPr>
                <w:rStyle w:val="338"/>
                <w:b/>
                <w:color w:val="000000" w:themeColor="text1"/>
                <w:kern w:val="0"/>
                <w:szCs w:val="21"/>
                <w:highlight w:val="none"/>
                <w14:textFill>
                  <w14:solidFill>
                    <w14:schemeClr w14:val="tx1"/>
                  </w14:solidFill>
                </w14:textFill>
              </w:rPr>
            </w:pPr>
            <w:r>
              <w:rPr>
                <w:rStyle w:val="338"/>
                <w:b/>
                <w:color w:val="000000" w:themeColor="text1"/>
                <w:kern w:val="0"/>
                <w:szCs w:val="21"/>
                <w:highlight w:val="none"/>
                <w14:textFill>
                  <w14:solidFill>
                    <w14:schemeClr w14:val="tx1"/>
                  </w14:solidFill>
                </w14:textFill>
              </w:rPr>
              <w:t>评审标准</w:t>
            </w:r>
          </w:p>
        </w:tc>
      </w:tr>
      <w:tr w14:paraId="5BFA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1750" w:type="dxa"/>
            <w:gridSpan w:val="2"/>
            <w:tcBorders>
              <w:top w:val="single" w:color="000000" w:sz="4" w:space="0"/>
              <w:left w:val="single" w:color="000000" w:sz="4" w:space="0"/>
              <w:bottom w:val="single" w:color="000000" w:sz="4" w:space="0"/>
            </w:tcBorders>
            <w:vAlign w:val="center"/>
          </w:tcPr>
          <w:p w14:paraId="3706B8ED">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Style w:val="338"/>
                <w:rFonts w:hint="eastAsia"/>
                <w:color w:val="000000" w:themeColor="text1"/>
                <w:kern w:val="0"/>
                <w:szCs w:val="21"/>
                <w:highlight w:val="none"/>
                <w14:textFill>
                  <w14:solidFill>
                    <w14:schemeClr w14:val="tx1"/>
                  </w14:solidFill>
                </w14:textFill>
              </w:rPr>
              <w:t>1</w:t>
            </w: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0A6A2102">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评标办法</w:t>
            </w:r>
          </w:p>
        </w:tc>
        <w:tc>
          <w:tcPr>
            <w:tcW w:w="4531" w:type="dxa"/>
            <w:tcBorders>
              <w:top w:val="single" w:color="000000" w:sz="4" w:space="0"/>
              <w:left w:val="single" w:color="000000" w:sz="4" w:space="0"/>
              <w:bottom w:val="single" w:color="000000" w:sz="4" w:space="0"/>
              <w:right w:val="single" w:color="000000" w:sz="4" w:space="0"/>
            </w:tcBorders>
            <w:vAlign w:val="center"/>
          </w:tcPr>
          <w:p w14:paraId="6722FCD9">
            <w:pPr>
              <w:keepNext w:val="0"/>
              <w:keepLines w:val="0"/>
              <w:pageBreakBefore w:val="0"/>
              <w:widowControl w:val="0"/>
              <w:kinsoku/>
              <w:wordWrap/>
              <w:overflowPunct/>
              <w:topLinePunct w:val="0"/>
              <w:bidi w:val="0"/>
              <w:snapToGrid w:val="0"/>
              <w:spacing w:line="312" w:lineRule="auto"/>
              <w:textAlignment w:val="auto"/>
              <w:rPr>
                <w:rStyle w:val="338"/>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本次评标采用综合评估法。评标委员会按照本章第 2.2 款规定的评分标准进行打分，按得分由高到低顺序推荐中标候选人</w:t>
            </w:r>
            <w:r>
              <w:rPr>
                <w:rFonts w:hint="eastAsia" w:ascii="宋体" w:hAnsi="宋体"/>
                <w:color w:val="000000" w:themeColor="text1"/>
                <w:kern w:val="0"/>
                <w:highlight w:val="none"/>
                <w14:textFill>
                  <w14:solidFill>
                    <w14:schemeClr w14:val="tx1"/>
                  </w14:solidFill>
                </w14:textFill>
              </w:rPr>
              <w:t>。综合评分相等时，以投标报价低的优先；投标报价相等的由评标委员会按照投标人技术部分得分高者优先的原则排序。</w:t>
            </w:r>
          </w:p>
        </w:tc>
      </w:tr>
      <w:tr w14:paraId="11B5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36E6B719">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2.1.1</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04A9A7EA">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资格评审标准</w:t>
            </w: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78B5E045">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资质条件</w:t>
            </w:r>
          </w:p>
        </w:tc>
        <w:tc>
          <w:tcPr>
            <w:tcW w:w="4531" w:type="dxa"/>
            <w:tcBorders>
              <w:top w:val="single" w:color="000000" w:sz="4" w:space="0"/>
              <w:left w:val="single" w:color="000000" w:sz="4" w:space="0"/>
              <w:bottom w:val="single" w:color="000000" w:sz="4" w:space="0"/>
              <w:right w:val="single" w:color="000000" w:sz="4" w:space="0"/>
            </w:tcBorders>
            <w:vAlign w:val="center"/>
          </w:tcPr>
          <w:p w14:paraId="1018A226">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008A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7602D05">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07A6F6BF">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tcPr>
          <w:p w14:paraId="230EF241">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4531" w:type="dxa"/>
            <w:tcBorders>
              <w:top w:val="single" w:color="000000" w:sz="4" w:space="0"/>
              <w:left w:val="single" w:color="000000" w:sz="4" w:space="0"/>
              <w:bottom w:val="single" w:color="000000" w:sz="4" w:space="0"/>
              <w:right w:val="single" w:color="000000" w:sz="4" w:space="0"/>
            </w:tcBorders>
            <w:vAlign w:val="center"/>
          </w:tcPr>
          <w:p w14:paraId="744B079F">
            <w:pPr>
              <w:keepNext w:val="0"/>
              <w:keepLines w:val="0"/>
              <w:pageBreakBefore w:val="0"/>
              <w:widowControl w:val="0"/>
              <w:kinsoku/>
              <w:wordWrap/>
              <w:overflowPunct/>
              <w:topLinePunct w:val="0"/>
              <w:autoSpaceDE w:val="0"/>
              <w:autoSpaceDN w:val="0"/>
              <w:bidi w:val="0"/>
              <w:adjustRightInd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03C6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4B5ABB34">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40A18EB3">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7B999D03">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安全生产条件</w:t>
            </w:r>
          </w:p>
        </w:tc>
        <w:tc>
          <w:tcPr>
            <w:tcW w:w="4531" w:type="dxa"/>
            <w:tcBorders>
              <w:top w:val="single" w:color="000000" w:sz="4" w:space="0"/>
              <w:left w:val="single" w:color="000000" w:sz="4" w:space="0"/>
              <w:bottom w:val="single" w:color="000000" w:sz="4" w:space="0"/>
              <w:right w:val="single" w:color="000000" w:sz="4" w:space="0"/>
            </w:tcBorders>
            <w:vAlign w:val="center"/>
          </w:tcPr>
          <w:p w14:paraId="3C3B2FDA">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44ED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C1CF81E">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EA4B1CD">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tcPr>
          <w:p w14:paraId="5F5473BB">
            <w:pPr>
              <w:keepNext w:val="0"/>
              <w:keepLines w:val="0"/>
              <w:pageBreakBefore w:val="0"/>
              <w:widowControl w:val="0"/>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投标截止日投标资格情况</w:t>
            </w:r>
          </w:p>
        </w:tc>
        <w:tc>
          <w:tcPr>
            <w:tcW w:w="4531" w:type="dxa"/>
            <w:tcBorders>
              <w:top w:val="single" w:color="000000" w:sz="4" w:space="0"/>
              <w:left w:val="single" w:color="000000" w:sz="4" w:space="0"/>
              <w:bottom w:val="single" w:color="000000" w:sz="4" w:space="0"/>
              <w:right w:val="single" w:color="000000" w:sz="4" w:space="0"/>
            </w:tcBorders>
            <w:vAlign w:val="center"/>
          </w:tcPr>
          <w:p w14:paraId="565EC10E">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763D2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35B483F">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ABDAB66">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tcPr>
          <w:p w14:paraId="124D11CA">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项目经理资格</w:t>
            </w:r>
            <w:r>
              <w:rPr>
                <w:rFonts w:hint="eastAsia" w:ascii="宋体" w:hAnsi="宋体"/>
                <w:color w:val="000000" w:themeColor="text1"/>
                <w:kern w:val="0"/>
                <w:highlight w:val="none"/>
                <w14:textFill>
                  <w14:solidFill>
                    <w14:schemeClr w14:val="tx1"/>
                  </w14:solidFill>
                </w14:textFill>
              </w:rPr>
              <w:t>要求</w:t>
            </w:r>
          </w:p>
        </w:tc>
        <w:tc>
          <w:tcPr>
            <w:tcW w:w="4531" w:type="dxa"/>
            <w:tcBorders>
              <w:top w:val="single" w:color="000000" w:sz="4" w:space="0"/>
              <w:left w:val="single" w:color="000000" w:sz="4" w:space="0"/>
              <w:bottom w:val="single" w:color="000000" w:sz="4" w:space="0"/>
              <w:right w:val="single" w:color="000000" w:sz="4" w:space="0"/>
            </w:tcBorders>
            <w:vAlign w:val="center"/>
          </w:tcPr>
          <w:p w14:paraId="7EF86FEC">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6D287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8964A6B">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46E69B74">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tcPr>
          <w:p w14:paraId="40506AA6">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4531" w:type="dxa"/>
            <w:tcBorders>
              <w:top w:val="single" w:color="000000" w:sz="4" w:space="0"/>
              <w:left w:val="single" w:color="000000" w:sz="4" w:space="0"/>
              <w:bottom w:val="single" w:color="000000" w:sz="4" w:space="0"/>
              <w:right w:val="single" w:color="000000" w:sz="4" w:space="0"/>
            </w:tcBorders>
            <w:vAlign w:val="center"/>
          </w:tcPr>
          <w:p w14:paraId="37373AA3">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符合第二章“投标人须知”第1.4.1项规定</w:t>
            </w:r>
          </w:p>
        </w:tc>
      </w:tr>
      <w:tr w14:paraId="7814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7DB9CF20">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p>
          <w:p w14:paraId="77985B96">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2.1.2</w:t>
            </w:r>
          </w:p>
        </w:tc>
        <w:tc>
          <w:tcPr>
            <w:tcW w:w="812" w:type="dxa"/>
            <w:vMerge w:val="restart"/>
            <w:tcBorders>
              <w:top w:val="single" w:color="000000" w:sz="4" w:space="0"/>
              <w:left w:val="single" w:color="000000" w:sz="4" w:space="0"/>
            </w:tcBorders>
            <w:textDirection w:val="tbRlV"/>
            <w:vAlign w:val="center"/>
          </w:tcPr>
          <w:p w14:paraId="73EF798F">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w:t>
            </w:r>
            <w:r>
              <w:rPr>
                <w:rFonts w:hint="eastAsia" w:ascii="宋体" w:hAnsi="宋体"/>
                <w:color w:val="000000" w:themeColor="text1"/>
                <w:kern w:val="0"/>
                <w:highlight w:val="none"/>
                <w14:textFill>
                  <w14:solidFill>
                    <w14:schemeClr w14:val="tx1"/>
                  </w14:solidFill>
                </w14:textFill>
              </w:rPr>
              <w:t>准</w:t>
            </w: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0A7E6CEF">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投标人名称</w:t>
            </w:r>
          </w:p>
        </w:tc>
        <w:tc>
          <w:tcPr>
            <w:tcW w:w="4531" w:type="dxa"/>
            <w:tcBorders>
              <w:top w:val="single" w:color="000000" w:sz="4" w:space="0"/>
              <w:left w:val="single" w:color="000000" w:sz="4" w:space="0"/>
              <w:bottom w:val="single" w:color="000000" w:sz="4" w:space="0"/>
              <w:right w:val="single" w:color="000000" w:sz="4" w:space="0"/>
            </w:tcBorders>
            <w:vAlign w:val="center"/>
          </w:tcPr>
          <w:p w14:paraId="7218D504">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与营业执照、资质证书、安全生产许可证一致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26BD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265B492E">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left w:val="single" w:color="000000" w:sz="4" w:space="0"/>
            </w:tcBorders>
          </w:tcPr>
          <w:p w14:paraId="7C1D1248">
            <w:pPr>
              <w:keepNext w:val="0"/>
              <w:keepLines w:val="0"/>
              <w:pageBreakBefore w:val="0"/>
              <w:widowControl w:val="0"/>
              <w:kinsoku/>
              <w:wordWrap/>
              <w:overflowPunct/>
              <w:topLinePunct w:val="0"/>
              <w:bidi w:val="0"/>
              <w:snapToGrid w:val="0"/>
              <w:spacing w:line="312" w:lineRule="auto"/>
              <w:jc w:val="left"/>
              <w:textAlignment w:val="auto"/>
              <w:rPr>
                <w:rStyle w:val="338"/>
                <w:color w:val="000000" w:themeColor="text1"/>
                <w:kern w:val="0"/>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3D9260FC">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投标文件格式</w:t>
            </w:r>
          </w:p>
        </w:tc>
        <w:tc>
          <w:tcPr>
            <w:tcW w:w="4531" w:type="dxa"/>
            <w:tcBorders>
              <w:top w:val="single" w:color="000000" w:sz="4" w:space="0"/>
              <w:left w:val="single" w:color="000000" w:sz="4" w:space="0"/>
              <w:bottom w:val="single" w:color="000000" w:sz="4" w:space="0"/>
              <w:right w:val="single" w:color="000000" w:sz="4" w:space="0"/>
            </w:tcBorders>
            <w:vAlign w:val="center"/>
          </w:tcPr>
          <w:p w14:paraId="51061B88">
            <w:pPr>
              <w:keepNext w:val="0"/>
              <w:keepLines w:val="0"/>
              <w:pageBreakBefore w:val="0"/>
              <w:widowControl w:val="0"/>
              <w:kinsoku/>
              <w:wordWrap/>
              <w:overflowPunct/>
              <w:topLinePunct w:val="0"/>
              <w:bidi w:val="0"/>
              <w:spacing w:line="312" w:lineRule="auto"/>
              <w:ind w:firstLine="420" w:firstLineChars="200"/>
              <w:jc w:val="left"/>
              <w:textAlignment w:val="auto"/>
              <w:rPr>
                <w:rStyle w:val="338"/>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符合第二章“投标人须知”第3.7款规定（不含投标函部分）。</w:t>
            </w:r>
          </w:p>
        </w:tc>
      </w:tr>
      <w:tr w14:paraId="310BC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704C217">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left w:val="single" w:color="000000" w:sz="4" w:space="0"/>
            </w:tcBorders>
          </w:tcPr>
          <w:p w14:paraId="746E2907">
            <w:pPr>
              <w:keepNext w:val="0"/>
              <w:keepLines w:val="0"/>
              <w:pageBreakBefore w:val="0"/>
              <w:widowControl w:val="0"/>
              <w:kinsoku/>
              <w:wordWrap/>
              <w:overflowPunct/>
              <w:topLinePunct w:val="0"/>
              <w:bidi w:val="0"/>
              <w:snapToGrid w:val="0"/>
              <w:spacing w:line="312" w:lineRule="auto"/>
              <w:ind w:firstLine="105"/>
              <w:jc w:val="left"/>
              <w:textAlignment w:val="auto"/>
              <w:rPr>
                <w:rStyle w:val="338"/>
                <w:color w:val="000000" w:themeColor="text1"/>
                <w:kern w:val="0"/>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72C3745A">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投标文件的签署</w:t>
            </w:r>
          </w:p>
        </w:tc>
        <w:tc>
          <w:tcPr>
            <w:tcW w:w="4531" w:type="dxa"/>
            <w:tcBorders>
              <w:top w:val="single" w:color="000000" w:sz="4" w:space="0"/>
              <w:left w:val="single" w:color="000000" w:sz="4" w:space="0"/>
              <w:bottom w:val="single" w:color="000000" w:sz="4" w:space="0"/>
              <w:right w:val="single" w:color="000000" w:sz="4" w:space="0"/>
            </w:tcBorders>
            <w:vAlign w:val="center"/>
          </w:tcPr>
          <w:p w14:paraId="35C0560F">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第八章 投标文件格式（不含投标函部分）要求法定代表人或其委托代理人</w:t>
            </w:r>
            <w:r>
              <w:rPr>
                <w:rFonts w:hint="eastAsia" w:ascii="宋体" w:hAnsi="宋体" w:cs="宋体"/>
                <w:color w:val="000000" w:themeColor="text1"/>
                <w:kern w:val="0"/>
                <w:highlight w:val="none"/>
                <w:lang w:eastAsia="zh-CN"/>
                <w14:textFill>
                  <w14:solidFill>
                    <w14:schemeClr w14:val="tx1"/>
                  </w14:solidFill>
                </w14:textFill>
              </w:rPr>
              <w:t>签名</w:t>
            </w:r>
            <w:r>
              <w:rPr>
                <w:rFonts w:hint="eastAsia" w:ascii="宋体" w:hAnsi="宋体" w:cs="宋体"/>
                <w:color w:val="000000" w:themeColor="text1"/>
                <w:kern w:val="0"/>
                <w:highlight w:val="none"/>
                <w14:textFill>
                  <w14:solidFill>
                    <w14:schemeClr w14:val="tx1"/>
                  </w14:solidFill>
                </w14:textFill>
              </w:rPr>
              <w:t>（或盖章）的须齐全。</w:t>
            </w:r>
          </w:p>
          <w:p w14:paraId="1430BE8F">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第八章 投标文件格式（不含投标函部分）要求加盖单位法人章的须齐全。</w:t>
            </w:r>
          </w:p>
        </w:tc>
      </w:tr>
      <w:tr w14:paraId="29AC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5CAB730">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left w:val="single" w:color="000000" w:sz="4" w:space="0"/>
              <w:bottom w:val="single" w:color="000000" w:sz="4" w:space="0"/>
            </w:tcBorders>
          </w:tcPr>
          <w:p w14:paraId="6144753D">
            <w:pPr>
              <w:keepNext w:val="0"/>
              <w:keepLines w:val="0"/>
              <w:pageBreakBefore w:val="0"/>
              <w:widowControl w:val="0"/>
              <w:kinsoku/>
              <w:wordWrap/>
              <w:overflowPunct/>
              <w:topLinePunct w:val="0"/>
              <w:bidi w:val="0"/>
              <w:snapToGrid w:val="0"/>
              <w:spacing w:line="312" w:lineRule="auto"/>
              <w:ind w:firstLine="105"/>
              <w:jc w:val="left"/>
              <w:textAlignment w:val="auto"/>
              <w:rPr>
                <w:rStyle w:val="338"/>
                <w:color w:val="000000" w:themeColor="text1"/>
                <w:kern w:val="0"/>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7BD3A2FA">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4531" w:type="dxa"/>
            <w:tcBorders>
              <w:top w:val="single" w:color="000000" w:sz="4" w:space="0"/>
              <w:left w:val="single" w:color="000000" w:sz="4" w:space="0"/>
              <w:bottom w:val="single" w:color="000000" w:sz="4" w:space="0"/>
              <w:right w:val="single" w:color="000000" w:sz="4" w:space="0"/>
            </w:tcBorders>
            <w:vAlign w:val="center"/>
          </w:tcPr>
          <w:p w14:paraId="388BF558">
            <w:pPr>
              <w:keepNext w:val="0"/>
              <w:keepLines w:val="0"/>
              <w:pageBreakBefore w:val="0"/>
              <w:widowControl w:val="0"/>
              <w:kinsoku/>
              <w:wordWrap/>
              <w:overflowPunct/>
              <w:topLinePunct w:val="0"/>
              <w:bidi w:val="0"/>
              <w:spacing w:line="312" w:lineRule="auto"/>
              <w:ind w:firstLine="420" w:firstLineChars="200"/>
              <w:textAlignment w:val="auto"/>
              <w:rPr>
                <w:rStyle w:val="338"/>
                <w:rFonts w:hint="eastAsia"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投标人法定代表人的委托代理人有法定代表人签署的授权委托书和投标人为其缴纳的养老保险</w:t>
            </w:r>
          </w:p>
        </w:tc>
      </w:tr>
      <w:tr w14:paraId="3903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5B3DBB9A">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p>
          <w:p w14:paraId="6878D771">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p>
          <w:p w14:paraId="448D882C">
            <w:pPr>
              <w:keepNext w:val="0"/>
              <w:keepLines w:val="0"/>
              <w:pageBreakBefore w:val="0"/>
              <w:widowControl w:val="0"/>
              <w:kinsoku/>
              <w:wordWrap/>
              <w:overflowPunct/>
              <w:topLinePunct w:val="0"/>
              <w:bidi w:val="0"/>
              <w:snapToGrid w:val="0"/>
              <w:spacing w:line="312" w:lineRule="auto"/>
              <w:ind w:firstLine="210" w:firstLineChars="100"/>
              <w:textAlignment w:val="auto"/>
              <w:rPr>
                <w:rStyle w:val="338"/>
                <w:color w:val="000000" w:themeColor="text1"/>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2.1.3</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FCC1FC9">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响应性评审标准</w:t>
            </w: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81030">
            <w:pPr>
              <w:keepNext w:val="0"/>
              <w:keepLines w:val="0"/>
              <w:pageBreakBefore w:val="0"/>
              <w:widowControl w:val="0"/>
              <w:kinsoku/>
              <w:wordWrap/>
              <w:overflowPunct/>
              <w:topLinePunct w:val="0"/>
              <w:bidi w:val="0"/>
              <w:spacing w:line="312" w:lineRule="auto"/>
              <w:jc w:val="center"/>
              <w:textAlignment w:val="auto"/>
              <w:rPr>
                <w:rFonts w:ascii="Times New Roman" w:hAnsi="Times New Roman" w:eastAsia="宋体" w:cs="黑体"/>
                <w:color w:val="000000" w:themeColor="text1"/>
                <w:kern w:val="0"/>
                <w:sz w:val="21"/>
                <w:szCs w:val="21"/>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3191">
            <w:pPr>
              <w:keepNext w:val="0"/>
              <w:keepLines w:val="0"/>
              <w:pageBreakBefore w:val="0"/>
              <w:widowControl w:val="0"/>
              <w:kinsoku/>
              <w:wordWrap/>
              <w:overflowPunct/>
              <w:topLinePunct w:val="0"/>
              <w:bidi w:val="0"/>
              <w:spacing w:line="312" w:lineRule="auto"/>
              <w:ind w:firstLine="420" w:firstLineChars="200"/>
              <w:jc w:val="left"/>
              <w:textAlignment w:val="auto"/>
              <w:rPr>
                <w:rFonts w:ascii="Times New Roman" w:hAnsi="Times New Roman" w:eastAsia="宋体" w:cs="黑体"/>
                <w:color w:val="000000" w:themeColor="text1"/>
                <w:kern w:val="0"/>
                <w:sz w:val="21"/>
                <w:szCs w:val="21"/>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符合第二章“投标人须知”第1.3.1项规定</w:t>
            </w:r>
          </w:p>
        </w:tc>
      </w:tr>
      <w:tr w14:paraId="2BEF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4861B40C">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E728ED1">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11377A56">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4531" w:type="dxa"/>
            <w:tcBorders>
              <w:top w:val="single" w:color="000000" w:sz="4" w:space="0"/>
              <w:left w:val="single" w:color="000000" w:sz="4" w:space="0"/>
              <w:bottom w:val="single" w:color="000000" w:sz="4" w:space="0"/>
              <w:right w:val="single" w:color="000000" w:sz="4" w:space="0"/>
            </w:tcBorders>
            <w:vAlign w:val="center"/>
          </w:tcPr>
          <w:p w14:paraId="30FF3580">
            <w:pPr>
              <w:keepNext w:val="0"/>
              <w:keepLines w:val="0"/>
              <w:pageBreakBefore w:val="0"/>
              <w:widowControl w:val="0"/>
              <w:tabs>
                <w:tab w:val="left" w:pos="601"/>
                <w:tab w:val="left" w:pos="669"/>
              </w:tabs>
              <w:kinsoku/>
              <w:wordWrap/>
              <w:overflowPunct/>
              <w:topLinePunct w:val="0"/>
              <w:bidi w:val="0"/>
              <w:snapToGrid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符合第二章投标人须知前附表第3.4</w:t>
            </w:r>
            <w:r>
              <w:rPr>
                <w:rFonts w:hint="eastAsia" w:ascii="宋体" w:hAnsi="宋体"/>
                <w:color w:val="000000" w:themeColor="text1"/>
                <w:kern w:val="0"/>
                <w:szCs w:val="21"/>
                <w:highlight w:val="none"/>
                <w14:textFill>
                  <w14:solidFill>
                    <w14:schemeClr w14:val="tx1"/>
                  </w14:solidFill>
                </w14:textFill>
              </w:rPr>
              <w:t>款</w:t>
            </w:r>
            <w:r>
              <w:rPr>
                <w:rFonts w:ascii="宋体" w:hAnsi="宋体"/>
                <w:color w:val="000000" w:themeColor="text1"/>
                <w:kern w:val="0"/>
                <w:highlight w:val="none"/>
                <w14:textFill>
                  <w14:solidFill>
                    <w14:schemeClr w14:val="tx1"/>
                  </w14:solidFill>
                </w14:textFill>
              </w:rPr>
              <w:t>规定</w:t>
            </w:r>
          </w:p>
        </w:tc>
      </w:tr>
      <w:tr w14:paraId="420C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17E8BAC2">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9F4D4B5">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328DFB87">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4531" w:type="dxa"/>
            <w:tcBorders>
              <w:top w:val="single" w:color="000000" w:sz="4" w:space="0"/>
              <w:left w:val="single" w:color="000000" w:sz="4" w:space="0"/>
              <w:bottom w:val="single" w:color="000000" w:sz="4" w:space="0"/>
              <w:right w:val="single" w:color="000000" w:sz="4" w:space="0"/>
            </w:tcBorders>
            <w:vAlign w:val="center"/>
          </w:tcPr>
          <w:p w14:paraId="3BED76BE">
            <w:pPr>
              <w:keepNext w:val="0"/>
              <w:keepLines w:val="0"/>
              <w:pageBreakBefore w:val="0"/>
              <w:widowControl w:val="0"/>
              <w:kinsoku/>
              <w:wordWrap/>
              <w:overflowPunct/>
              <w:topLinePunct w:val="0"/>
              <w:bidi w:val="0"/>
              <w:spacing w:after="62" w:afterLines="20"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符合第四章“合同条款及格式”规定，投标文件不应附有</w:t>
            </w:r>
            <w:r>
              <w:rPr>
                <w:rFonts w:hint="eastAsia" w:ascii="宋体" w:hAnsi="宋体"/>
                <w:color w:val="000000" w:themeColor="text1"/>
                <w:kern w:val="0"/>
                <w:highlight w:val="none"/>
                <w:lang w:eastAsia="zh-CN"/>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（由投标人承诺，承诺书格式详见第八章投标文件格式。）</w:t>
            </w:r>
          </w:p>
        </w:tc>
      </w:tr>
      <w:tr w14:paraId="6BB7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E4FA529">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35E593F">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265D370C">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技术标准和要求</w:t>
            </w:r>
          </w:p>
        </w:tc>
        <w:tc>
          <w:tcPr>
            <w:tcW w:w="4531" w:type="dxa"/>
            <w:tcBorders>
              <w:top w:val="single" w:color="000000" w:sz="4" w:space="0"/>
              <w:left w:val="single" w:color="000000" w:sz="4" w:space="0"/>
              <w:bottom w:val="single" w:color="000000" w:sz="4" w:space="0"/>
              <w:right w:val="single" w:color="000000" w:sz="4" w:space="0"/>
            </w:tcBorders>
            <w:vAlign w:val="center"/>
          </w:tcPr>
          <w:p w14:paraId="2F449A6D">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lang w:val="en-US" w:eastAsia="zh-CN"/>
                <w14:textFill>
                  <w14:solidFill>
                    <w14:schemeClr w14:val="tx1"/>
                  </w14:solidFill>
                </w14:textFill>
              </w:rPr>
              <w:t>七</w:t>
            </w:r>
            <w:r>
              <w:rPr>
                <w:rFonts w:ascii="宋体" w:hAnsi="宋体"/>
                <w:color w:val="000000" w:themeColor="text1"/>
                <w:kern w:val="0"/>
                <w:highlight w:val="none"/>
                <w14:textFill>
                  <w14:solidFill>
                    <w14:schemeClr w14:val="tx1"/>
                  </w14:solidFill>
                </w14:textFill>
              </w:rPr>
              <w:t>章“技术标准和要求”规定</w:t>
            </w:r>
            <w:r>
              <w:rPr>
                <w:rFonts w:hint="eastAsia" w:ascii="宋体" w:hAnsi="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（由投标人承诺，承诺书格式详见第八章投标文件格式。）</w:t>
            </w:r>
          </w:p>
        </w:tc>
      </w:tr>
      <w:tr w14:paraId="6C497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3910E9C">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18B04EA">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3B5900C9">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4531" w:type="dxa"/>
            <w:tcBorders>
              <w:top w:val="single" w:color="000000" w:sz="4" w:space="0"/>
              <w:left w:val="single" w:color="000000" w:sz="4" w:space="0"/>
              <w:bottom w:val="single" w:color="000000" w:sz="4" w:space="0"/>
              <w:right w:val="single" w:color="000000" w:sz="4" w:space="0"/>
            </w:tcBorders>
            <w:vAlign w:val="center"/>
          </w:tcPr>
          <w:p w14:paraId="17CB9CA2">
            <w:pPr>
              <w:keepNext w:val="0"/>
              <w:keepLines w:val="0"/>
              <w:pageBreakBefore w:val="0"/>
              <w:widowControl w:val="0"/>
              <w:kinsoku/>
              <w:wordWrap/>
              <w:overflowPunct/>
              <w:topLinePunct w:val="0"/>
              <w:bidi w:val="0"/>
              <w:spacing w:after="62" w:afterLines="20" w:line="312" w:lineRule="auto"/>
              <w:ind w:firstLine="420" w:firstLineChars="20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符合第二章“投标人须知”第1.4.3项规定。</w:t>
            </w:r>
          </w:p>
          <w:p w14:paraId="5BC4F8D2">
            <w:pPr>
              <w:keepNext w:val="0"/>
              <w:keepLines w:val="0"/>
              <w:pageBreakBefore w:val="0"/>
              <w:widowControl w:val="0"/>
              <w:kinsoku/>
              <w:wordWrap/>
              <w:overflowPunct/>
              <w:topLinePunct w:val="0"/>
              <w:bidi w:val="0"/>
              <w:spacing w:after="62" w:afterLines="20" w:line="312" w:lineRule="auto"/>
              <w:ind w:firstLine="420" w:firstLineChars="20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0E4EE042">
            <w:pPr>
              <w:keepNext w:val="0"/>
              <w:keepLines w:val="0"/>
              <w:pageBreakBefore w:val="0"/>
              <w:widowControl w:val="0"/>
              <w:kinsoku/>
              <w:wordWrap/>
              <w:overflowPunct/>
              <w:topLinePunct w:val="0"/>
              <w:bidi w:val="0"/>
              <w:spacing w:after="62" w:afterLines="20" w:line="312" w:lineRule="auto"/>
              <w:ind w:firstLine="420" w:firstLineChars="200"/>
              <w:textAlignment w:val="auto"/>
              <w:rPr>
                <w:rStyle w:val="338"/>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0EF32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7984F4BD">
            <w:pPr>
              <w:keepNext w:val="0"/>
              <w:keepLines w:val="0"/>
              <w:pageBreakBefore w:val="0"/>
              <w:widowControl w:val="0"/>
              <w:kinsoku/>
              <w:wordWrap/>
              <w:overflowPunct/>
              <w:topLinePunct w:val="0"/>
              <w:bidi w:val="0"/>
              <w:spacing w:line="312" w:lineRule="auto"/>
              <w:ind w:firstLine="240" w:firstLineChars="100"/>
              <w:jc w:val="center"/>
              <w:textAlignment w:val="auto"/>
              <w:rPr>
                <w:rStyle w:val="338"/>
                <w:color w:val="000000" w:themeColor="text1"/>
                <w:kern w:val="0"/>
                <w:sz w:val="24"/>
                <w:highlight w:val="none"/>
                <w14:textFill>
                  <w14:solidFill>
                    <w14:schemeClr w14:val="tx1"/>
                  </w14:solidFill>
                </w14:textFill>
              </w:rPr>
            </w:pPr>
            <w:r>
              <w:rPr>
                <w:rStyle w:val="338"/>
                <w:color w:val="000000" w:themeColor="text1"/>
                <w:kern w:val="0"/>
                <w:sz w:val="24"/>
                <w:highlight w:val="none"/>
                <w14:textFill>
                  <w14:solidFill>
                    <w14:schemeClr w14:val="tx1"/>
                  </w14:solidFill>
                </w14:textFill>
              </w:rPr>
              <w:t>2.2.1</w:t>
            </w:r>
          </w:p>
        </w:tc>
        <w:tc>
          <w:tcPr>
            <w:tcW w:w="3279" w:type="dxa"/>
            <w:gridSpan w:val="5"/>
            <w:tcBorders>
              <w:top w:val="single" w:color="000000" w:sz="4" w:space="0"/>
              <w:left w:val="single" w:color="000000" w:sz="4" w:space="0"/>
              <w:bottom w:val="single" w:color="000000" w:sz="4" w:space="0"/>
              <w:right w:val="single" w:color="000000" w:sz="4" w:space="0"/>
            </w:tcBorders>
            <w:vAlign w:val="center"/>
          </w:tcPr>
          <w:p w14:paraId="04D8127F">
            <w:pPr>
              <w:keepNext w:val="0"/>
              <w:keepLines w:val="0"/>
              <w:pageBreakBefore w:val="0"/>
              <w:widowControl w:val="0"/>
              <w:kinsoku/>
              <w:wordWrap/>
              <w:overflowPunct/>
              <w:topLinePunct w:val="0"/>
              <w:bidi w:val="0"/>
              <w:snapToGrid w:val="0"/>
              <w:spacing w:line="312" w:lineRule="auto"/>
              <w:ind w:firstLine="315" w:firstLineChars="150"/>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分值构成</w:t>
            </w:r>
          </w:p>
          <w:p w14:paraId="6F62BBA2">
            <w:pPr>
              <w:keepNext w:val="0"/>
              <w:keepLines w:val="0"/>
              <w:pageBreakBefore w:val="0"/>
              <w:widowControl w:val="0"/>
              <w:kinsoku/>
              <w:wordWrap/>
              <w:overflowPunct/>
              <w:topLinePunct w:val="0"/>
              <w:bidi w:val="0"/>
              <w:snapToGrid w:val="0"/>
              <w:spacing w:line="312" w:lineRule="auto"/>
              <w:ind w:firstLine="315" w:firstLineChars="150"/>
              <w:jc w:val="center"/>
              <w:textAlignment w:val="auto"/>
              <w:rPr>
                <w:rStyle w:val="338"/>
                <w:color w:val="000000" w:themeColor="text1"/>
                <w:kern w:val="0"/>
                <w:szCs w:val="21"/>
                <w:highlight w:val="none"/>
                <w14:textFill>
                  <w14:solidFill>
                    <w14:schemeClr w14:val="tx1"/>
                  </w14:solidFill>
                </w14:textFill>
              </w:rPr>
            </w:pPr>
            <w:r>
              <w:rPr>
                <w:rStyle w:val="338"/>
                <w:color w:val="000000" w:themeColor="text1"/>
                <w:kern w:val="0"/>
                <w:szCs w:val="21"/>
                <w:highlight w:val="none"/>
                <w14:textFill>
                  <w14:solidFill>
                    <w14:schemeClr w14:val="tx1"/>
                  </w14:solidFill>
                </w14:textFill>
              </w:rPr>
              <w:t>(总分</w:t>
            </w:r>
            <w:r>
              <w:rPr>
                <w:rStyle w:val="338"/>
                <w:rFonts w:hint="eastAsia"/>
                <w:color w:val="000000" w:themeColor="text1"/>
                <w:kern w:val="0"/>
                <w:szCs w:val="21"/>
                <w:highlight w:val="none"/>
                <w14:textFill>
                  <w14:solidFill>
                    <w14:schemeClr w14:val="tx1"/>
                  </w14:solidFill>
                </w14:textFill>
              </w:rPr>
              <w:t>100</w:t>
            </w:r>
            <w:r>
              <w:rPr>
                <w:rStyle w:val="338"/>
                <w:color w:val="000000" w:themeColor="text1"/>
                <w:kern w:val="0"/>
                <w:szCs w:val="21"/>
                <w:highlight w:val="none"/>
                <w14:textFill>
                  <w14:solidFill>
                    <w14:schemeClr w14:val="tx1"/>
                  </w14:solidFill>
                </w14:textFill>
              </w:rPr>
              <w:t>分)</w:t>
            </w:r>
          </w:p>
        </w:tc>
        <w:tc>
          <w:tcPr>
            <w:tcW w:w="4531" w:type="dxa"/>
            <w:tcBorders>
              <w:top w:val="single" w:color="000000" w:sz="4" w:space="0"/>
              <w:left w:val="single" w:color="000000" w:sz="4" w:space="0"/>
              <w:bottom w:val="single" w:color="000000" w:sz="4" w:space="0"/>
              <w:right w:val="single" w:color="000000" w:sz="4" w:space="0"/>
            </w:tcBorders>
          </w:tcPr>
          <w:p w14:paraId="29588D63">
            <w:pPr>
              <w:keepNext w:val="0"/>
              <w:keepLines w:val="0"/>
              <w:pageBreakBefore w:val="0"/>
              <w:widowControl w:val="0"/>
              <w:numPr>
                <w:ilvl w:val="0"/>
                <w:numId w:val="0"/>
              </w:numPr>
              <w:kinsoku/>
              <w:wordWrap/>
              <w:overflowPunct/>
              <w:topLinePunct w:val="0"/>
              <w:bidi w:val="0"/>
              <w:snapToGrid w:val="0"/>
              <w:spacing w:line="312" w:lineRule="auto"/>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 xml:space="preserve">技术部分 </w:t>
            </w:r>
            <w:r>
              <w:rPr>
                <w:rFonts w:ascii="宋体" w:hAnsi="宋体"/>
                <w:color w:val="000000" w:themeColor="text1"/>
                <w:kern w:val="0"/>
                <w:highlight w:val="none"/>
                <w:u w:val="single"/>
                <w14:textFill>
                  <w14:solidFill>
                    <w14:schemeClr w14:val="tx1"/>
                  </w14:solidFill>
                </w14:textFill>
              </w:rPr>
              <w:t>　</w:t>
            </w:r>
            <w:r>
              <w:rPr>
                <w:rFonts w:hint="eastAsia" w:ascii="宋体" w:hAnsi="宋体"/>
                <w:color w:val="000000" w:themeColor="text1"/>
                <w:kern w:val="0"/>
                <w:highlight w:val="none"/>
                <w:u w:val="single"/>
                <w:lang w:val="en-US" w:eastAsia="zh-CN"/>
                <w14:textFill>
                  <w14:solidFill>
                    <w14:schemeClr w14:val="tx1"/>
                  </w14:solidFill>
                </w14:textFill>
              </w:rPr>
              <w:t>30</w:t>
            </w:r>
            <w:r>
              <w:rPr>
                <w:rFonts w:hint="eastAsia" w:ascii="宋体"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u w:val="single"/>
                <w14:textFill>
                  <w14:solidFill>
                    <w14:schemeClr w14:val="tx1"/>
                  </w14:solidFill>
                </w14:textFill>
              </w:rPr>
              <w:t>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689CEE89">
            <w:pPr>
              <w:keepNext w:val="0"/>
              <w:keepLines w:val="0"/>
              <w:pageBreakBefore w:val="0"/>
              <w:widowControl w:val="0"/>
              <w:kinsoku/>
              <w:wordWrap/>
              <w:overflowPunct/>
              <w:topLinePunct w:val="0"/>
              <w:bidi w:val="0"/>
              <w:snapToGrid w:val="0"/>
              <w:spacing w:line="312" w:lineRule="auto"/>
              <w:textAlignment w:val="auto"/>
              <w:rPr>
                <w:rStyle w:val="338"/>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2.经济部分</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70</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分。</w:t>
            </w:r>
          </w:p>
        </w:tc>
      </w:tr>
      <w:tr w14:paraId="7E17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1750" w:type="dxa"/>
            <w:gridSpan w:val="2"/>
            <w:vMerge w:val="restart"/>
            <w:tcBorders>
              <w:top w:val="single" w:color="000000" w:sz="4" w:space="0"/>
              <w:left w:val="single" w:color="000000" w:sz="4" w:space="0"/>
              <w:right w:val="single" w:color="000000" w:sz="4" w:space="0"/>
            </w:tcBorders>
            <w:vAlign w:val="center"/>
          </w:tcPr>
          <w:p w14:paraId="25D74478">
            <w:pPr>
              <w:pStyle w:val="339"/>
              <w:keepNext w:val="0"/>
              <w:keepLines w:val="0"/>
              <w:pageBreakBefore w:val="0"/>
              <w:widowControl w:val="0"/>
              <w:kinsoku/>
              <w:wordWrap/>
              <w:overflowPunct/>
              <w:topLinePunct w:val="0"/>
              <w:bidi w:val="0"/>
              <w:spacing w:line="312" w:lineRule="auto"/>
              <w:jc w:val="center"/>
              <w:textAlignment w:val="auto"/>
              <w:rPr>
                <w:rStyle w:val="338"/>
                <w:rFonts w:hint="default"/>
                <w:color w:val="000000" w:themeColor="text1"/>
                <w:sz w:val="24"/>
                <w:highlight w:val="none"/>
                <w:lang w:val="en-US"/>
                <w14:textFill>
                  <w14:solidFill>
                    <w14:schemeClr w14:val="tx1"/>
                  </w14:solidFill>
                </w14:textFill>
              </w:rPr>
            </w:pPr>
            <w:r>
              <w:rPr>
                <w:rStyle w:val="338"/>
                <w:color w:val="000000" w:themeColor="text1"/>
                <w:sz w:val="24"/>
                <w:highlight w:val="none"/>
                <w14:textFill>
                  <w14:solidFill>
                    <w14:schemeClr w14:val="tx1"/>
                  </w14:solidFill>
                </w14:textFill>
              </w:rPr>
              <w:t>2.2.2</w:t>
            </w:r>
            <w:r>
              <w:rPr>
                <w:rStyle w:val="338"/>
                <w:rFonts w:hint="eastAsia"/>
                <w:color w:val="000000" w:themeColor="text1"/>
                <w:sz w:val="24"/>
                <w:highlight w:val="none"/>
                <w14:textFill>
                  <w14:solidFill>
                    <w14:schemeClr w14:val="tx1"/>
                  </w14:solidFill>
                </w14:textFill>
              </w:rPr>
              <w:t>（</w:t>
            </w:r>
            <w:r>
              <w:rPr>
                <w:rStyle w:val="338"/>
                <w:rFonts w:hint="eastAsia"/>
                <w:color w:val="000000" w:themeColor="text1"/>
                <w:sz w:val="24"/>
                <w:highlight w:val="none"/>
                <w:lang w:val="en-US"/>
                <w14:textFill>
                  <w14:solidFill>
                    <w14:schemeClr w14:val="tx1"/>
                  </w14:solidFill>
                </w14:textFill>
              </w:rPr>
              <w:t>1）</w:t>
            </w:r>
          </w:p>
        </w:tc>
        <w:tc>
          <w:tcPr>
            <w:tcW w:w="594" w:type="dxa"/>
            <w:vMerge w:val="restart"/>
            <w:tcBorders>
              <w:top w:val="single" w:color="000000" w:sz="4" w:space="0"/>
              <w:left w:val="single" w:color="000000" w:sz="4" w:space="0"/>
              <w:right w:val="single" w:color="auto" w:sz="4" w:space="0"/>
            </w:tcBorders>
            <w:vAlign w:val="center"/>
          </w:tcPr>
          <w:p w14:paraId="3783AD7B">
            <w:pPr>
              <w:keepNext w:val="0"/>
              <w:keepLines w:val="0"/>
              <w:pageBreakBefore w:val="0"/>
              <w:widowControl w:val="0"/>
              <w:tabs>
                <w:tab w:val="left" w:pos="1875"/>
              </w:tabs>
              <w:kinsoku/>
              <w:wordWrap/>
              <w:overflowPunct/>
              <w:topLinePunct w:val="0"/>
              <w:bidi w:val="0"/>
              <w:spacing w:line="312" w:lineRule="auto"/>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  技</w:t>
            </w:r>
          </w:p>
          <w:p w14:paraId="0C6F4227">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术</w:t>
            </w:r>
          </w:p>
          <w:p w14:paraId="02178D34">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部</w:t>
            </w:r>
          </w:p>
          <w:p w14:paraId="25629A14">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w:t>
            </w:r>
          </w:p>
          <w:p w14:paraId="69641B67">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w:t>
            </w:r>
          </w:p>
          <w:p w14:paraId="37EE6DB8">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w:t>
            </w:r>
          </w:p>
          <w:p w14:paraId="07796680">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标</w:t>
            </w:r>
          </w:p>
          <w:p w14:paraId="4DAD3633">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准</w:t>
            </w:r>
          </w:p>
        </w:tc>
        <w:tc>
          <w:tcPr>
            <w:tcW w:w="692" w:type="dxa"/>
            <w:vMerge w:val="restart"/>
            <w:tcBorders>
              <w:top w:val="single" w:color="000000" w:sz="4" w:space="0"/>
              <w:left w:val="single" w:color="auto" w:sz="4" w:space="0"/>
              <w:right w:val="single" w:color="auto" w:sz="4" w:space="0"/>
            </w:tcBorders>
            <w:vAlign w:val="center"/>
          </w:tcPr>
          <w:p w14:paraId="6F003FB6">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技</w:t>
            </w:r>
          </w:p>
          <w:p w14:paraId="2BDBB5E3">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术</w:t>
            </w:r>
          </w:p>
          <w:p w14:paraId="691CD4A5">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方</w:t>
            </w:r>
          </w:p>
          <w:p w14:paraId="6808EF3E">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案</w:t>
            </w:r>
          </w:p>
          <w:p w14:paraId="28D389A8">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评</w:t>
            </w:r>
          </w:p>
          <w:p w14:paraId="4E58490B">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审</w:t>
            </w:r>
          </w:p>
        </w:tc>
        <w:tc>
          <w:tcPr>
            <w:tcW w:w="1993" w:type="dxa"/>
            <w:gridSpan w:val="3"/>
            <w:tcBorders>
              <w:top w:val="single" w:color="000000" w:sz="4" w:space="0"/>
              <w:left w:val="single" w:color="auto" w:sz="4" w:space="0"/>
              <w:bottom w:val="single" w:color="auto" w:sz="4" w:space="0"/>
              <w:right w:val="single" w:color="000000" w:sz="4" w:space="0"/>
            </w:tcBorders>
            <w:vAlign w:val="center"/>
          </w:tcPr>
          <w:p w14:paraId="703C4E85">
            <w:pPr>
              <w:keepNext w:val="0"/>
              <w:keepLines w:val="0"/>
              <w:pageBreakBefore w:val="0"/>
              <w:widowControl w:val="0"/>
              <w:kinsoku/>
              <w:wordWrap/>
              <w:overflowPunct/>
              <w:topLinePunct w:val="0"/>
              <w:bidi w:val="0"/>
              <w:snapToGrid w:val="0"/>
              <w:spacing w:line="312" w:lineRule="auto"/>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技术方案部分形式要求</w:t>
            </w:r>
          </w:p>
        </w:tc>
        <w:tc>
          <w:tcPr>
            <w:tcW w:w="4531" w:type="dxa"/>
            <w:tcBorders>
              <w:top w:val="single" w:color="000000" w:sz="4" w:space="0"/>
              <w:left w:val="single" w:color="000000" w:sz="4" w:space="0"/>
              <w:bottom w:val="single" w:color="auto" w:sz="4" w:space="0"/>
              <w:right w:val="single" w:color="000000" w:sz="4" w:space="0"/>
            </w:tcBorders>
            <w:vAlign w:val="center"/>
          </w:tcPr>
          <w:p w14:paraId="5D063375">
            <w:pPr>
              <w:pStyle w:val="340"/>
              <w:keepNext w:val="0"/>
              <w:keepLines w:val="0"/>
              <w:pageBreakBefore w:val="0"/>
              <w:widowControl w:val="0"/>
              <w:kinsoku/>
              <w:wordWrap/>
              <w:overflowPunct/>
              <w:topLinePunct w:val="0"/>
              <w:bidi w:val="0"/>
              <w:spacing w:line="312" w:lineRule="auto"/>
              <w:ind w:firstLine="210"/>
              <w:textAlignment w:val="auto"/>
              <w:rPr>
                <w:b/>
                <w:bCs/>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须符合第二章投标人须知前附表第3.7.5项技术部分的要求，否则其技术方案为0分，不再对技术方案的其他评分标准进行评审。</w:t>
            </w:r>
          </w:p>
        </w:tc>
      </w:tr>
      <w:tr w14:paraId="2FBF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1750" w:type="dxa"/>
            <w:gridSpan w:val="2"/>
            <w:vMerge w:val="continue"/>
            <w:tcBorders>
              <w:left w:val="single" w:color="000000" w:sz="4" w:space="0"/>
              <w:right w:val="single" w:color="000000" w:sz="4" w:space="0"/>
            </w:tcBorders>
            <w:vAlign w:val="center"/>
          </w:tcPr>
          <w:p w14:paraId="6ECB936E">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3E4208A2">
            <w:pPr>
              <w:keepNext w:val="0"/>
              <w:keepLines w:val="0"/>
              <w:pageBreakBefore w:val="0"/>
              <w:widowControl w:val="0"/>
              <w:tabs>
                <w:tab w:val="left" w:pos="1875"/>
              </w:tabs>
              <w:kinsoku/>
              <w:wordWrap/>
              <w:overflowPunct/>
              <w:topLinePunct w:val="0"/>
              <w:bidi w:val="0"/>
              <w:spacing w:line="312" w:lineRule="auto"/>
              <w:jc w:val="center"/>
              <w:textAlignment w:val="auto"/>
              <w:rPr>
                <w:rFonts w:hint="eastAsia"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5AAA1242">
            <w:pPr>
              <w:keepNext w:val="0"/>
              <w:keepLines w:val="0"/>
              <w:pageBreakBefore w:val="0"/>
              <w:widowControl w:val="0"/>
              <w:tabs>
                <w:tab w:val="left" w:pos="1875"/>
              </w:tabs>
              <w:kinsoku/>
              <w:wordWrap/>
              <w:overflowPunct/>
              <w:topLinePunct w:val="0"/>
              <w:bidi w:val="0"/>
              <w:spacing w:line="312" w:lineRule="auto"/>
              <w:jc w:val="center"/>
              <w:textAlignment w:val="auto"/>
              <w:rPr>
                <w:rFonts w:hint="eastAsia"/>
                <w:color w:val="000000" w:themeColor="text1"/>
                <w:kern w:val="0"/>
                <w:highlight w:val="none"/>
                <w14:textFill>
                  <w14:solidFill>
                    <w14:schemeClr w14:val="tx1"/>
                  </w14:solidFill>
                </w14:textFill>
              </w:rPr>
            </w:pPr>
          </w:p>
        </w:tc>
        <w:tc>
          <w:tcPr>
            <w:tcW w:w="1993" w:type="dxa"/>
            <w:gridSpan w:val="3"/>
            <w:tcBorders>
              <w:top w:val="single" w:color="000000" w:sz="4" w:space="0"/>
              <w:left w:val="single" w:color="auto" w:sz="4" w:space="0"/>
              <w:bottom w:val="single" w:color="auto" w:sz="4" w:space="0"/>
              <w:right w:val="single" w:color="000000" w:sz="4" w:space="0"/>
            </w:tcBorders>
            <w:vAlign w:val="center"/>
          </w:tcPr>
          <w:p w14:paraId="62611704">
            <w:pPr>
              <w:keepNext w:val="0"/>
              <w:keepLines w:val="0"/>
              <w:pageBreakBefore w:val="0"/>
              <w:widowControl w:val="0"/>
              <w:kinsoku/>
              <w:wordWrap/>
              <w:overflowPunct/>
              <w:topLinePunct w:val="0"/>
              <w:bidi w:val="0"/>
              <w:snapToGrid w:val="0"/>
              <w:spacing w:line="312" w:lineRule="auto"/>
              <w:textAlignment w:val="auto"/>
              <w:rPr>
                <w:rFonts w:hint="eastAsia"/>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内容完整性和编制水平</w:t>
            </w:r>
          </w:p>
        </w:tc>
        <w:tc>
          <w:tcPr>
            <w:tcW w:w="4531" w:type="dxa"/>
            <w:tcBorders>
              <w:top w:val="single" w:color="000000" w:sz="4" w:space="0"/>
              <w:left w:val="single" w:color="000000" w:sz="4" w:space="0"/>
              <w:bottom w:val="single" w:color="auto" w:sz="4" w:space="0"/>
              <w:right w:val="single" w:color="000000" w:sz="4" w:space="0"/>
            </w:tcBorders>
            <w:vAlign w:val="center"/>
          </w:tcPr>
          <w:p w14:paraId="1E0B1A91">
            <w:pPr>
              <w:pStyle w:val="340"/>
              <w:keepNext w:val="0"/>
              <w:keepLines w:val="0"/>
              <w:pageBreakBefore w:val="0"/>
              <w:widowControl w:val="0"/>
              <w:kinsoku/>
              <w:wordWrap/>
              <w:overflowPunct/>
              <w:topLinePunct w:val="0"/>
              <w:bidi w:val="0"/>
              <w:spacing w:line="312" w:lineRule="auto"/>
              <w:ind w:firstLine="211"/>
              <w:textAlignment w:val="auto"/>
              <w:rPr>
                <w:rFonts w:ascii="宋体" w:hAnsi="宋体"/>
                <w:color w:val="000000" w:themeColor="text1"/>
                <w:highlight w:val="none"/>
                <w:u w:val="single"/>
                <w14:textFill>
                  <w14:solidFill>
                    <w14:schemeClr w14:val="tx1"/>
                  </w14:solidFill>
                </w14:textFill>
              </w:rPr>
            </w:pP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u w:val="single"/>
                <w:lang w:val="en-US" w:eastAsia="zh-CN"/>
                <w14:textFill>
                  <w14:solidFill>
                    <w14:schemeClr w14:val="tx1"/>
                  </w14:solidFill>
                </w14:textFill>
              </w:rPr>
              <w:t>3分</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编制要点：对项目总体认识全面深刻，论述完整清晰，总体组织符合实际、总体设计符合规范，施工总进度计划合理，综合措施科学。</w:t>
            </w:r>
          </w:p>
          <w:p w14:paraId="199C53A7">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优得3分-2.0分，良得2.0分（不含）-1.0分，一般得1.0分（不含）-0.5分，差得0.5分（不含）-0分。</w:t>
            </w:r>
            <w:r>
              <w:rPr>
                <w:rFonts w:ascii="宋体" w:hAnsi="宋体"/>
                <w:color w:val="000000" w:themeColor="text1"/>
                <w:highlight w:val="none"/>
                <w:u w:val="single"/>
                <w14:textFill>
                  <w14:solidFill>
                    <w14:schemeClr w14:val="tx1"/>
                  </w14:solidFill>
                </w14:textFill>
              </w:rPr>
              <w:t xml:space="preserve"> </w:t>
            </w:r>
          </w:p>
        </w:tc>
      </w:tr>
      <w:tr w14:paraId="1902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6" w:hRule="atLeast"/>
        </w:trPr>
        <w:tc>
          <w:tcPr>
            <w:tcW w:w="1750" w:type="dxa"/>
            <w:gridSpan w:val="2"/>
            <w:vMerge w:val="continue"/>
            <w:tcBorders>
              <w:left w:val="single" w:color="000000" w:sz="4" w:space="0"/>
              <w:right w:val="single" w:color="000000" w:sz="4" w:space="0"/>
            </w:tcBorders>
            <w:vAlign w:val="center"/>
          </w:tcPr>
          <w:p w14:paraId="34EDCB49">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09D55C2F">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5697F7BA">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bottom w:val="single" w:color="auto" w:sz="4" w:space="0"/>
              <w:right w:val="single" w:color="000000" w:sz="4" w:space="0"/>
            </w:tcBorders>
            <w:vAlign w:val="center"/>
          </w:tcPr>
          <w:p w14:paraId="10CEE6B7">
            <w:pPr>
              <w:keepNext w:val="0"/>
              <w:keepLines w:val="0"/>
              <w:pageBreakBefore w:val="0"/>
              <w:widowControl w:val="0"/>
              <w:kinsoku/>
              <w:wordWrap/>
              <w:overflowPunct/>
              <w:topLinePunct w:val="0"/>
              <w:bidi w:val="0"/>
              <w:snapToGrid w:val="0"/>
              <w:spacing w:line="312" w:lineRule="auto"/>
              <w:textAlignment w:val="auto"/>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施工方案与技术措施</w:t>
            </w:r>
          </w:p>
        </w:tc>
        <w:tc>
          <w:tcPr>
            <w:tcW w:w="4531" w:type="dxa"/>
            <w:tcBorders>
              <w:top w:val="single" w:color="auto" w:sz="4" w:space="0"/>
              <w:left w:val="single" w:color="000000" w:sz="4" w:space="0"/>
              <w:bottom w:val="single" w:color="auto" w:sz="4" w:space="0"/>
              <w:right w:val="single" w:color="000000" w:sz="4" w:space="0"/>
            </w:tcBorders>
            <w:vAlign w:val="center"/>
          </w:tcPr>
          <w:p w14:paraId="04C4D7C4">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lang w:val="en-US" w:eastAsia="zh-CN"/>
                <w14:textFill>
                  <w14:solidFill>
                    <w14:schemeClr w14:val="tx1"/>
                  </w14:solidFill>
                </w14:textFill>
              </w:rPr>
              <w:t>5分</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编制要点：对工程认识深刻、表述全面准确，施工总体布置合理，满足施工条件要求，施工关键技术符合设计及相关规范，施工工艺把握准确。结合重要节点工程， 进行详细的分析并提出切实可行的施工技术措施。</w:t>
            </w:r>
          </w:p>
          <w:p w14:paraId="46A96161">
            <w:pPr>
              <w:pStyle w:val="340"/>
              <w:keepNext w:val="0"/>
              <w:keepLines w:val="0"/>
              <w:pageBreakBefore w:val="0"/>
              <w:widowControl w:val="0"/>
              <w:kinsoku/>
              <w:wordWrap/>
              <w:overflowPunct/>
              <w:topLinePunct w:val="0"/>
              <w:bidi w:val="0"/>
              <w:spacing w:line="312" w:lineRule="auto"/>
              <w:ind w:firstLine="210"/>
              <w:textAlignment w:val="auto"/>
              <w:rPr>
                <w:b/>
                <w:bCs/>
                <w:color w:val="000000" w:themeColor="text1"/>
                <w:szCs w:val="2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优得5分-3.5分，良得3.5分（不含）-2.0分，一般得2.0分（不含）-1.0分，差得1.0分（不含）-0分。</w:t>
            </w:r>
            <w:r>
              <w:rPr>
                <w:rFonts w:ascii="宋体" w:hAnsi="宋体"/>
                <w:color w:val="000000" w:themeColor="text1"/>
                <w:highlight w:val="none"/>
                <w:u w:val="single"/>
                <w14:textFill>
                  <w14:solidFill>
                    <w14:schemeClr w14:val="tx1"/>
                  </w14:solidFill>
                </w14:textFill>
              </w:rPr>
              <w:t xml:space="preserve"> </w:t>
            </w:r>
          </w:p>
        </w:tc>
      </w:tr>
      <w:tr w14:paraId="6DA5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2A7B781B">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28922EE8">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3EF6922B">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bottom w:val="single" w:color="auto" w:sz="4" w:space="0"/>
              <w:right w:val="single" w:color="000000" w:sz="4" w:space="0"/>
            </w:tcBorders>
            <w:vAlign w:val="center"/>
          </w:tcPr>
          <w:p w14:paraId="5DC6EE0F">
            <w:pPr>
              <w:keepNext w:val="0"/>
              <w:keepLines w:val="0"/>
              <w:pageBreakBefore w:val="0"/>
              <w:widowControl w:val="0"/>
              <w:kinsoku/>
              <w:wordWrap/>
              <w:overflowPunct/>
              <w:topLinePunct w:val="0"/>
              <w:bidi w:val="0"/>
              <w:snapToGrid w:val="0"/>
              <w:spacing w:line="312" w:lineRule="auto"/>
              <w:jc w:val="left"/>
              <w:textAlignment w:val="auto"/>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质量管理体系与措施</w:t>
            </w:r>
          </w:p>
        </w:tc>
        <w:tc>
          <w:tcPr>
            <w:tcW w:w="4531" w:type="dxa"/>
            <w:tcBorders>
              <w:top w:val="single" w:color="auto" w:sz="4" w:space="0"/>
              <w:left w:val="single" w:color="000000" w:sz="4" w:space="0"/>
              <w:bottom w:val="single" w:color="auto" w:sz="4" w:space="0"/>
              <w:right w:val="single" w:color="000000" w:sz="4" w:space="0"/>
            </w:tcBorders>
            <w:vAlign w:val="center"/>
          </w:tcPr>
          <w:p w14:paraId="04224CB1">
            <w:pPr>
              <w:pStyle w:val="340"/>
              <w:keepNext w:val="0"/>
              <w:keepLines w:val="0"/>
              <w:pageBreakBefore w:val="0"/>
              <w:widowControl w:val="0"/>
              <w:kinsoku/>
              <w:wordWrap/>
              <w:overflowPunct/>
              <w:topLinePunct w:val="0"/>
              <w:bidi w:val="0"/>
              <w:spacing w:line="312" w:lineRule="auto"/>
              <w:ind w:firstLine="211"/>
              <w:textAlignment w:val="auto"/>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lang w:val="en-US" w:eastAsia="zh-CN"/>
                <w14:textFill>
                  <w14:solidFill>
                    <w14:schemeClr w14:val="tx1"/>
                  </w14:solidFill>
                </w14:textFill>
              </w:rPr>
              <w:t>5分</w:t>
            </w:r>
            <w:r>
              <w:rPr>
                <w:rFonts w:ascii="宋体" w:hAnsi="宋体"/>
                <w:b/>
                <w:bCs/>
                <w:color w:val="000000" w:themeColor="text1"/>
                <w:highlight w:val="none"/>
                <w:u w:val="none"/>
                <w14:textFill>
                  <w14:solidFill>
                    <w14:schemeClr w14:val="tx1"/>
                  </w14:solidFill>
                </w14:textFill>
              </w:rPr>
              <w:t xml:space="preserve"> </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编制要点：质量管理体系完善、健全，工程质量保证计划全面细致、措施具体，责任到人。</w:t>
            </w:r>
          </w:p>
          <w:p w14:paraId="309937C2">
            <w:pPr>
              <w:pStyle w:val="340"/>
              <w:keepNext w:val="0"/>
              <w:keepLines w:val="0"/>
              <w:pageBreakBefore w:val="0"/>
              <w:widowControl w:val="0"/>
              <w:kinsoku/>
              <w:wordWrap/>
              <w:overflowPunct/>
              <w:topLinePunct w:val="0"/>
              <w:bidi w:val="0"/>
              <w:spacing w:line="312" w:lineRule="auto"/>
              <w:ind w:firstLine="210"/>
              <w:textAlignment w:val="auto"/>
              <w:rPr>
                <w:b/>
                <w:bCs/>
                <w:color w:val="000000" w:themeColor="text1"/>
                <w:szCs w:val="2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优得5分-3.5分，良得3.5分（不含）-2.0分，一般得2.0分（不含）-1.0分，差得1.0分（不含）-0分。</w:t>
            </w:r>
            <w:r>
              <w:rPr>
                <w:rFonts w:ascii="宋体" w:hAnsi="宋体"/>
                <w:color w:val="000000" w:themeColor="text1"/>
                <w:highlight w:val="none"/>
                <w:u w:val="single"/>
                <w14:textFill>
                  <w14:solidFill>
                    <w14:schemeClr w14:val="tx1"/>
                  </w14:solidFill>
                </w14:textFill>
              </w:rPr>
              <w:t xml:space="preserve"> </w:t>
            </w:r>
          </w:p>
        </w:tc>
      </w:tr>
      <w:tr w14:paraId="2285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atLeast"/>
        </w:trPr>
        <w:tc>
          <w:tcPr>
            <w:tcW w:w="1750" w:type="dxa"/>
            <w:gridSpan w:val="2"/>
            <w:vMerge w:val="continue"/>
            <w:tcBorders>
              <w:left w:val="single" w:color="000000" w:sz="4" w:space="0"/>
              <w:right w:val="single" w:color="000000" w:sz="4" w:space="0"/>
            </w:tcBorders>
            <w:vAlign w:val="center"/>
          </w:tcPr>
          <w:p w14:paraId="7A3E7D30">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001373E4">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79B503EA">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bottom w:val="single" w:color="auto" w:sz="4" w:space="0"/>
              <w:right w:val="single" w:color="000000" w:sz="4" w:space="0"/>
            </w:tcBorders>
            <w:vAlign w:val="center"/>
          </w:tcPr>
          <w:p w14:paraId="7DDB850E">
            <w:pPr>
              <w:keepNext w:val="0"/>
              <w:keepLines w:val="0"/>
              <w:pageBreakBefore w:val="0"/>
              <w:widowControl w:val="0"/>
              <w:kinsoku/>
              <w:wordWrap/>
              <w:overflowPunct/>
              <w:topLinePunct w:val="0"/>
              <w:bidi w:val="0"/>
              <w:snapToGrid w:val="0"/>
              <w:spacing w:line="312" w:lineRule="auto"/>
              <w:jc w:val="left"/>
              <w:textAlignment w:val="auto"/>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安全管理体系与措施</w:t>
            </w:r>
          </w:p>
        </w:tc>
        <w:tc>
          <w:tcPr>
            <w:tcW w:w="4531" w:type="dxa"/>
            <w:tcBorders>
              <w:top w:val="single" w:color="auto" w:sz="4" w:space="0"/>
              <w:left w:val="single" w:color="000000" w:sz="4" w:space="0"/>
              <w:bottom w:val="single" w:color="auto" w:sz="4" w:space="0"/>
              <w:right w:val="single" w:color="000000" w:sz="4" w:space="0"/>
            </w:tcBorders>
            <w:vAlign w:val="center"/>
          </w:tcPr>
          <w:p w14:paraId="36F094F6">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14:textFill>
                  <w14:solidFill>
                    <w14:schemeClr w14:val="tx1"/>
                  </w14:solidFill>
                </w14:textFill>
              </w:rPr>
              <w:t xml:space="preserve"> 5分</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编制要点：建立施工安全保障体系，施工现场管理人员安全生产职责明确，施工安全保证目标明确，针对工程特点，周边环境和施工工艺，确定危险源并制定具体的防护措施。</w:t>
            </w:r>
          </w:p>
          <w:p w14:paraId="6001CF54">
            <w:pPr>
              <w:pStyle w:val="340"/>
              <w:keepNext w:val="0"/>
              <w:keepLines w:val="0"/>
              <w:pageBreakBefore w:val="0"/>
              <w:widowControl w:val="0"/>
              <w:kinsoku/>
              <w:wordWrap/>
              <w:overflowPunct/>
              <w:topLinePunct w:val="0"/>
              <w:bidi w:val="0"/>
              <w:spacing w:line="312" w:lineRule="auto"/>
              <w:ind w:firstLine="210"/>
              <w:textAlignment w:val="auto"/>
              <w:rPr>
                <w:b/>
                <w:bCs/>
                <w:color w:val="000000" w:themeColor="text1"/>
                <w:szCs w:val="2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优得5分-3.5分，良得3.5分（不含）-2.0分，一般得2.0分（不含）-1.0分，差得1.0分（不含）-0分。</w:t>
            </w:r>
            <w:r>
              <w:rPr>
                <w:rFonts w:ascii="宋体" w:hAnsi="宋体"/>
                <w:color w:val="000000" w:themeColor="text1"/>
                <w:highlight w:val="none"/>
                <w:u w:val="single"/>
                <w14:textFill>
                  <w14:solidFill>
                    <w14:schemeClr w14:val="tx1"/>
                  </w14:solidFill>
                </w14:textFill>
              </w:rPr>
              <w:t xml:space="preserve"> </w:t>
            </w:r>
          </w:p>
        </w:tc>
      </w:tr>
      <w:tr w14:paraId="5D067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750" w:type="dxa"/>
            <w:gridSpan w:val="2"/>
            <w:vMerge w:val="continue"/>
            <w:tcBorders>
              <w:left w:val="single" w:color="000000" w:sz="4" w:space="0"/>
              <w:right w:val="single" w:color="000000" w:sz="4" w:space="0"/>
            </w:tcBorders>
            <w:vAlign w:val="center"/>
          </w:tcPr>
          <w:p w14:paraId="697A2B0A">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0C736D93">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3C5CD968">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bottom w:val="single" w:color="auto" w:sz="4" w:space="0"/>
              <w:right w:val="single" w:color="000000" w:sz="4" w:space="0"/>
            </w:tcBorders>
            <w:vAlign w:val="center"/>
          </w:tcPr>
          <w:p w14:paraId="475AF179">
            <w:pPr>
              <w:keepNext w:val="0"/>
              <w:keepLines w:val="0"/>
              <w:pageBreakBefore w:val="0"/>
              <w:widowControl w:val="0"/>
              <w:kinsoku/>
              <w:wordWrap/>
              <w:overflowPunct/>
              <w:topLinePunct w:val="0"/>
              <w:bidi w:val="0"/>
              <w:snapToGrid w:val="0"/>
              <w:spacing w:line="312" w:lineRule="auto"/>
              <w:jc w:val="left"/>
              <w:textAlignment w:val="auto"/>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环境保护管理体系措施</w:t>
            </w:r>
          </w:p>
        </w:tc>
        <w:tc>
          <w:tcPr>
            <w:tcW w:w="4531" w:type="dxa"/>
            <w:tcBorders>
              <w:top w:val="single" w:color="auto" w:sz="4" w:space="0"/>
              <w:left w:val="single" w:color="000000" w:sz="4" w:space="0"/>
              <w:bottom w:val="single" w:color="auto" w:sz="4" w:space="0"/>
              <w:right w:val="single" w:color="000000" w:sz="4" w:space="0"/>
            </w:tcBorders>
            <w:vAlign w:val="center"/>
          </w:tcPr>
          <w:p w14:paraId="1AB1428E">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14:textFill>
                  <w14:solidFill>
                    <w14:schemeClr w14:val="tx1"/>
                  </w14:solidFill>
                </w14:textFill>
              </w:rPr>
              <w:t>5分</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编制要点：对施工现场环境保护管理体系措施完善、健全，对施工现场周围环境污染的保护措施得力，具体。</w:t>
            </w:r>
          </w:p>
          <w:p w14:paraId="316104E3">
            <w:pPr>
              <w:pStyle w:val="340"/>
              <w:keepNext w:val="0"/>
              <w:keepLines w:val="0"/>
              <w:pageBreakBefore w:val="0"/>
              <w:widowControl w:val="0"/>
              <w:kinsoku/>
              <w:wordWrap/>
              <w:overflowPunct/>
              <w:topLinePunct w:val="0"/>
              <w:bidi w:val="0"/>
              <w:spacing w:line="312" w:lineRule="auto"/>
              <w:ind w:firstLine="210"/>
              <w:textAlignment w:val="auto"/>
              <w:rPr>
                <w:b/>
                <w:bCs/>
                <w:color w:val="000000" w:themeColor="text1"/>
                <w:szCs w:val="2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优得5分-3.5分，良得3.5分（不含）-2.0分，一般得2.0分（不含）-1.0分，差得1.0分（不含）-0分。</w:t>
            </w:r>
            <w:r>
              <w:rPr>
                <w:rFonts w:ascii="宋体" w:hAnsi="宋体"/>
                <w:color w:val="000000" w:themeColor="text1"/>
                <w:highlight w:val="none"/>
                <w:u w:val="single"/>
                <w14:textFill>
                  <w14:solidFill>
                    <w14:schemeClr w14:val="tx1"/>
                  </w14:solidFill>
                </w14:textFill>
              </w:rPr>
              <w:t xml:space="preserve"> </w:t>
            </w:r>
          </w:p>
        </w:tc>
      </w:tr>
      <w:tr w14:paraId="3E833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4" w:hRule="atLeast"/>
        </w:trPr>
        <w:tc>
          <w:tcPr>
            <w:tcW w:w="1750" w:type="dxa"/>
            <w:gridSpan w:val="2"/>
            <w:vMerge w:val="continue"/>
            <w:tcBorders>
              <w:left w:val="single" w:color="000000" w:sz="4" w:space="0"/>
              <w:right w:val="single" w:color="000000" w:sz="4" w:space="0"/>
            </w:tcBorders>
            <w:vAlign w:val="center"/>
          </w:tcPr>
          <w:p w14:paraId="7E01668F">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3178AC26">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2B4F7A51">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bottom w:val="single" w:color="auto" w:sz="4" w:space="0"/>
              <w:right w:val="single" w:color="000000" w:sz="4" w:space="0"/>
            </w:tcBorders>
            <w:vAlign w:val="center"/>
          </w:tcPr>
          <w:p w14:paraId="5FE1E5B4">
            <w:pPr>
              <w:keepNext w:val="0"/>
              <w:keepLines w:val="0"/>
              <w:pageBreakBefore w:val="0"/>
              <w:widowControl w:val="0"/>
              <w:kinsoku/>
              <w:wordWrap/>
              <w:overflowPunct/>
              <w:topLinePunct w:val="0"/>
              <w:bidi w:val="0"/>
              <w:snapToGrid w:val="0"/>
              <w:spacing w:line="312" w:lineRule="auto"/>
              <w:jc w:val="left"/>
              <w:textAlignment w:val="auto"/>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工程进度计划与措施</w:t>
            </w:r>
          </w:p>
        </w:tc>
        <w:tc>
          <w:tcPr>
            <w:tcW w:w="4531" w:type="dxa"/>
            <w:tcBorders>
              <w:top w:val="single" w:color="auto" w:sz="4" w:space="0"/>
              <w:left w:val="single" w:color="000000" w:sz="4" w:space="0"/>
              <w:bottom w:val="single" w:color="auto" w:sz="4" w:space="0"/>
              <w:right w:val="single" w:color="000000" w:sz="4" w:space="0"/>
            </w:tcBorders>
            <w:vAlign w:val="center"/>
          </w:tcPr>
          <w:p w14:paraId="13C808C1">
            <w:pPr>
              <w:keepNext w:val="0"/>
              <w:keepLines w:val="0"/>
              <w:pageBreakBefore w:val="0"/>
              <w:widowControl w:val="0"/>
              <w:kinsoku/>
              <w:wordWrap/>
              <w:overflowPunct/>
              <w:topLinePunct w:val="0"/>
              <w:bidi w:val="0"/>
              <w:snapToGrid w:val="0"/>
              <w:spacing w:line="312" w:lineRule="auto"/>
              <w:ind w:firstLine="422" w:firstLineChars="20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lang w:val="en-US" w:eastAsia="zh-CN"/>
                <w14:textFill>
                  <w14:solidFill>
                    <w14:schemeClr w14:val="tx1"/>
                  </w14:solidFill>
                </w14:textFill>
              </w:rPr>
              <w:t xml:space="preserve">5  </w:t>
            </w:r>
            <w:r>
              <w:rPr>
                <w:rFonts w:hint="eastAsia" w:ascii="宋体" w:hAnsi="宋体"/>
                <w:b/>
                <w:bCs/>
                <w:color w:val="000000" w:themeColor="text1"/>
                <w:highlight w:val="none"/>
                <w:u w:val="single"/>
                <w14:textFill>
                  <w14:solidFill>
                    <w14:schemeClr w14:val="tx1"/>
                  </w14:solidFill>
                </w14:textFill>
              </w:rPr>
              <w:t>分</w:t>
            </w:r>
            <w:r>
              <w:rPr>
                <w:rFonts w:hint="eastAsia" w:ascii="宋体" w:hAnsi="宋体"/>
                <w:b/>
                <w:bCs/>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编制要点：总进度计划是否满足</w:t>
            </w:r>
            <w:r>
              <w:rPr>
                <w:rFonts w:hint="eastAsia" w:ascii="宋体" w:hAnsi="宋体"/>
                <w:color w:val="000000" w:themeColor="text1"/>
                <w:highlight w:val="none"/>
                <w:u w:val="single"/>
                <w:lang w:eastAsia="zh-CN"/>
                <w14:textFill>
                  <w14:solidFill>
                    <w14:schemeClr w14:val="tx1"/>
                  </w14:solidFill>
                </w14:textFill>
              </w:rPr>
              <w:t>比选文件</w:t>
            </w:r>
            <w:r>
              <w:rPr>
                <w:rFonts w:hint="eastAsia" w:ascii="宋体" w:hAnsi="宋体"/>
                <w:color w:val="000000" w:themeColor="text1"/>
                <w:highlight w:val="none"/>
                <w:u w:val="single"/>
                <w14:textFill>
                  <w14:solidFill>
                    <w14:schemeClr w14:val="tx1"/>
                  </w14:solidFill>
                </w14:textFill>
              </w:rPr>
              <w:t>要求，各关键节点的工期切实可行，保证工期的措施科学、可靠。</w:t>
            </w:r>
          </w:p>
          <w:p w14:paraId="0EAFFF81">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优得5分-3.5分，良得3.5分（不含）-2.0分，一般得2.0分（不含）-1.0分，差得1.0分（不含）-0分。</w:t>
            </w:r>
            <w:r>
              <w:rPr>
                <w:rFonts w:ascii="宋体" w:hAnsi="宋体"/>
                <w:color w:val="000000" w:themeColor="text1"/>
                <w:highlight w:val="none"/>
                <w:u w:val="single"/>
                <w14:textFill>
                  <w14:solidFill>
                    <w14:schemeClr w14:val="tx1"/>
                  </w14:solidFill>
                </w14:textFill>
              </w:rPr>
              <w:t xml:space="preserve"> </w:t>
            </w:r>
          </w:p>
        </w:tc>
      </w:tr>
      <w:tr w14:paraId="5298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304190F8">
            <w:pPr>
              <w:pStyle w:val="339"/>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45312245">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692" w:type="dxa"/>
            <w:vMerge w:val="continue"/>
            <w:tcBorders>
              <w:left w:val="single" w:color="auto" w:sz="4" w:space="0"/>
              <w:right w:val="single" w:color="auto" w:sz="4" w:space="0"/>
            </w:tcBorders>
            <w:vAlign w:val="center"/>
          </w:tcPr>
          <w:p w14:paraId="3AACD3F2">
            <w:pPr>
              <w:keepNext w:val="0"/>
              <w:keepLines w:val="0"/>
              <w:pageBreakBefore w:val="0"/>
              <w:widowControl w:val="0"/>
              <w:tabs>
                <w:tab w:val="left" w:pos="1875"/>
              </w:tabs>
              <w:kinsoku/>
              <w:wordWrap/>
              <w:overflowPunct/>
              <w:topLinePunct w:val="0"/>
              <w:bidi w:val="0"/>
              <w:spacing w:line="312" w:lineRule="auto"/>
              <w:jc w:val="center"/>
              <w:textAlignment w:val="auto"/>
              <w:rPr>
                <w:color w:val="000000" w:themeColor="text1"/>
                <w:kern w:val="0"/>
                <w:highlight w:val="none"/>
                <w14:textFill>
                  <w14:solidFill>
                    <w14:schemeClr w14:val="tx1"/>
                  </w14:solidFill>
                </w14:textFill>
              </w:rPr>
            </w:pPr>
          </w:p>
        </w:tc>
        <w:tc>
          <w:tcPr>
            <w:tcW w:w="1993" w:type="dxa"/>
            <w:gridSpan w:val="3"/>
            <w:tcBorders>
              <w:top w:val="single" w:color="auto" w:sz="4" w:space="0"/>
              <w:left w:val="single" w:color="auto" w:sz="4" w:space="0"/>
              <w:right w:val="single" w:color="000000" w:sz="4" w:space="0"/>
            </w:tcBorders>
            <w:vAlign w:val="center"/>
          </w:tcPr>
          <w:p w14:paraId="4211D2D0">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资源配备计划与先进性</w:t>
            </w:r>
          </w:p>
        </w:tc>
        <w:tc>
          <w:tcPr>
            <w:tcW w:w="4531" w:type="dxa"/>
            <w:tcBorders>
              <w:top w:val="single" w:color="auto" w:sz="4" w:space="0"/>
              <w:left w:val="single" w:color="000000" w:sz="4" w:space="0"/>
              <w:bottom w:val="single" w:color="000000" w:sz="4" w:space="0"/>
              <w:right w:val="single" w:color="000000" w:sz="4" w:space="0"/>
            </w:tcBorders>
            <w:vAlign w:val="center"/>
          </w:tcPr>
          <w:p w14:paraId="22402517">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u w:val="single"/>
                <w:lang w:val="en-US" w:eastAsia="zh-CN"/>
                <w14:textFill>
                  <w14:solidFill>
                    <w14:schemeClr w14:val="tx1"/>
                  </w14:solidFill>
                </w14:textFill>
              </w:rPr>
              <w:t>2</w:t>
            </w:r>
            <w:r>
              <w:rPr>
                <w:rFonts w:ascii="宋体" w:hAnsi="宋体"/>
                <w:b/>
                <w:bCs/>
                <w:color w:val="000000" w:themeColor="text1"/>
                <w:highlight w:val="none"/>
                <w:u w:val="single"/>
                <w14:textFill>
                  <w14:solidFill>
                    <w14:schemeClr w14:val="tx1"/>
                  </w14:solidFill>
                </w14:textFill>
              </w:rPr>
              <w:t>　</w:t>
            </w:r>
            <w:r>
              <w:rPr>
                <w:rFonts w:ascii="宋体" w:hAnsi="宋体"/>
                <w:b/>
                <w:bCs/>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编制要点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投入本工程施工的机具和设备，</w:t>
            </w:r>
            <w:r>
              <w:rPr>
                <w:rFonts w:hint="eastAsia" w:ascii="宋体" w:hAnsi="宋体"/>
                <w:color w:val="000000" w:themeColor="text1"/>
                <w:highlight w:val="none"/>
                <w:u w:val="single"/>
                <w:lang w:val="en-US" w:eastAsia="zh-CN"/>
                <w14:textFill>
                  <w14:solidFill>
                    <w14:schemeClr w14:val="tx1"/>
                  </w14:solidFill>
                </w14:textFill>
              </w:rPr>
              <w:t>劳动力</w:t>
            </w:r>
            <w:r>
              <w:rPr>
                <w:rFonts w:hint="eastAsia" w:ascii="宋体" w:hAnsi="宋体"/>
                <w:color w:val="000000" w:themeColor="text1"/>
                <w:highlight w:val="none"/>
                <w:u w:val="single"/>
                <w14:textFill>
                  <w14:solidFill>
                    <w14:schemeClr w14:val="tx1"/>
                  </w14:solidFill>
                </w14:textFill>
              </w:rPr>
              <w:t>能满足施工需要</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投放人员、计划与进度计划协调，调配计划合理，保证措施具体</w:t>
            </w:r>
            <w:r>
              <w:rPr>
                <w:rFonts w:hint="eastAsia" w:ascii="宋体" w:hAnsi="宋体"/>
                <w:color w:val="000000" w:themeColor="text1"/>
                <w:highlight w:val="none"/>
                <w:u w:val="single"/>
                <w14:textFill>
                  <w14:solidFill>
                    <w14:schemeClr w14:val="tx1"/>
                  </w14:solidFill>
                </w14:textFill>
              </w:rPr>
              <w:t>。</w:t>
            </w:r>
          </w:p>
          <w:p w14:paraId="44782A1B">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优得</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分（不含）-</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0</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0</w:t>
            </w:r>
            <w:r>
              <w:rPr>
                <w:rFonts w:hint="eastAsia" w:ascii="宋体" w:hAnsi="宋体"/>
                <w:color w:val="000000" w:themeColor="text1"/>
                <w:highlight w:val="none"/>
                <w:u w:val="single"/>
                <w14:textFill>
                  <w14:solidFill>
                    <w14:schemeClr w14:val="tx1"/>
                  </w14:solidFill>
                </w14:textFill>
              </w:rPr>
              <w:t>分（不含）-0.</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分，差得0.</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分（不含）-0分。</w:t>
            </w:r>
            <w:r>
              <w:rPr>
                <w:rFonts w:ascii="宋体" w:hAnsi="宋体"/>
                <w:color w:val="000000" w:themeColor="text1"/>
                <w:highlight w:val="none"/>
                <w:u w:val="single"/>
                <w14:textFill>
                  <w14:solidFill>
                    <w14:schemeClr w14:val="tx1"/>
                  </w14:solidFill>
                </w14:textFill>
              </w:rPr>
              <w:t xml:space="preserve"> </w:t>
            </w:r>
          </w:p>
        </w:tc>
      </w:tr>
      <w:tr w14:paraId="3A792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restart"/>
            <w:tcBorders>
              <w:left w:val="single" w:color="000000" w:sz="4" w:space="0"/>
              <w:right w:val="single" w:color="000000" w:sz="4" w:space="0"/>
            </w:tcBorders>
            <w:vAlign w:val="center"/>
          </w:tcPr>
          <w:p w14:paraId="6DEEEA2C">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2.2.2（3）</w:t>
            </w:r>
          </w:p>
        </w:tc>
        <w:tc>
          <w:tcPr>
            <w:tcW w:w="594" w:type="dxa"/>
            <w:vMerge w:val="restart"/>
            <w:tcBorders>
              <w:left w:val="single" w:color="000000" w:sz="4" w:space="0"/>
              <w:right w:val="single" w:color="auto" w:sz="4" w:space="0"/>
            </w:tcBorders>
            <w:vAlign w:val="center"/>
          </w:tcPr>
          <w:p w14:paraId="26C31B9D">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投标函部分及经济部分评审标准</w:t>
            </w:r>
          </w:p>
          <w:p w14:paraId="753F9282">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384A9E98">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投标函部分的</w:t>
            </w:r>
            <w:r>
              <w:rPr>
                <w:rFonts w:hint="eastAsia" w:ascii="宋体" w:hAnsi="宋体"/>
                <w:color w:val="000000" w:themeColor="text1"/>
                <w:kern w:val="0"/>
                <w:highlight w:val="none"/>
                <w:lang w:eastAsia="zh-CN"/>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盖章</w:t>
            </w:r>
          </w:p>
        </w:tc>
        <w:tc>
          <w:tcPr>
            <w:tcW w:w="4531" w:type="dxa"/>
            <w:tcBorders>
              <w:top w:val="single" w:color="auto" w:sz="4" w:space="0"/>
              <w:left w:val="single" w:color="000000" w:sz="4" w:space="0"/>
              <w:bottom w:val="single" w:color="000000" w:sz="4" w:space="0"/>
              <w:right w:val="single" w:color="000000" w:sz="4" w:space="0"/>
            </w:tcBorders>
            <w:vAlign w:val="center"/>
          </w:tcPr>
          <w:p w14:paraId="28E6AC84">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p>
        </w:tc>
      </w:tr>
      <w:tr w14:paraId="6E64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trPr>
        <w:tc>
          <w:tcPr>
            <w:tcW w:w="1750" w:type="dxa"/>
            <w:gridSpan w:val="2"/>
            <w:vMerge w:val="continue"/>
            <w:tcBorders>
              <w:left w:val="single" w:color="000000" w:sz="4" w:space="0"/>
              <w:right w:val="single" w:color="000000" w:sz="4" w:space="0"/>
            </w:tcBorders>
            <w:vAlign w:val="center"/>
          </w:tcPr>
          <w:p w14:paraId="51CFBD42">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5FDA9AA0">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6E516B15">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工期</w:t>
            </w:r>
          </w:p>
        </w:tc>
        <w:tc>
          <w:tcPr>
            <w:tcW w:w="4531" w:type="dxa"/>
            <w:tcBorders>
              <w:top w:val="single" w:color="auto" w:sz="4" w:space="0"/>
              <w:left w:val="single" w:color="000000" w:sz="4" w:space="0"/>
              <w:bottom w:val="single" w:color="000000" w:sz="4" w:space="0"/>
              <w:right w:val="single" w:color="000000" w:sz="4" w:space="0"/>
            </w:tcBorders>
            <w:vAlign w:val="center"/>
          </w:tcPr>
          <w:p w14:paraId="76F4540D">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符合第二章“投标人须知”第1.3.2项规定</w:t>
            </w:r>
          </w:p>
        </w:tc>
      </w:tr>
      <w:tr w14:paraId="647F5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0" w:hRule="atLeast"/>
        </w:trPr>
        <w:tc>
          <w:tcPr>
            <w:tcW w:w="1750" w:type="dxa"/>
            <w:gridSpan w:val="2"/>
            <w:vMerge w:val="continue"/>
            <w:tcBorders>
              <w:left w:val="single" w:color="000000" w:sz="4" w:space="0"/>
              <w:right w:val="single" w:color="000000" w:sz="4" w:space="0"/>
            </w:tcBorders>
            <w:vAlign w:val="center"/>
          </w:tcPr>
          <w:p w14:paraId="7B868A49">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401BB214">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4D72AEDE">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工程质量</w:t>
            </w:r>
          </w:p>
        </w:tc>
        <w:tc>
          <w:tcPr>
            <w:tcW w:w="4531" w:type="dxa"/>
            <w:tcBorders>
              <w:top w:val="single" w:color="auto" w:sz="4" w:space="0"/>
              <w:left w:val="single" w:color="000000" w:sz="4" w:space="0"/>
              <w:bottom w:val="single" w:color="000000" w:sz="4" w:space="0"/>
              <w:right w:val="single" w:color="000000" w:sz="4" w:space="0"/>
            </w:tcBorders>
            <w:vAlign w:val="center"/>
          </w:tcPr>
          <w:p w14:paraId="4E44CBF5">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符合第二章“投标人须知”第1.3.3项规定</w:t>
            </w:r>
          </w:p>
        </w:tc>
      </w:tr>
      <w:tr w14:paraId="3A56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trPr>
        <w:tc>
          <w:tcPr>
            <w:tcW w:w="1750" w:type="dxa"/>
            <w:gridSpan w:val="2"/>
            <w:vMerge w:val="continue"/>
            <w:tcBorders>
              <w:left w:val="single" w:color="000000" w:sz="4" w:space="0"/>
              <w:right w:val="single" w:color="000000" w:sz="4" w:space="0"/>
            </w:tcBorders>
            <w:vAlign w:val="center"/>
          </w:tcPr>
          <w:p w14:paraId="146AEF23">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28018E6F">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352ABFC4">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投标有效期</w:t>
            </w:r>
          </w:p>
        </w:tc>
        <w:tc>
          <w:tcPr>
            <w:tcW w:w="4531" w:type="dxa"/>
            <w:tcBorders>
              <w:top w:val="single" w:color="auto" w:sz="4" w:space="0"/>
              <w:left w:val="single" w:color="000000" w:sz="4" w:space="0"/>
              <w:bottom w:val="single" w:color="000000" w:sz="4" w:space="0"/>
              <w:right w:val="single" w:color="000000" w:sz="4" w:space="0"/>
            </w:tcBorders>
            <w:vAlign w:val="center"/>
          </w:tcPr>
          <w:p w14:paraId="260E4A2F">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符合第二章“投标人须知”第3.3.1项规定</w:t>
            </w:r>
          </w:p>
        </w:tc>
      </w:tr>
      <w:tr w14:paraId="639F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33E85DAF">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69CC1655">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16051C2C">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投标总报价</w:t>
            </w:r>
          </w:p>
        </w:tc>
        <w:tc>
          <w:tcPr>
            <w:tcW w:w="4531" w:type="dxa"/>
            <w:tcBorders>
              <w:top w:val="single" w:color="auto" w:sz="4" w:space="0"/>
              <w:left w:val="single" w:color="000000" w:sz="4" w:space="0"/>
              <w:bottom w:val="single" w:color="000000" w:sz="4" w:space="0"/>
              <w:right w:val="single" w:color="000000" w:sz="4" w:space="0"/>
            </w:tcBorders>
            <w:vAlign w:val="center"/>
          </w:tcPr>
          <w:p w14:paraId="1AC69E77">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投标总报价不得高于</w:t>
            </w:r>
            <w:r>
              <w:rPr>
                <w:rFonts w:hint="eastAsia" w:ascii="宋体" w:hAnsi="宋体"/>
                <w:color w:val="000000" w:themeColor="text1"/>
                <w:kern w:val="0"/>
                <w:highlight w:val="none"/>
                <w:lang w:eastAsia="zh-CN"/>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公布的</w:t>
            </w:r>
            <w:r>
              <w:rPr>
                <w:rFonts w:hint="eastAsia" w:ascii="宋体" w:hAnsi="宋体"/>
                <w:color w:val="000000" w:themeColor="text1"/>
                <w:kern w:val="0"/>
                <w:highlight w:val="none"/>
                <w:lang w:val="en-US" w:eastAsia="zh-CN"/>
                <w14:textFill>
                  <w14:solidFill>
                    <w14:schemeClr w14:val="tx1"/>
                  </w14:solidFill>
                </w14:textFill>
              </w:rPr>
              <w:t>价格</w:t>
            </w:r>
            <w:r>
              <w:rPr>
                <w:rFonts w:hint="eastAsia" w:ascii="宋体" w:hAnsi="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投标函中的总报价必须与已标价工程量清单中的投标总报价一致。</w:t>
            </w:r>
          </w:p>
        </w:tc>
      </w:tr>
      <w:tr w14:paraId="0372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185FA946">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761593F6">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1728899E">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暂定金额（暂列金）</w:t>
            </w:r>
          </w:p>
        </w:tc>
        <w:tc>
          <w:tcPr>
            <w:tcW w:w="4531" w:type="dxa"/>
            <w:tcBorders>
              <w:top w:val="single" w:color="auto" w:sz="4" w:space="0"/>
              <w:left w:val="single" w:color="000000" w:sz="4" w:space="0"/>
              <w:bottom w:val="single" w:color="000000" w:sz="4" w:space="0"/>
              <w:right w:val="single" w:color="000000" w:sz="4" w:space="0"/>
            </w:tcBorders>
            <w:vAlign w:val="center"/>
          </w:tcPr>
          <w:p w14:paraId="77AE37E8">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暂定金额（暂列金）必须按照</w:t>
            </w:r>
            <w:r>
              <w:rPr>
                <w:rFonts w:hint="eastAsia" w:ascii="宋体" w:hAnsi="宋体"/>
                <w:color w:val="000000" w:themeColor="text1"/>
                <w:kern w:val="0"/>
                <w:highlight w:val="none"/>
                <w:lang w:val="en-US" w:eastAsia="zh-CN"/>
                <w14:textFill>
                  <w14:solidFill>
                    <w14:schemeClr w14:val="tx1"/>
                  </w14:solidFill>
                </w14:textFill>
              </w:rPr>
              <w:t>比选</w:t>
            </w:r>
            <w:r>
              <w:rPr>
                <w:rFonts w:hint="eastAsia" w:ascii="宋体" w:hAnsi="宋体"/>
                <w:color w:val="000000" w:themeColor="text1"/>
                <w:kern w:val="0"/>
                <w:highlight w:val="none"/>
                <w14:textFill>
                  <w14:solidFill>
                    <w14:schemeClr w14:val="tx1"/>
                  </w14:solidFill>
                </w14:textFill>
              </w:rPr>
              <w:t>文件给定的金额填报</w:t>
            </w:r>
          </w:p>
        </w:tc>
      </w:tr>
      <w:tr w14:paraId="54BA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748C3125">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07AB76B2">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4E0DB94F">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报价唯一</w:t>
            </w:r>
          </w:p>
        </w:tc>
        <w:tc>
          <w:tcPr>
            <w:tcW w:w="4531" w:type="dxa"/>
            <w:tcBorders>
              <w:top w:val="single" w:color="auto" w:sz="4" w:space="0"/>
              <w:left w:val="single" w:color="000000" w:sz="4" w:space="0"/>
              <w:bottom w:val="single" w:color="000000" w:sz="4" w:space="0"/>
              <w:right w:val="single" w:color="000000" w:sz="4" w:space="0"/>
            </w:tcBorders>
            <w:vAlign w:val="center"/>
          </w:tcPr>
          <w:p w14:paraId="220533A5">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只能有一个有效报价，在</w:t>
            </w:r>
            <w:r>
              <w:rPr>
                <w:rFonts w:hint="eastAsia" w:ascii="宋体" w:hAnsi="宋体"/>
                <w:color w:val="000000" w:themeColor="text1"/>
                <w:kern w:val="0"/>
                <w:highlight w:val="none"/>
                <w:lang w:val="en-US" w:eastAsia="zh-CN"/>
                <w14:textFill>
                  <w14:solidFill>
                    <w14:schemeClr w14:val="tx1"/>
                  </w14:solidFill>
                </w14:textFill>
              </w:rPr>
              <w:t>比选</w:t>
            </w:r>
            <w:r>
              <w:rPr>
                <w:rFonts w:ascii="宋体" w:hAnsi="宋体"/>
                <w:color w:val="000000" w:themeColor="text1"/>
                <w:kern w:val="0"/>
                <w:highlight w:val="none"/>
                <w14:textFill>
                  <w14:solidFill>
                    <w14:schemeClr w14:val="tx1"/>
                  </w14:solidFill>
                </w14:textFill>
              </w:rPr>
              <w:t>文件没有规定的情况下，不得提交选择性报价。</w:t>
            </w:r>
          </w:p>
        </w:tc>
      </w:tr>
      <w:tr w14:paraId="307CE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69CDECBE">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42699365">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34FC1260">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已标价工程量清单</w:t>
            </w:r>
          </w:p>
        </w:tc>
        <w:tc>
          <w:tcPr>
            <w:tcW w:w="4531" w:type="dxa"/>
            <w:tcBorders>
              <w:top w:val="single" w:color="auto" w:sz="4" w:space="0"/>
              <w:left w:val="single" w:color="000000" w:sz="4" w:space="0"/>
              <w:bottom w:val="single" w:color="000000" w:sz="4" w:space="0"/>
              <w:right w:val="single" w:color="000000" w:sz="4" w:space="0"/>
            </w:tcBorders>
            <w:vAlign w:val="center"/>
          </w:tcPr>
          <w:p w14:paraId="64D7131E">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投标人承诺已标价工程量清单满足第二章“投标人须知前附表”第3.2款第14条要求，如有差错则按第二章“投标人须知前附表”第3.2款第13条要求原则进行处理（或结算），否则由评标委员会作否决投标处理。</w:t>
            </w:r>
          </w:p>
        </w:tc>
      </w:tr>
      <w:tr w14:paraId="1578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vMerge w:val="continue"/>
            <w:tcBorders>
              <w:left w:val="single" w:color="000000" w:sz="4" w:space="0"/>
              <w:right w:val="single" w:color="000000" w:sz="4" w:space="0"/>
            </w:tcBorders>
            <w:vAlign w:val="center"/>
          </w:tcPr>
          <w:p w14:paraId="2CFC0504">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p>
        </w:tc>
        <w:tc>
          <w:tcPr>
            <w:tcW w:w="594" w:type="dxa"/>
            <w:vMerge w:val="continue"/>
            <w:tcBorders>
              <w:left w:val="single" w:color="000000" w:sz="4" w:space="0"/>
              <w:right w:val="single" w:color="auto" w:sz="4" w:space="0"/>
            </w:tcBorders>
            <w:vAlign w:val="center"/>
          </w:tcPr>
          <w:p w14:paraId="1730BB4D">
            <w:pPr>
              <w:keepNext w:val="0"/>
              <w:keepLines w:val="0"/>
              <w:pageBreakBefore w:val="0"/>
              <w:widowControl w:val="0"/>
              <w:tabs>
                <w:tab w:val="left" w:pos="1875"/>
              </w:tabs>
              <w:kinsoku/>
              <w:wordWrap/>
              <w:overflowPunct/>
              <w:topLinePunct w:val="0"/>
              <w:bidi w:val="0"/>
              <w:spacing w:line="312" w:lineRule="auto"/>
              <w:jc w:val="center"/>
              <w:textAlignment w:val="auto"/>
              <w:rPr>
                <w:rFonts w:ascii="宋体" w:hAnsi="宋体"/>
                <w:color w:val="000000" w:themeColor="text1"/>
                <w:kern w:val="0"/>
                <w:highlight w:val="none"/>
                <w14:textFill>
                  <w14:solidFill>
                    <w14:schemeClr w14:val="tx1"/>
                  </w14:solidFill>
                </w14:textFill>
              </w:rPr>
            </w:pPr>
          </w:p>
        </w:tc>
        <w:tc>
          <w:tcPr>
            <w:tcW w:w="2685" w:type="dxa"/>
            <w:gridSpan w:val="4"/>
            <w:tcBorders>
              <w:left w:val="single" w:color="auto" w:sz="4" w:space="0"/>
              <w:right w:val="single" w:color="000000" w:sz="4" w:space="0"/>
            </w:tcBorders>
            <w:vAlign w:val="center"/>
          </w:tcPr>
          <w:p w14:paraId="485BC2BF">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投标报价算术错误修正</w:t>
            </w:r>
          </w:p>
        </w:tc>
        <w:tc>
          <w:tcPr>
            <w:tcW w:w="4531" w:type="dxa"/>
            <w:tcBorders>
              <w:top w:val="single" w:color="auto" w:sz="4" w:space="0"/>
              <w:left w:val="single" w:color="000000" w:sz="4" w:space="0"/>
              <w:bottom w:val="single" w:color="000000" w:sz="4" w:space="0"/>
              <w:right w:val="single" w:color="000000" w:sz="4" w:space="0"/>
            </w:tcBorders>
            <w:vAlign w:val="center"/>
          </w:tcPr>
          <w:p w14:paraId="66A4C200">
            <w:pPr>
              <w:pStyle w:val="340"/>
              <w:keepNext w:val="0"/>
              <w:keepLines w:val="0"/>
              <w:pageBreakBefore w:val="0"/>
              <w:widowControl w:val="0"/>
              <w:kinsoku/>
              <w:wordWrap/>
              <w:overflowPunct/>
              <w:topLinePunct w:val="0"/>
              <w:bidi w:val="0"/>
              <w:spacing w:line="312" w:lineRule="auto"/>
              <w:ind w:firstLine="210"/>
              <w:textAlignment w:val="auto"/>
              <w:rPr>
                <w:rFonts w:hint="eastAsia"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符合第三章</w:t>
            </w:r>
            <w:r>
              <w:rPr>
                <w:rFonts w:hint="eastAsia" w:ascii="宋体" w:hAnsi="宋体"/>
                <w:color w:val="000000" w:themeColor="text1"/>
                <w:kern w:val="0"/>
                <w:highlight w:val="none"/>
                <w14:textFill>
                  <w14:solidFill>
                    <w14:schemeClr w14:val="tx1"/>
                  </w14:solidFill>
                </w14:textFill>
              </w:rPr>
              <w:t>“评标办法”</w:t>
            </w:r>
            <w:r>
              <w:rPr>
                <w:rFonts w:ascii="宋体" w:hAnsi="宋体"/>
                <w:color w:val="000000" w:themeColor="text1"/>
                <w:kern w:val="0"/>
                <w:highlight w:val="none"/>
                <w14:textFill>
                  <w14:solidFill>
                    <w14:schemeClr w14:val="tx1"/>
                  </w14:solidFill>
                </w14:textFill>
              </w:rPr>
              <w:t>第3.</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4</w:t>
            </w:r>
            <w:r>
              <w:rPr>
                <w:rFonts w:ascii="宋体" w:hAnsi="宋体"/>
                <w:color w:val="000000" w:themeColor="text1"/>
                <w:kern w:val="0"/>
                <w:highlight w:val="none"/>
                <w14:textFill>
                  <w14:solidFill>
                    <w14:schemeClr w14:val="tx1"/>
                  </w14:solidFill>
                </w14:textFill>
              </w:rPr>
              <w:t>项规定。</w:t>
            </w:r>
          </w:p>
        </w:tc>
      </w:tr>
      <w:tr w14:paraId="54E0D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tcBorders>
              <w:left w:val="single" w:color="000000" w:sz="4" w:space="0"/>
              <w:right w:val="single" w:color="000000" w:sz="4" w:space="0"/>
            </w:tcBorders>
            <w:vAlign w:val="center"/>
          </w:tcPr>
          <w:p w14:paraId="75F44416">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w:t>
            </w:r>
            <w:r>
              <w:rPr>
                <w:rFonts w:hint="eastAsia" w:ascii="宋体" w:hAnsi="宋体"/>
                <w:color w:val="000000" w:themeColor="text1"/>
                <w:kern w:val="0"/>
                <w:highlight w:val="none"/>
                <w14:textFill>
                  <w14:solidFill>
                    <w14:schemeClr w14:val="tx1"/>
                  </w14:solidFill>
                </w14:textFill>
              </w:rPr>
              <w:t>3</w:t>
            </w:r>
          </w:p>
        </w:tc>
        <w:tc>
          <w:tcPr>
            <w:tcW w:w="1488" w:type="dxa"/>
            <w:gridSpan w:val="3"/>
            <w:tcBorders>
              <w:left w:val="single" w:color="000000" w:sz="4" w:space="0"/>
              <w:right w:val="single" w:color="auto" w:sz="4" w:space="0"/>
            </w:tcBorders>
            <w:vAlign w:val="center"/>
          </w:tcPr>
          <w:p w14:paraId="41372135">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评标基准价计算方法</w:t>
            </w:r>
          </w:p>
        </w:tc>
        <w:tc>
          <w:tcPr>
            <w:tcW w:w="1791" w:type="dxa"/>
            <w:gridSpan w:val="2"/>
            <w:tcBorders>
              <w:left w:val="single" w:color="auto" w:sz="4" w:space="0"/>
              <w:right w:val="single" w:color="000000" w:sz="4" w:space="0"/>
            </w:tcBorders>
            <w:vAlign w:val="center"/>
          </w:tcPr>
          <w:p w14:paraId="529A9E5B">
            <w:pPr>
              <w:keepNext w:val="0"/>
              <w:keepLines w:val="0"/>
              <w:pageBreakBefore w:val="0"/>
              <w:widowControl w:val="0"/>
              <w:kinsoku/>
              <w:wordWrap/>
              <w:overflowPunct/>
              <w:topLinePunct w:val="0"/>
              <w:bidi w:val="0"/>
              <w:snapToGrid w:val="0"/>
              <w:spacing w:line="312" w:lineRule="auto"/>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投标总报价</w:t>
            </w:r>
          </w:p>
        </w:tc>
        <w:tc>
          <w:tcPr>
            <w:tcW w:w="4531" w:type="dxa"/>
            <w:tcBorders>
              <w:top w:val="single" w:color="auto" w:sz="4" w:space="0"/>
              <w:left w:val="single" w:color="000000" w:sz="4" w:space="0"/>
              <w:bottom w:val="single" w:color="000000" w:sz="4" w:space="0"/>
              <w:right w:val="single" w:color="000000" w:sz="4" w:space="0"/>
            </w:tcBorders>
            <w:vAlign w:val="center"/>
          </w:tcPr>
          <w:p w14:paraId="66E8458B">
            <w:pPr>
              <w:keepNext w:val="0"/>
              <w:keepLines w:val="0"/>
              <w:pageBreakBefore w:val="0"/>
              <w:widowControl w:val="0"/>
              <w:kinsoku/>
              <w:wordWrap/>
              <w:overflowPunct/>
              <w:topLinePunct w:val="0"/>
              <w:bidi w:val="0"/>
              <w:snapToGrid w:val="0"/>
              <w:spacing w:line="312" w:lineRule="auto"/>
              <w:ind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所有通过初步评审</w:t>
            </w:r>
            <w:r>
              <w:rPr>
                <w:rFonts w:hint="eastAsia" w:ascii="宋体" w:hAnsi="宋体"/>
                <w:color w:val="000000" w:themeColor="text1"/>
                <w:kern w:val="0"/>
                <w:szCs w:val="21"/>
                <w:highlight w:val="none"/>
                <w14:textFill>
                  <w14:solidFill>
                    <w14:schemeClr w14:val="tx1"/>
                  </w14:solidFill>
                </w14:textFill>
              </w:rPr>
              <w:t>及本章第2.2.2（3）目评审</w:t>
            </w:r>
            <w:r>
              <w:rPr>
                <w:rFonts w:ascii="宋体" w:hAnsi="宋体"/>
                <w:color w:val="000000" w:themeColor="text1"/>
                <w:kern w:val="0"/>
                <w:szCs w:val="21"/>
                <w:highlight w:val="none"/>
                <w14:textFill>
                  <w14:solidFill>
                    <w14:schemeClr w14:val="tx1"/>
                  </w14:solidFill>
                </w14:textFill>
              </w:rPr>
              <w:t>合格的投标人</w:t>
            </w:r>
            <w:r>
              <w:rPr>
                <w:rFonts w:ascii="宋体" w:hAnsi="宋体"/>
                <w:color w:val="000000" w:themeColor="text1"/>
                <w:szCs w:val="21"/>
                <w:highlight w:val="none"/>
                <w14:textFill>
                  <w14:solidFill>
                    <w14:schemeClr w14:val="tx1"/>
                  </w14:solidFill>
                </w14:textFill>
              </w:rPr>
              <w:t>的投标总报</w:t>
            </w:r>
            <w:r>
              <w:rPr>
                <w:rFonts w:ascii="宋体" w:hAnsi="宋体"/>
                <w:color w:val="000000" w:themeColor="text1"/>
                <w:kern w:val="0"/>
                <w:szCs w:val="21"/>
                <w:highlight w:val="none"/>
                <w14:textFill>
                  <w14:solidFill>
                    <w14:schemeClr w14:val="tx1"/>
                  </w14:solidFill>
                </w14:textFill>
              </w:rPr>
              <w:t>价中去掉六分之一（不能整除的按小数点前整数取整，不足六家报价则不去掉）的最低价和相同家数的最高价后的算术平均值</w:t>
            </w:r>
            <w:r>
              <w:rPr>
                <w:rFonts w:hint="eastAsia" w:ascii="宋体" w:hAnsi="宋体"/>
                <w:color w:val="000000" w:themeColor="text1"/>
                <w:kern w:val="0"/>
                <w:szCs w:val="21"/>
                <w:highlight w:val="none"/>
                <w14:textFill>
                  <w14:solidFill>
                    <w14:schemeClr w14:val="tx1"/>
                  </w14:solidFill>
                </w14:textFill>
              </w:rPr>
              <w:t>，即为本项目的投标总报价的评标基准价。</w:t>
            </w:r>
          </w:p>
          <w:p w14:paraId="6DC3EF6A">
            <w:pPr>
              <w:keepNext w:val="0"/>
              <w:keepLines w:val="0"/>
              <w:pageBreakBefore w:val="0"/>
              <w:widowControl w:val="0"/>
              <w:kinsoku/>
              <w:wordWrap/>
              <w:overflowPunct/>
              <w:topLinePunct w:val="0"/>
              <w:bidi w:val="0"/>
              <w:snapToGrid w:val="0"/>
              <w:spacing w:line="312" w:lineRule="auto"/>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评标基准价计算的最终结果取小数点后两位，第三位四舍五入。</w:t>
            </w:r>
          </w:p>
          <w:p w14:paraId="2E65B63C">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在评标基准价计算完成后（除计算错误外），在后续的评审中不得再对其做出调整。</w:t>
            </w:r>
          </w:p>
        </w:tc>
      </w:tr>
      <w:tr w14:paraId="3D9C1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atLeast"/>
        </w:trPr>
        <w:tc>
          <w:tcPr>
            <w:tcW w:w="1750" w:type="dxa"/>
            <w:gridSpan w:val="2"/>
            <w:tcBorders>
              <w:left w:val="single" w:color="000000" w:sz="4" w:space="0"/>
              <w:right w:val="single" w:color="000000" w:sz="4" w:space="0"/>
            </w:tcBorders>
            <w:vAlign w:val="center"/>
          </w:tcPr>
          <w:p w14:paraId="0D131C9B">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w:t>
            </w:r>
            <w:r>
              <w:rPr>
                <w:rFonts w:hint="eastAsia" w:ascii="宋体" w:hAnsi="宋体"/>
                <w:color w:val="000000" w:themeColor="text1"/>
                <w:kern w:val="0"/>
                <w:highlight w:val="none"/>
                <w14:textFill>
                  <w14:solidFill>
                    <w14:schemeClr w14:val="tx1"/>
                  </w14:solidFill>
                </w14:textFill>
              </w:rPr>
              <w:t>4</w:t>
            </w:r>
            <w:r>
              <w:rPr>
                <w:rFonts w:ascii="宋体" w:hAnsi="宋体"/>
                <w:color w:val="000000" w:themeColor="text1"/>
                <w:kern w:val="0"/>
                <w:highlight w:val="none"/>
                <w14:textFill>
                  <w14:solidFill>
                    <w14:schemeClr w14:val="tx1"/>
                  </w14:solidFill>
                </w14:textFill>
              </w:rPr>
              <w:t xml:space="preserve"> </w:t>
            </w:r>
          </w:p>
        </w:tc>
        <w:tc>
          <w:tcPr>
            <w:tcW w:w="3279" w:type="dxa"/>
            <w:gridSpan w:val="5"/>
            <w:tcBorders>
              <w:left w:val="single" w:color="000000" w:sz="4" w:space="0"/>
              <w:right w:val="single" w:color="000000" w:sz="4" w:space="0"/>
            </w:tcBorders>
            <w:vAlign w:val="center"/>
          </w:tcPr>
          <w:p w14:paraId="01233B25">
            <w:pPr>
              <w:keepNext w:val="0"/>
              <w:keepLines w:val="0"/>
              <w:pageBreakBefore w:val="0"/>
              <w:widowControl w:val="0"/>
              <w:kinsoku/>
              <w:wordWrap/>
              <w:overflowPunct/>
              <w:topLinePunct w:val="0"/>
              <w:bidi w:val="0"/>
              <w:snapToGrid w:val="0"/>
              <w:spacing w:line="312" w:lineRule="auto"/>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偏差率</w:t>
            </w:r>
          </w:p>
        </w:tc>
        <w:tc>
          <w:tcPr>
            <w:tcW w:w="4531" w:type="dxa"/>
            <w:tcBorders>
              <w:top w:val="single" w:color="auto" w:sz="4" w:space="0"/>
              <w:left w:val="single" w:color="000000" w:sz="4" w:space="0"/>
              <w:bottom w:val="single" w:color="000000" w:sz="4" w:space="0"/>
              <w:right w:val="single" w:color="000000" w:sz="4" w:space="0"/>
            </w:tcBorders>
            <w:vAlign w:val="center"/>
          </w:tcPr>
          <w:p w14:paraId="2AD392AD">
            <w:pPr>
              <w:keepNext w:val="0"/>
              <w:keepLines w:val="0"/>
              <w:pageBreakBefore w:val="0"/>
              <w:widowControl w:val="0"/>
              <w:kinsoku/>
              <w:wordWrap/>
              <w:overflowPunct/>
              <w:topLinePunct w:val="0"/>
              <w:bidi w:val="0"/>
              <w:spacing w:line="312" w:lineRule="auto"/>
              <w:ind w:firstLine="420" w:firstLineChars="200"/>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投标总报价的偏差率计算公式</w:t>
            </w:r>
          </w:p>
          <w:p w14:paraId="6EDEFD17">
            <w:pPr>
              <w:keepNext w:val="0"/>
              <w:keepLines w:val="0"/>
              <w:pageBreakBefore w:val="0"/>
              <w:widowControl w:val="0"/>
              <w:kinsoku/>
              <w:wordWrap/>
              <w:overflowPunct/>
              <w:topLinePunct w:val="0"/>
              <w:bidi w:val="0"/>
              <w:spacing w:line="312" w:lineRule="auto"/>
              <w:ind w:firstLine="420" w:firstLineChars="200"/>
              <w:jc w:val="left"/>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100％×（投标人报价一评标基准价）／评标基准价</w:t>
            </w:r>
          </w:p>
          <w:p w14:paraId="3EF9CEDD">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计算保留小数点后两位，小数点后第三位“四舍五入”。</w:t>
            </w:r>
          </w:p>
        </w:tc>
      </w:tr>
      <w:tr w14:paraId="25F7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4" w:hRule="atLeast"/>
        </w:trPr>
        <w:tc>
          <w:tcPr>
            <w:tcW w:w="938" w:type="dxa"/>
            <w:tcBorders>
              <w:top w:val="single" w:color="000000" w:sz="4" w:space="0"/>
              <w:left w:val="single" w:color="000000" w:sz="4" w:space="0"/>
              <w:bottom w:val="single" w:color="000000" w:sz="4" w:space="0"/>
              <w:right w:val="single" w:color="000000" w:sz="4" w:space="0"/>
            </w:tcBorders>
          </w:tcPr>
          <w:p w14:paraId="4F4CFE2B">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p w14:paraId="3ECFE41E">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p w14:paraId="6D49BAD0">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p w14:paraId="4F81B963">
            <w:pPr>
              <w:keepNext w:val="0"/>
              <w:keepLines w:val="0"/>
              <w:pageBreakBefore w:val="0"/>
              <w:widowControl w:val="0"/>
              <w:kinsoku/>
              <w:wordWrap/>
              <w:overflowPunct/>
              <w:topLinePunct w:val="0"/>
              <w:bidi w:val="0"/>
              <w:spacing w:line="312" w:lineRule="auto"/>
              <w:jc w:val="center"/>
              <w:textAlignment w:val="auto"/>
              <w:rPr>
                <w:rStyle w:val="338"/>
                <w:color w:val="000000" w:themeColor="text1"/>
                <w:kern w:val="0"/>
                <w:sz w:val="24"/>
                <w:highlight w:val="none"/>
                <w14:textFill>
                  <w14:solidFill>
                    <w14:schemeClr w14:val="tx1"/>
                  </w14:solidFill>
                </w14:textFill>
              </w:rPr>
            </w:pPr>
            <w:r>
              <w:rPr>
                <w:rStyle w:val="338"/>
                <w:color w:val="000000" w:themeColor="text1"/>
                <w:sz w:val="24"/>
                <w:highlight w:val="none"/>
                <w14:textFill>
                  <w14:solidFill>
                    <w14:schemeClr w14:val="tx1"/>
                  </w14:solidFill>
                </w14:textFill>
              </w:rPr>
              <w:t>3</w:t>
            </w:r>
          </w:p>
        </w:tc>
        <w:tc>
          <w:tcPr>
            <w:tcW w:w="812" w:type="dxa"/>
            <w:tcBorders>
              <w:top w:val="single" w:color="000000" w:sz="4" w:space="0"/>
              <w:left w:val="single" w:color="000000" w:sz="4" w:space="0"/>
              <w:bottom w:val="single" w:color="000000" w:sz="4" w:space="0"/>
              <w:right w:val="single" w:color="000000" w:sz="4" w:space="0"/>
            </w:tcBorders>
            <w:textDirection w:val="tbRlV"/>
          </w:tcPr>
          <w:p w14:paraId="73FF8764">
            <w:pPr>
              <w:keepNext w:val="0"/>
              <w:keepLines w:val="0"/>
              <w:pageBreakBefore w:val="0"/>
              <w:widowControl w:val="0"/>
              <w:kinsoku/>
              <w:wordWrap/>
              <w:overflowPunct/>
              <w:topLinePunct w:val="0"/>
              <w:bidi w:val="0"/>
              <w:spacing w:line="312" w:lineRule="auto"/>
              <w:ind w:left="113" w:right="113"/>
              <w:jc w:val="center"/>
              <w:textAlignment w:val="auto"/>
              <w:rPr>
                <w:rStyle w:val="338"/>
                <w:color w:val="000000" w:themeColor="text1"/>
                <w:kern w:val="0"/>
                <w:sz w:val="24"/>
                <w:highlight w:val="none"/>
                <w14:textFill>
                  <w14:solidFill>
                    <w14:schemeClr w14:val="tx1"/>
                  </w14:solidFill>
                </w14:textFill>
              </w:rPr>
            </w:pPr>
            <w:r>
              <w:rPr>
                <w:rStyle w:val="338"/>
                <w:color w:val="000000" w:themeColor="text1"/>
                <w:sz w:val="24"/>
                <w:highlight w:val="none"/>
                <w14:textFill>
                  <w14:solidFill>
                    <w14:schemeClr w14:val="tx1"/>
                  </w14:solidFill>
                </w14:textFill>
              </w:rPr>
              <w:t>评标程序</w:t>
            </w:r>
          </w:p>
        </w:tc>
        <w:tc>
          <w:tcPr>
            <w:tcW w:w="7810" w:type="dxa"/>
            <w:gridSpan w:val="6"/>
            <w:tcBorders>
              <w:top w:val="single" w:color="000000" w:sz="4" w:space="0"/>
              <w:left w:val="single" w:color="000000" w:sz="4" w:space="0"/>
              <w:bottom w:val="single" w:color="000000" w:sz="4" w:space="0"/>
              <w:right w:val="single" w:color="000000" w:sz="4" w:space="0"/>
            </w:tcBorders>
          </w:tcPr>
          <w:p w14:paraId="379AF641">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1.按本章评标办法第3.1款进行初步评审。未通过初步评审或评标委员会认定为无效的投标文件的不再进行后续评审。</w:t>
            </w:r>
          </w:p>
          <w:p w14:paraId="370F2EF7">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2.对初步评审合格的投标人按本章评标办法前附表第2.2.2（1）项及第3.2.1（1）</w:t>
            </w:r>
            <w:r>
              <w:rPr>
                <w:rFonts w:hint="eastAsia" w:ascii="宋体" w:hAnsi="宋体"/>
                <w:color w:val="000000" w:themeColor="text1"/>
                <w:szCs w:val="21"/>
                <w:highlight w:val="none"/>
                <w:lang w:val="en-US" w:eastAsia="zh-CN"/>
                <w14:textFill>
                  <w14:solidFill>
                    <w14:schemeClr w14:val="tx1"/>
                  </w14:solidFill>
                </w14:textFill>
              </w:rPr>
              <w:t>项</w:t>
            </w:r>
            <w:r>
              <w:rPr>
                <w:rFonts w:hint="eastAsia" w:ascii="宋体" w:hAnsi="宋体"/>
                <w:color w:val="000000" w:themeColor="text1"/>
                <w:szCs w:val="21"/>
                <w:highlight w:val="none"/>
                <w14:textFill>
                  <w14:solidFill>
                    <w14:schemeClr w14:val="tx1"/>
                  </w14:solidFill>
                </w14:textFill>
              </w:rPr>
              <w:t>的规定对技术部分进行评审。</w:t>
            </w:r>
          </w:p>
          <w:p w14:paraId="350DFFE8">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3.按本章评标办法前附表第2.2.2（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）目的规定对投标函</w:t>
            </w:r>
            <w:r>
              <w:rPr>
                <w:rFonts w:ascii="宋体" w:hAnsi="宋体"/>
                <w:color w:val="000000" w:themeColor="text1"/>
                <w:szCs w:val="21"/>
                <w:highlight w:val="none"/>
                <w14:textFill>
                  <w14:solidFill>
                    <w14:schemeClr w14:val="tx1"/>
                  </w14:solidFill>
                </w14:textFill>
              </w:rPr>
              <w:t>及经济部分</w:t>
            </w:r>
            <w:r>
              <w:rPr>
                <w:rFonts w:hint="eastAsia" w:ascii="宋体" w:hAnsi="宋体"/>
                <w:color w:val="000000" w:themeColor="text1"/>
                <w:szCs w:val="21"/>
                <w:highlight w:val="none"/>
                <w14:textFill>
                  <w14:solidFill>
                    <w14:schemeClr w14:val="tx1"/>
                  </w14:solidFill>
                </w14:textFill>
              </w:rPr>
              <w:t>进行评审，经评审不合格的投标文件不再参与后续评审。</w:t>
            </w:r>
          </w:p>
          <w:p w14:paraId="6D5B4741">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4.因评标委员会作否决投标处理导致有效投标人不足三个的，评标委员会应当否决所有投标。但是有效投标人的经济、技术等指标仍然具有市场竞争力，能够满足</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要求的，评标委员会可以继续评标并确定中标候选人。</w:t>
            </w:r>
          </w:p>
          <w:p w14:paraId="319241C9">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.经</w:t>
            </w:r>
            <w:r>
              <w:rPr>
                <w:rFonts w:hint="eastAsia" w:ascii="宋体" w:hAnsi="宋体"/>
                <w:color w:val="000000" w:themeColor="text1"/>
                <w:kern w:val="0"/>
                <w:szCs w:val="21"/>
                <w:highlight w:val="none"/>
                <w14:textFill>
                  <w14:solidFill>
                    <w14:schemeClr w14:val="tx1"/>
                  </w14:solidFill>
                </w14:textFill>
              </w:rPr>
              <w:t>评审合格</w:t>
            </w:r>
            <w:r>
              <w:rPr>
                <w:rFonts w:hint="eastAsia" w:ascii="宋体" w:hAnsi="宋体"/>
                <w:color w:val="000000" w:themeColor="text1"/>
                <w:szCs w:val="21"/>
                <w:highlight w:val="none"/>
                <w14:textFill>
                  <w14:solidFill>
                    <w14:schemeClr w14:val="tx1"/>
                  </w14:solidFill>
                </w14:textFill>
              </w:rPr>
              <w:t>的投标人按照本章第2.2.3项计算方法计算评标基准价，并按本附表第3.2.1（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）目规定的评分方法对经济部分进行评分。</w:t>
            </w:r>
          </w:p>
          <w:p w14:paraId="7F5B7AFC">
            <w:pPr>
              <w:keepNext w:val="0"/>
              <w:keepLines w:val="0"/>
              <w:pageBreakBefore w:val="0"/>
              <w:widowControl w:val="0"/>
              <w:kinsoku/>
              <w:wordWrap/>
              <w:overflowPunct/>
              <w:topLinePunct w:val="0"/>
              <w:bidi w:val="0"/>
              <w:spacing w:line="312" w:lineRule="auto"/>
              <w:ind w:firstLine="420" w:firstLineChars="200"/>
              <w:textAlignment w:val="auto"/>
              <w:rPr>
                <w:rStyle w:val="338"/>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.对技术</w:t>
            </w:r>
            <w:r>
              <w:rPr>
                <w:rFonts w:hint="eastAsia" w:ascii="宋体" w:hAnsi="宋体"/>
                <w:color w:val="000000" w:themeColor="text1"/>
                <w:highlight w:val="none"/>
                <w14:textFill>
                  <w14:solidFill>
                    <w14:schemeClr w14:val="tx1"/>
                  </w14:solidFill>
                </w14:textFill>
              </w:rPr>
              <w:t>部分</w:t>
            </w:r>
            <w:r>
              <w:rPr>
                <w:rFonts w:hint="eastAsia" w:ascii="宋体" w:hAnsi="宋体"/>
                <w:color w:val="000000" w:themeColor="text1"/>
                <w:szCs w:val="21"/>
                <w:highlight w:val="none"/>
                <w14:textFill>
                  <w14:solidFill>
                    <w14:schemeClr w14:val="tx1"/>
                  </w14:solidFill>
                </w14:textFill>
              </w:rPr>
              <w:t>、经济部分得分进行汇总，确定得分由高至低前三名投标人为中标候选人。</w:t>
            </w:r>
          </w:p>
        </w:tc>
      </w:tr>
      <w:tr w14:paraId="2689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38" w:type="dxa"/>
            <w:vMerge w:val="restart"/>
            <w:tcBorders>
              <w:top w:val="single" w:color="000000" w:sz="4" w:space="0"/>
              <w:left w:val="single" w:color="000000" w:sz="4" w:space="0"/>
              <w:right w:val="single" w:color="000000" w:sz="4" w:space="0"/>
            </w:tcBorders>
            <w:vAlign w:val="center"/>
          </w:tcPr>
          <w:p w14:paraId="17280EBA">
            <w:pPr>
              <w:keepNext w:val="0"/>
              <w:keepLines w:val="0"/>
              <w:pageBreakBefore w:val="0"/>
              <w:widowControl w:val="0"/>
              <w:kinsoku/>
              <w:wordWrap/>
              <w:overflowPunct/>
              <w:topLinePunct w:val="0"/>
              <w:bidi w:val="0"/>
              <w:spacing w:line="312" w:lineRule="auto"/>
              <w:textAlignment w:val="auto"/>
              <w:rPr>
                <w:rFonts w:ascii="宋体" w:hAnsi="宋体" w:cs="宋体"/>
                <w:color w:val="000000" w:themeColor="text1"/>
                <w:highlight w:val="none"/>
                <w14:textFill>
                  <w14:solidFill>
                    <w14:schemeClr w14:val="tx1"/>
                  </w14:solidFill>
                </w14:textFill>
              </w:rPr>
            </w:pPr>
          </w:p>
          <w:p w14:paraId="43D40E4D">
            <w:pPr>
              <w:keepNext w:val="0"/>
              <w:keepLines w:val="0"/>
              <w:pageBreakBefore w:val="0"/>
              <w:widowControl w:val="0"/>
              <w:kinsoku/>
              <w:wordWrap/>
              <w:overflowPunct/>
              <w:topLinePunct w:val="0"/>
              <w:bidi w:val="0"/>
              <w:spacing w:line="312" w:lineRule="auto"/>
              <w:textAlignment w:val="auto"/>
              <w:rPr>
                <w:rStyle w:val="338"/>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 （1）</w:t>
            </w:r>
          </w:p>
        </w:tc>
        <w:tc>
          <w:tcPr>
            <w:tcW w:w="812" w:type="dxa"/>
            <w:vMerge w:val="restart"/>
            <w:tcBorders>
              <w:top w:val="single" w:color="000000" w:sz="4" w:space="0"/>
              <w:left w:val="single" w:color="000000" w:sz="4" w:space="0"/>
              <w:right w:val="single" w:color="000000" w:sz="4" w:space="0"/>
            </w:tcBorders>
            <w:vAlign w:val="center"/>
          </w:tcPr>
          <w:p w14:paraId="27EC728C">
            <w:pPr>
              <w:keepNext w:val="0"/>
              <w:keepLines w:val="0"/>
              <w:pageBreakBefore w:val="0"/>
              <w:widowControl w:val="0"/>
              <w:kinsoku/>
              <w:wordWrap/>
              <w:overflowPunct/>
              <w:topLinePunct w:val="0"/>
              <w:bidi w:val="0"/>
              <w:spacing w:line="312" w:lineRule="auto"/>
              <w:textAlignment w:val="auto"/>
              <w:rPr>
                <w:rFonts w:ascii="宋体" w:hAnsi="宋体" w:cs="宋体"/>
                <w:color w:val="000000" w:themeColor="text1"/>
                <w:highlight w:val="none"/>
                <w14:textFill>
                  <w14:solidFill>
                    <w14:schemeClr w14:val="tx1"/>
                  </w14:solidFill>
                </w14:textFill>
              </w:rPr>
            </w:pPr>
          </w:p>
          <w:p w14:paraId="0BCE2AE1">
            <w:pPr>
              <w:keepNext w:val="0"/>
              <w:keepLines w:val="0"/>
              <w:pageBreakBefore w:val="0"/>
              <w:widowControl w:val="0"/>
              <w:kinsoku/>
              <w:wordWrap/>
              <w:overflowPunct/>
              <w:topLinePunct w:val="0"/>
              <w:bidi w:val="0"/>
              <w:spacing w:line="312"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技术部分得分（A）</w:t>
            </w:r>
          </w:p>
          <w:p w14:paraId="0471C0F8">
            <w:pPr>
              <w:keepNext w:val="0"/>
              <w:keepLines w:val="0"/>
              <w:pageBreakBefore w:val="0"/>
              <w:widowControl w:val="0"/>
              <w:kinsoku/>
              <w:wordWrap/>
              <w:overflowPunct/>
              <w:topLinePunct w:val="0"/>
              <w:bidi w:val="0"/>
              <w:spacing w:line="312" w:lineRule="auto"/>
              <w:textAlignment w:val="auto"/>
              <w:rPr>
                <w:rFonts w:ascii="宋体" w:hAnsi="宋体" w:cs="宋体"/>
                <w:color w:val="000000" w:themeColor="text1"/>
                <w:highlight w:val="none"/>
                <w14:textFill>
                  <w14:solidFill>
                    <w14:schemeClr w14:val="tx1"/>
                  </w14:solidFill>
                </w14:textFill>
              </w:rPr>
            </w:pPr>
          </w:p>
          <w:p w14:paraId="70463C1D">
            <w:pPr>
              <w:keepNext w:val="0"/>
              <w:keepLines w:val="0"/>
              <w:pageBreakBefore w:val="0"/>
              <w:widowControl w:val="0"/>
              <w:kinsoku/>
              <w:wordWrap/>
              <w:overflowPunct/>
              <w:topLinePunct w:val="0"/>
              <w:bidi w:val="0"/>
              <w:spacing w:line="312" w:lineRule="auto"/>
              <w:textAlignment w:val="auto"/>
              <w:rPr>
                <w:rStyle w:val="338"/>
                <w:rFonts w:ascii="宋体" w:hAnsi="宋体" w:cs="宋体"/>
                <w:color w:val="000000" w:themeColor="text1"/>
                <w:szCs w:val="21"/>
                <w:highlight w:val="none"/>
                <w14:textFill>
                  <w14:solidFill>
                    <w14:schemeClr w14:val="tx1"/>
                  </w14:solidFill>
                </w14:textFill>
              </w:rPr>
            </w:pPr>
          </w:p>
          <w:p w14:paraId="0ED237B2">
            <w:pPr>
              <w:keepNext w:val="0"/>
              <w:keepLines w:val="0"/>
              <w:pageBreakBefore w:val="0"/>
              <w:widowControl w:val="0"/>
              <w:kinsoku/>
              <w:wordWrap/>
              <w:overflowPunct/>
              <w:topLinePunct w:val="0"/>
              <w:bidi w:val="0"/>
              <w:spacing w:line="312" w:lineRule="auto"/>
              <w:textAlignment w:val="auto"/>
              <w:rPr>
                <w:rStyle w:val="338"/>
                <w:rFonts w:ascii="宋体" w:hAnsi="宋体" w:cs="宋体"/>
                <w:color w:val="000000" w:themeColor="text1"/>
                <w:szCs w:val="21"/>
                <w:highlight w:val="none"/>
                <w14:textFill>
                  <w14:solidFill>
                    <w14:schemeClr w14:val="tx1"/>
                  </w14:solidFill>
                </w14:textFill>
              </w:rPr>
            </w:pPr>
          </w:p>
        </w:tc>
        <w:tc>
          <w:tcPr>
            <w:tcW w:w="2600" w:type="dxa"/>
            <w:gridSpan w:val="4"/>
            <w:tcBorders>
              <w:top w:val="single" w:color="000000" w:sz="4" w:space="0"/>
              <w:left w:val="single" w:color="000000" w:sz="4" w:space="0"/>
              <w:bottom w:val="single" w:color="auto" w:sz="4" w:space="0"/>
              <w:right w:val="single" w:color="000000" w:sz="4" w:space="0"/>
            </w:tcBorders>
            <w:vAlign w:val="center"/>
          </w:tcPr>
          <w:p w14:paraId="07BB7B82">
            <w:pPr>
              <w:keepNext w:val="0"/>
              <w:keepLines w:val="0"/>
              <w:pageBreakBefore w:val="0"/>
              <w:widowControl w:val="0"/>
              <w:kinsoku/>
              <w:wordWrap/>
              <w:overflowPunct/>
              <w:topLinePunct w:val="0"/>
              <w:bidi w:val="0"/>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技术方案部分形式要求</w:t>
            </w:r>
          </w:p>
        </w:tc>
        <w:tc>
          <w:tcPr>
            <w:tcW w:w="5210" w:type="dxa"/>
            <w:gridSpan w:val="2"/>
            <w:tcBorders>
              <w:top w:val="single" w:color="000000" w:sz="4" w:space="0"/>
              <w:left w:val="single" w:color="000000" w:sz="4" w:space="0"/>
              <w:right w:val="single" w:color="000000" w:sz="4" w:space="0"/>
            </w:tcBorders>
            <w:vAlign w:val="center"/>
          </w:tcPr>
          <w:p w14:paraId="14DDEADA">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不符合</w:t>
            </w:r>
            <w:r>
              <w:rPr>
                <w:rFonts w:hint="eastAsia" w:ascii="宋体" w:hAnsi="宋体" w:cs="宋体"/>
                <w:color w:val="000000" w:themeColor="text1"/>
                <w:kern w:val="0"/>
                <w:highlight w:val="none"/>
                <w14:textFill>
                  <w14:solidFill>
                    <w14:schemeClr w14:val="tx1"/>
                  </w14:solidFill>
                </w14:textFill>
              </w:rPr>
              <w:t>第二章投标人须知前附表第3.7.5项技术部分要求的</w:t>
            </w:r>
            <w:r>
              <w:rPr>
                <w:rFonts w:hint="eastAsia" w:ascii="宋体" w:hAnsi="宋体"/>
                <w:color w:val="000000" w:themeColor="text1"/>
                <w:kern w:val="0"/>
                <w:highlight w:val="none"/>
                <w14:textFill>
                  <w14:solidFill>
                    <w14:schemeClr w14:val="tx1"/>
                  </w14:solidFill>
                </w14:textFill>
              </w:rPr>
              <w:t>，技术方案得0分。</w:t>
            </w:r>
          </w:p>
        </w:tc>
      </w:tr>
      <w:tr w14:paraId="7BF7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38" w:type="dxa"/>
            <w:vMerge w:val="continue"/>
            <w:tcBorders>
              <w:left w:val="single" w:color="000000" w:sz="4" w:space="0"/>
              <w:right w:val="single" w:color="000000" w:sz="4" w:space="0"/>
            </w:tcBorders>
            <w:vAlign w:val="center"/>
          </w:tcPr>
          <w:p w14:paraId="4ED3FFA5">
            <w:pPr>
              <w:keepNext w:val="0"/>
              <w:keepLines w:val="0"/>
              <w:pageBreakBefore w:val="0"/>
              <w:widowControl w:val="0"/>
              <w:kinsoku/>
              <w:wordWrap/>
              <w:overflowPunct/>
              <w:topLinePunct w:val="0"/>
              <w:bidi w:val="0"/>
              <w:spacing w:line="312" w:lineRule="auto"/>
              <w:jc w:val="center"/>
              <w:textAlignment w:val="auto"/>
              <w:rPr>
                <w:rStyle w:val="338"/>
                <w:rFonts w:ascii="宋体" w:hAnsi="宋体" w:cs="宋体"/>
                <w:color w:val="000000" w:themeColor="text1"/>
                <w:sz w:val="24"/>
                <w:highlight w:val="none"/>
                <w14:textFill>
                  <w14:solidFill>
                    <w14:schemeClr w14:val="tx1"/>
                  </w14:solidFill>
                </w14:textFill>
              </w:rPr>
            </w:pPr>
          </w:p>
        </w:tc>
        <w:tc>
          <w:tcPr>
            <w:tcW w:w="812" w:type="dxa"/>
            <w:vMerge w:val="continue"/>
            <w:tcBorders>
              <w:left w:val="single" w:color="000000" w:sz="4" w:space="0"/>
              <w:right w:val="single" w:color="000000" w:sz="4" w:space="0"/>
            </w:tcBorders>
            <w:vAlign w:val="center"/>
          </w:tcPr>
          <w:p w14:paraId="505BE3DA">
            <w:pPr>
              <w:keepNext w:val="0"/>
              <w:keepLines w:val="0"/>
              <w:pageBreakBefore w:val="0"/>
              <w:widowControl w:val="0"/>
              <w:kinsoku/>
              <w:wordWrap/>
              <w:overflowPunct/>
              <w:topLinePunct w:val="0"/>
              <w:bidi w:val="0"/>
              <w:spacing w:line="312" w:lineRule="auto"/>
              <w:textAlignment w:val="auto"/>
              <w:rPr>
                <w:rStyle w:val="338"/>
                <w:rFonts w:ascii="宋体" w:hAnsi="宋体" w:cs="宋体"/>
                <w:color w:val="000000" w:themeColor="text1"/>
                <w:szCs w:val="21"/>
                <w:highlight w:val="none"/>
                <w14:textFill>
                  <w14:solidFill>
                    <w14:schemeClr w14:val="tx1"/>
                  </w14:solidFill>
                </w14:textFill>
              </w:rPr>
            </w:pPr>
          </w:p>
        </w:tc>
        <w:tc>
          <w:tcPr>
            <w:tcW w:w="2600" w:type="dxa"/>
            <w:gridSpan w:val="4"/>
            <w:tcBorders>
              <w:top w:val="single" w:color="000000" w:sz="4" w:space="0"/>
              <w:left w:val="single" w:color="000000" w:sz="4" w:space="0"/>
              <w:bottom w:val="single" w:color="auto" w:sz="4" w:space="0"/>
              <w:right w:val="single" w:color="000000" w:sz="4" w:space="0"/>
            </w:tcBorders>
            <w:vAlign w:val="center"/>
          </w:tcPr>
          <w:p w14:paraId="67E7E72F">
            <w:pPr>
              <w:keepNext w:val="0"/>
              <w:keepLines w:val="0"/>
              <w:pageBreakBefore w:val="0"/>
              <w:widowControl w:val="0"/>
              <w:kinsoku/>
              <w:wordWrap/>
              <w:overflowPunct/>
              <w:topLinePunct w:val="0"/>
              <w:bidi w:val="0"/>
              <w:snapToGrid w:val="0"/>
              <w:spacing w:line="312" w:lineRule="auto"/>
              <w:jc w:val="left"/>
              <w:textAlignment w:val="auto"/>
              <w:rPr>
                <w:rStyle w:val="338"/>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内容完整性和编制水平</w:t>
            </w:r>
          </w:p>
        </w:tc>
        <w:tc>
          <w:tcPr>
            <w:tcW w:w="5210" w:type="dxa"/>
            <w:gridSpan w:val="2"/>
            <w:vMerge w:val="restart"/>
            <w:tcBorders>
              <w:top w:val="single" w:color="000000" w:sz="4" w:space="0"/>
              <w:left w:val="single" w:color="000000" w:sz="4" w:space="0"/>
              <w:right w:val="single" w:color="000000" w:sz="4" w:space="0"/>
            </w:tcBorders>
            <w:vAlign w:val="center"/>
          </w:tcPr>
          <w:p w14:paraId="30F082FD">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评标委员会按第2.2.2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各评审因素设定的分值评分。</w:t>
            </w:r>
          </w:p>
          <w:p w14:paraId="59203D83">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所有评委打分算术平均值为该投标人技术方案得分。</w:t>
            </w:r>
          </w:p>
          <w:p w14:paraId="41998C1B">
            <w:pPr>
              <w:pStyle w:val="340"/>
              <w:keepNext w:val="0"/>
              <w:keepLines w:val="0"/>
              <w:pageBreakBefore w:val="0"/>
              <w:widowControl w:val="0"/>
              <w:kinsoku/>
              <w:wordWrap/>
              <w:overflowPunct/>
              <w:topLinePunct w:val="0"/>
              <w:bidi w:val="0"/>
              <w:spacing w:line="312" w:lineRule="auto"/>
              <w:ind w:firstLine="210"/>
              <w:textAlignment w:val="auto"/>
              <w:rPr>
                <w:rStyle w:val="338"/>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技术方案得分的最终结果取小数点后两位，第三位四舍五入。</w:t>
            </w:r>
          </w:p>
        </w:tc>
      </w:tr>
      <w:tr w14:paraId="4865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38" w:type="dxa"/>
            <w:vMerge w:val="continue"/>
            <w:tcBorders>
              <w:left w:val="single" w:color="000000" w:sz="4" w:space="0"/>
              <w:right w:val="single" w:color="000000" w:sz="4" w:space="0"/>
            </w:tcBorders>
            <w:vAlign w:val="center"/>
          </w:tcPr>
          <w:p w14:paraId="4E377EDB">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right w:val="single" w:color="000000" w:sz="4" w:space="0"/>
            </w:tcBorders>
            <w:vAlign w:val="center"/>
          </w:tcPr>
          <w:p w14:paraId="70E1C157">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auto" w:sz="4" w:space="0"/>
              <w:right w:val="single" w:color="000000" w:sz="4" w:space="0"/>
            </w:tcBorders>
            <w:vAlign w:val="center"/>
          </w:tcPr>
          <w:p w14:paraId="7206C120">
            <w:pPr>
              <w:keepNext w:val="0"/>
              <w:keepLines w:val="0"/>
              <w:pageBreakBefore w:val="0"/>
              <w:widowControl w:val="0"/>
              <w:kinsoku/>
              <w:wordWrap/>
              <w:overflowPunct/>
              <w:topLinePunct w:val="0"/>
              <w:bidi w:val="0"/>
              <w:snapToGrid w:val="0"/>
              <w:spacing w:line="312" w:lineRule="auto"/>
              <w:jc w:val="left"/>
              <w:textAlignment w:val="auto"/>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施工方案与技术措施</w:t>
            </w:r>
          </w:p>
        </w:tc>
        <w:tc>
          <w:tcPr>
            <w:tcW w:w="5210" w:type="dxa"/>
            <w:gridSpan w:val="2"/>
            <w:vMerge w:val="continue"/>
            <w:tcBorders>
              <w:left w:val="single" w:color="000000" w:sz="4" w:space="0"/>
              <w:right w:val="single" w:color="000000" w:sz="4" w:space="0"/>
            </w:tcBorders>
            <w:vAlign w:val="center"/>
          </w:tcPr>
          <w:p w14:paraId="221114E5">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4712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38" w:type="dxa"/>
            <w:vMerge w:val="continue"/>
            <w:tcBorders>
              <w:left w:val="single" w:color="000000" w:sz="4" w:space="0"/>
              <w:right w:val="single" w:color="000000" w:sz="4" w:space="0"/>
            </w:tcBorders>
            <w:vAlign w:val="center"/>
          </w:tcPr>
          <w:p w14:paraId="459B2D39">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right w:val="single" w:color="000000" w:sz="4" w:space="0"/>
            </w:tcBorders>
            <w:vAlign w:val="center"/>
          </w:tcPr>
          <w:p w14:paraId="71218AF9">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auto" w:sz="4" w:space="0"/>
              <w:right w:val="single" w:color="000000" w:sz="4" w:space="0"/>
            </w:tcBorders>
            <w:vAlign w:val="center"/>
          </w:tcPr>
          <w:p w14:paraId="0747EC06">
            <w:pPr>
              <w:keepNext w:val="0"/>
              <w:keepLines w:val="0"/>
              <w:pageBreakBefore w:val="0"/>
              <w:widowControl w:val="0"/>
              <w:kinsoku/>
              <w:wordWrap/>
              <w:overflowPunct/>
              <w:topLinePunct w:val="0"/>
              <w:bidi w:val="0"/>
              <w:snapToGrid w:val="0"/>
              <w:spacing w:line="312" w:lineRule="auto"/>
              <w:jc w:val="left"/>
              <w:textAlignment w:val="auto"/>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质量管理体系与措施</w:t>
            </w:r>
          </w:p>
        </w:tc>
        <w:tc>
          <w:tcPr>
            <w:tcW w:w="5210" w:type="dxa"/>
            <w:gridSpan w:val="2"/>
            <w:vMerge w:val="continue"/>
            <w:tcBorders>
              <w:left w:val="single" w:color="000000" w:sz="4" w:space="0"/>
              <w:right w:val="single" w:color="000000" w:sz="4" w:space="0"/>
            </w:tcBorders>
            <w:vAlign w:val="center"/>
          </w:tcPr>
          <w:p w14:paraId="148F2F84">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118F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8" w:type="dxa"/>
            <w:vMerge w:val="continue"/>
            <w:tcBorders>
              <w:left w:val="single" w:color="000000" w:sz="4" w:space="0"/>
              <w:right w:val="single" w:color="000000" w:sz="4" w:space="0"/>
            </w:tcBorders>
            <w:vAlign w:val="center"/>
          </w:tcPr>
          <w:p w14:paraId="0D62B705">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right w:val="single" w:color="000000" w:sz="4" w:space="0"/>
            </w:tcBorders>
            <w:vAlign w:val="center"/>
          </w:tcPr>
          <w:p w14:paraId="668BAB9E">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auto" w:sz="4" w:space="0"/>
              <w:right w:val="single" w:color="000000" w:sz="4" w:space="0"/>
            </w:tcBorders>
            <w:vAlign w:val="center"/>
          </w:tcPr>
          <w:p w14:paraId="437D98F6">
            <w:pPr>
              <w:keepNext w:val="0"/>
              <w:keepLines w:val="0"/>
              <w:pageBreakBefore w:val="0"/>
              <w:widowControl w:val="0"/>
              <w:kinsoku/>
              <w:wordWrap/>
              <w:overflowPunct/>
              <w:topLinePunct w:val="0"/>
              <w:bidi w:val="0"/>
              <w:snapToGrid w:val="0"/>
              <w:spacing w:line="312" w:lineRule="auto"/>
              <w:jc w:val="left"/>
              <w:textAlignment w:val="auto"/>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安全管理体系与措施</w:t>
            </w:r>
          </w:p>
        </w:tc>
        <w:tc>
          <w:tcPr>
            <w:tcW w:w="5210" w:type="dxa"/>
            <w:gridSpan w:val="2"/>
            <w:vMerge w:val="continue"/>
            <w:tcBorders>
              <w:left w:val="single" w:color="000000" w:sz="4" w:space="0"/>
              <w:right w:val="single" w:color="000000" w:sz="4" w:space="0"/>
            </w:tcBorders>
            <w:vAlign w:val="center"/>
          </w:tcPr>
          <w:p w14:paraId="24885034">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6813F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38" w:type="dxa"/>
            <w:vMerge w:val="continue"/>
            <w:tcBorders>
              <w:left w:val="single" w:color="000000" w:sz="4" w:space="0"/>
              <w:right w:val="single" w:color="000000" w:sz="4" w:space="0"/>
            </w:tcBorders>
            <w:vAlign w:val="center"/>
          </w:tcPr>
          <w:p w14:paraId="6F0961E4">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right w:val="single" w:color="000000" w:sz="4" w:space="0"/>
            </w:tcBorders>
            <w:vAlign w:val="center"/>
          </w:tcPr>
          <w:p w14:paraId="69258DF9">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auto" w:sz="4" w:space="0"/>
              <w:right w:val="single" w:color="000000" w:sz="4" w:space="0"/>
            </w:tcBorders>
            <w:vAlign w:val="center"/>
          </w:tcPr>
          <w:p w14:paraId="70083D95">
            <w:pPr>
              <w:keepNext w:val="0"/>
              <w:keepLines w:val="0"/>
              <w:pageBreakBefore w:val="0"/>
              <w:widowControl w:val="0"/>
              <w:kinsoku/>
              <w:wordWrap/>
              <w:overflowPunct/>
              <w:topLinePunct w:val="0"/>
              <w:bidi w:val="0"/>
              <w:snapToGrid w:val="0"/>
              <w:spacing w:line="312" w:lineRule="auto"/>
              <w:jc w:val="left"/>
              <w:textAlignment w:val="auto"/>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环境保护管理体系措施</w:t>
            </w:r>
          </w:p>
        </w:tc>
        <w:tc>
          <w:tcPr>
            <w:tcW w:w="5210" w:type="dxa"/>
            <w:gridSpan w:val="2"/>
            <w:vMerge w:val="continue"/>
            <w:tcBorders>
              <w:left w:val="single" w:color="000000" w:sz="4" w:space="0"/>
              <w:right w:val="single" w:color="000000" w:sz="4" w:space="0"/>
            </w:tcBorders>
            <w:vAlign w:val="center"/>
          </w:tcPr>
          <w:p w14:paraId="5CADC9A5">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03B4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938" w:type="dxa"/>
            <w:vMerge w:val="continue"/>
            <w:tcBorders>
              <w:left w:val="single" w:color="000000" w:sz="4" w:space="0"/>
              <w:bottom w:val="single" w:color="000000" w:sz="4" w:space="0"/>
              <w:right w:val="single" w:color="000000" w:sz="4" w:space="0"/>
            </w:tcBorders>
            <w:vAlign w:val="center"/>
          </w:tcPr>
          <w:p w14:paraId="4DC0EF75">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bottom w:val="single" w:color="000000" w:sz="4" w:space="0"/>
              <w:right w:val="single" w:color="000000" w:sz="4" w:space="0"/>
            </w:tcBorders>
            <w:vAlign w:val="center"/>
          </w:tcPr>
          <w:p w14:paraId="31741B14">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auto" w:sz="4" w:space="0"/>
              <w:right w:val="single" w:color="000000" w:sz="4" w:space="0"/>
            </w:tcBorders>
            <w:vAlign w:val="center"/>
          </w:tcPr>
          <w:p w14:paraId="13F32BB9">
            <w:pPr>
              <w:keepNext w:val="0"/>
              <w:keepLines w:val="0"/>
              <w:pageBreakBefore w:val="0"/>
              <w:widowControl w:val="0"/>
              <w:kinsoku/>
              <w:wordWrap/>
              <w:overflowPunct/>
              <w:topLinePunct w:val="0"/>
              <w:bidi w:val="0"/>
              <w:snapToGrid w:val="0"/>
              <w:spacing w:line="312" w:lineRule="auto"/>
              <w:jc w:val="left"/>
              <w:textAlignment w:val="auto"/>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工程进度计划与措施</w:t>
            </w:r>
          </w:p>
        </w:tc>
        <w:tc>
          <w:tcPr>
            <w:tcW w:w="5210" w:type="dxa"/>
            <w:gridSpan w:val="2"/>
            <w:vMerge w:val="continue"/>
            <w:tcBorders>
              <w:left w:val="single" w:color="000000" w:sz="4" w:space="0"/>
              <w:right w:val="single" w:color="000000" w:sz="4" w:space="0"/>
            </w:tcBorders>
            <w:vAlign w:val="center"/>
          </w:tcPr>
          <w:p w14:paraId="675B2D47">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6CE6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938" w:type="dxa"/>
            <w:vMerge w:val="continue"/>
            <w:tcBorders>
              <w:left w:val="single" w:color="000000" w:sz="4" w:space="0"/>
              <w:bottom w:val="single" w:color="000000" w:sz="4" w:space="0"/>
              <w:right w:val="single" w:color="000000" w:sz="4" w:space="0"/>
            </w:tcBorders>
            <w:vAlign w:val="center"/>
          </w:tcPr>
          <w:p w14:paraId="16003A0F">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p>
        </w:tc>
        <w:tc>
          <w:tcPr>
            <w:tcW w:w="812" w:type="dxa"/>
            <w:vMerge w:val="continue"/>
            <w:tcBorders>
              <w:left w:val="single" w:color="000000" w:sz="4" w:space="0"/>
              <w:bottom w:val="single" w:color="000000" w:sz="4" w:space="0"/>
              <w:right w:val="single" w:color="000000" w:sz="4" w:space="0"/>
            </w:tcBorders>
            <w:vAlign w:val="center"/>
          </w:tcPr>
          <w:p w14:paraId="4C4BBAAB">
            <w:pPr>
              <w:keepNext w:val="0"/>
              <w:keepLines w:val="0"/>
              <w:pageBreakBefore w:val="0"/>
              <w:widowControl w:val="0"/>
              <w:kinsoku/>
              <w:wordWrap/>
              <w:overflowPunct/>
              <w:topLinePunct w:val="0"/>
              <w:bidi w:val="0"/>
              <w:spacing w:line="312" w:lineRule="auto"/>
              <w:textAlignment w:val="auto"/>
              <w:rPr>
                <w:rStyle w:val="338"/>
                <w:color w:val="000000" w:themeColor="text1"/>
                <w:szCs w:val="21"/>
                <w:highlight w:val="none"/>
                <w14:textFill>
                  <w14:solidFill>
                    <w14:schemeClr w14:val="tx1"/>
                  </w14:solidFill>
                </w14:textFill>
              </w:rPr>
            </w:pPr>
          </w:p>
        </w:tc>
        <w:tc>
          <w:tcPr>
            <w:tcW w:w="2600" w:type="dxa"/>
            <w:gridSpan w:val="4"/>
            <w:tcBorders>
              <w:top w:val="single" w:color="auto" w:sz="4" w:space="0"/>
              <w:left w:val="single" w:color="000000" w:sz="4" w:space="0"/>
              <w:bottom w:val="single" w:color="000000" w:sz="4" w:space="0"/>
              <w:right w:val="single" w:color="000000" w:sz="4" w:space="0"/>
            </w:tcBorders>
            <w:vAlign w:val="center"/>
          </w:tcPr>
          <w:p w14:paraId="57F7B6F4">
            <w:pPr>
              <w:keepNext w:val="0"/>
              <w:keepLines w:val="0"/>
              <w:pageBreakBefore w:val="0"/>
              <w:widowControl w:val="0"/>
              <w:kinsoku/>
              <w:wordWrap/>
              <w:overflowPunct/>
              <w:topLinePunct w:val="0"/>
              <w:bidi w:val="0"/>
              <w:snapToGrid w:val="0"/>
              <w:spacing w:line="312" w:lineRule="auto"/>
              <w:jc w:val="left"/>
              <w:textAlignment w:val="auto"/>
              <w:rPr>
                <w:rFonts w:hint="eastAsia" w:ascii="宋体" w:hAnsi="宋体" w:cs="宋体"/>
                <w:color w:val="000000" w:themeColor="text1"/>
                <w:kern w:val="0"/>
                <w:szCs w:val="21"/>
                <w:highlight w:val="none"/>
                <w:lang w:bidi="ar"/>
                <w14:textFill>
                  <w14:solidFill>
                    <w14:schemeClr w14:val="tx1"/>
                  </w14:solidFill>
                </w14:textFill>
              </w:rPr>
            </w:pPr>
            <w:r>
              <w:rPr>
                <w:rFonts w:ascii="宋体" w:hAnsi="宋体"/>
                <w:color w:val="000000" w:themeColor="text1"/>
                <w:kern w:val="0"/>
                <w:highlight w:val="none"/>
                <w14:textFill>
                  <w14:solidFill>
                    <w14:schemeClr w14:val="tx1"/>
                  </w14:solidFill>
                </w14:textFill>
              </w:rPr>
              <w:t>资源配备计划与先进性</w:t>
            </w:r>
          </w:p>
        </w:tc>
        <w:tc>
          <w:tcPr>
            <w:tcW w:w="5210" w:type="dxa"/>
            <w:gridSpan w:val="2"/>
            <w:vMerge w:val="continue"/>
            <w:tcBorders>
              <w:left w:val="single" w:color="000000" w:sz="4" w:space="0"/>
              <w:right w:val="single" w:color="000000" w:sz="4" w:space="0"/>
            </w:tcBorders>
            <w:vAlign w:val="center"/>
          </w:tcPr>
          <w:p w14:paraId="11BC1819">
            <w:pPr>
              <w:pStyle w:val="340"/>
              <w:keepNext w:val="0"/>
              <w:keepLines w:val="0"/>
              <w:pageBreakBefore w:val="0"/>
              <w:widowControl w:val="0"/>
              <w:kinsoku/>
              <w:wordWrap/>
              <w:overflowPunct/>
              <w:topLinePunct w:val="0"/>
              <w:bidi w:val="0"/>
              <w:spacing w:line="312" w:lineRule="auto"/>
              <w:ind w:firstLine="210"/>
              <w:textAlignment w:val="auto"/>
              <w:rPr>
                <w:rFonts w:ascii="宋体" w:hAnsi="宋体"/>
                <w:color w:val="000000" w:themeColor="text1"/>
                <w:kern w:val="0"/>
                <w:szCs w:val="21"/>
                <w:highlight w:val="none"/>
                <w14:textFill>
                  <w14:solidFill>
                    <w14:schemeClr w14:val="tx1"/>
                  </w14:solidFill>
                </w14:textFill>
              </w:rPr>
            </w:pPr>
          </w:p>
        </w:tc>
      </w:tr>
      <w:tr w14:paraId="40A0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tcBorders>
              <w:left w:val="single" w:color="000000" w:sz="4" w:space="0"/>
              <w:bottom w:val="single" w:color="000000" w:sz="4" w:space="0"/>
              <w:right w:val="single" w:color="000000" w:sz="4" w:space="0"/>
            </w:tcBorders>
            <w:vAlign w:val="center"/>
          </w:tcPr>
          <w:p w14:paraId="6D62A169">
            <w:pPr>
              <w:keepNext w:val="0"/>
              <w:keepLines w:val="0"/>
              <w:pageBreakBefore w:val="0"/>
              <w:widowControl w:val="0"/>
              <w:kinsoku/>
              <w:wordWrap/>
              <w:overflowPunct/>
              <w:topLinePunct w:val="0"/>
              <w:bidi w:val="0"/>
              <w:spacing w:line="312" w:lineRule="auto"/>
              <w:jc w:val="center"/>
              <w:textAlignment w:val="auto"/>
              <w:rPr>
                <w:rStyle w:val="338"/>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r>
              <w:rPr>
                <w:rFonts w:hint="eastAsia" w:ascii="宋体" w:hAnsi="宋体"/>
                <w:color w:val="000000" w:themeColor="text1"/>
                <w:highlight w:val="none"/>
                <w:lang w:val="en-US" w:eastAsia="zh-CN"/>
                <w14:textFill>
                  <w14:solidFill>
                    <w14:schemeClr w14:val="tx1"/>
                  </w14:solidFill>
                </w14:textFill>
              </w:rPr>
              <w:t>3</w:t>
            </w:r>
            <w:r>
              <w:rPr>
                <w:rFonts w:ascii="宋体" w:hAnsi="宋体"/>
                <w:color w:val="000000" w:themeColor="text1"/>
                <w:highlight w:val="none"/>
                <w14:textFill>
                  <w14:solidFill>
                    <w14:schemeClr w14:val="tx1"/>
                  </w14:solidFill>
                </w14:textFill>
              </w:rPr>
              <w:t>）</w:t>
            </w:r>
          </w:p>
        </w:tc>
        <w:tc>
          <w:tcPr>
            <w:tcW w:w="812" w:type="dxa"/>
            <w:tcBorders>
              <w:left w:val="single" w:color="000000" w:sz="4" w:space="0"/>
              <w:bottom w:val="single" w:color="000000" w:sz="4" w:space="0"/>
              <w:right w:val="single" w:color="000000" w:sz="4" w:space="0"/>
            </w:tcBorders>
            <w:vAlign w:val="center"/>
          </w:tcPr>
          <w:p w14:paraId="4DE9F23F">
            <w:pPr>
              <w:keepNext w:val="0"/>
              <w:keepLines w:val="0"/>
              <w:pageBreakBefore w:val="0"/>
              <w:widowControl w:val="0"/>
              <w:kinsoku/>
              <w:wordWrap/>
              <w:overflowPunct/>
              <w:topLinePunct w:val="0"/>
              <w:bidi w:val="0"/>
              <w:spacing w:line="312" w:lineRule="auto"/>
              <w:jc w:val="center"/>
              <w:textAlignment w:val="auto"/>
              <w:rPr>
                <w:rStyle w:val="338"/>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经济部分</w:t>
            </w:r>
            <w:r>
              <w:rPr>
                <w:rFonts w:ascii="宋体" w:hAnsi="宋体"/>
                <w:color w:val="000000" w:themeColor="text1"/>
                <w:kern w:val="0"/>
                <w:highlight w:val="none"/>
                <w14:textFill>
                  <w14:solidFill>
                    <w14:schemeClr w14:val="tx1"/>
                  </w14:solidFill>
                </w14:textFill>
              </w:rPr>
              <w:t>得分</w:t>
            </w:r>
            <w:r>
              <w:rPr>
                <w:rFonts w:ascii="宋体" w:hAnsi="宋体"/>
                <w:color w:val="000000" w:themeColor="text1"/>
                <w:spacing w:val="-8"/>
                <w:highlight w:val="none"/>
                <w14:textFill>
                  <w14:solidFill>
                    <w14:schemeClr w14:val="tx1"/>
                  </w14:solidFill>
                </w14:textFill>
              </w:rPr>
              <w:t>（</w:t>
            </w:r>
            <w:r>
              <w:rPr>
                <w:rFonts w:hint="eastAsia" w:ascii="宋体" w:hAnsi="宋体"/>
                <w:color w:val="000000" w:themeColor="text1"/>
                <w:spacing w:val="-8"/>
                <w:highlight w:val="none"/>
                <w14:textFill>
                  <w14:solidFill>
                    <w14:schemeClr w14:val="tx1"/>
                  </w14:solidFill>
                </w14:textFill>
              </w:rPr>
              <w:t>B</w:t>
            </w:r>
            <w:r>
              <w:rPr>
                <w:rFonts w:ascii="宋体" w:hAnsi="宋体"/>
                <w:color w:val="000000" w:themeColor="text1"/>
                <w:spacing w:val="-8"/>
                <w:highlight w:val="none"/>
                <w14:textFill>
                  <w14:solidFill>
                    <w14:schemeClr w14:val="tx1"/>
                  </w14:solidFill>
                </w14:textFill>
              </w:rPr>
              <w:t>）</w:t>
            </w:r>
          </w:p>
        </w:tc>
        <w:tc>
          <w:tcPr>
            <w:tcW w:w="2600" w:type="dxa"/>
            <w:gridSpan w:val="4"/>
            <w:tcBorders>
              <w:top w:val="single" w:color="auto" w:sz="4" w:space="0"/>
              <w:left w:val="single" w:color="000000" w:sz="4" w:space="0"/>
              <w:bottom w:val="single" w:color="000000" w:sz="4" w:space="0"/>
              <w:right w:val="single" w:color="000000" w:sz="4" w:space="0"/>
            </w:tcBorders>
            <w:vAlign w:val="center"/>
          </w:tcPr>
          <w:p w14:paraId="52DD0292">
            <w:pPr>
              <w:keepNext w:val="0"/>
              <w:keepLines w:val="0"/>
              <w:pageBreakBefore w:val="0"/>
              <w:widowControl w:val="0"/>
              <w:kinsoku/>
              <w:wordWrap/>
              <w:overflowPunct/>
              <w:topLinePunct w:val="0"/>
              <w:bidi w:val="0"/>
              <w:spacing w:line="312" w:lineRule="auto"/>
              <w:jc w:val="center"/>
              <w:textAlignment w:val="auto"/>
              <w:rPr>
                <w:rFonts w:ascii="宋体" w:hAnsi="宋体" w:cs="宋体"/>
                <w:color w:val="000000" w:themeColor="text1"/>
                <w:kern w:val="0"/>
                <w:szCs w:val="21"/>
                <w:highlight w:val="none"/>
                <w:lang w:bidi="ar"/>
                <w14:textFill>
                  <w14:solidFill>
                    <w14:schemeClr w14:val="tx1"/>
                  </w14:solidFill>
                </w14:textFill>
              </w:rPr>
            </w:pPr>
            <w:r>
              <w:rPr>
                <w:rFonts w:ascii="宋体" w:hAnsi="宋体"/>
                <w:color w:val="000000" w:themeColor="text1"/>
                <w:highlight w:val="none"/>
                <w14:textFill>
                  <w14:solidFill>
                    <w14:schemeClr w14:val="tx1"/>
                  </w14:solidFill>
                </w14:textFill>
              </w:rPr>
              <w:t>投标总报价</w:t>
            </w:r>
          </w:p>
        </w:tc>
        <w:tc>
          <w:tcPr>
            <w:tcW w:w="5210" w:type="dxa"/>
            <w:gridSpan w:val="2"/>
            <w:tcBorders>
              <w:left w:val="single" w:color="000000" w:sz="4" w:space="0"/>
              <w:right w:val="single" w:color="000000" w:sz="4" w:space="0"/>
            </w:tcBorders>
            <w:vAlign w:val="center"/>
          </w:tcPr>
          <w:p w14:paraId="2E78D17F">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所有通过初步评审及本章第2.2.2（3）目评审</w:t>
            </w:r>
            <w:r>
              <w:rPr>
                <w:rFonts w:ascii="宋体" w:hAnsi="宋体"/>
                <w:color w:val="000000" w:themeColor="text1"/>
                <w:kern w:val="0"/>
                <w:szCs w:val="21"/>
                <w:highlight w:val="none"/>
                <w14:textFill>
                  <w14:solidFill>
                    <w14:schemeClr w14:val="tx1"/>
                  </w14:solidFill>
                </w14:textFill>
              </w:rPr>
              <w:t>合格的投标人</w:t>
            </w:r>
            <w:r>
              <w:rPr>
                <w:rFonts w:hint="eastAsia" w:ascii="宋体" w:hAnsi="宋体"/>
                <w:color w:val="000000" w:themeColor="text1"/>
                <w:kern w:val="0"/>
                <w:szCs w:val="21"/>
                <w:highlight w:val="none"/>
                <w14:textFill>
                  <w14:solidFill>
                    <w14:schemeClr w14:val="tx1"/>
                  </w14:solidFill>
                </w14:textFill>
              </w:rPr>
              <w:t>的投标总报价，得本附表2.2.1规定分值的满分</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val="en-US" w:eastAsia="zh-CN"/>
                <w14:textFill>
                  <w14:solidFill>
                    <w14:schemeClr w14:val="tx1"/>
                  </w14:solidFill>
                </w14:textFill>
              </w:rPr>
              <w:t>70</w:t>
            </w:r>
            <w:r>
              <w:rPr>
                <w:rFonts w:hint="eastAsia" w:ascii="宋体" w:hAnsi="宋体"/>
                <w:color w:val="000000" w:themeColor="text1"/>
                <w:kern w:val="0"/>
                <w:szCs w:val="2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在此基础上，投标总报价与评标基准价相比，每增加1%扣</w:t>
            </w:r>
            <w:r>
              <w:rPr>
                <w:rFonts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u w:val="single"/>
                <w:lang w:val="en-US" w:eastAsia="zh-CN"/>
                <w14:textFill>
                  <w14:solidFill>
                    <w14:schemeClr w14:val="tx1"/>
                  </w14:solidFill>
                </w14:textFill>
              </w:rPr>
              <w:t xml:space="preserve">0.5 </w:t>
            </w:r>
            <w:r>
              <w:rPr>
                <w:rFonts w:ascii="宋体" w:hAnsi="宋体"/>
                <w:color w:val="000000" w:themeColor="text1"/>
                <w:szCs w:val="21"/>
                <w:highlight w:val="none"/>
                <w14:textFill>
                  <w14:solidFill>
                    <w14:schemeClr w14:val="tx1"/>
                  </w14:solidFill>
                </w14:textFill>
              </w:rPr>
              <w:t>分，每减少1%扣</w:t>
            </w:r>
            <w:r>
              <w:rPr>
                <w:rFonts w:hint="eastAsia" w:ascii="宋体" w:hAnsi="宋体"/>
                <w:color w:val="000000" w:themeColor="text1"/>
                <w:szCs w:val="21"/>
                <w:highlight w:val="none"/>
                <w:u w:val="single"/>
                <w:lang w:val="en-US" w:eastAsia="zh-CN"/>
                <w14:textFill>
                  <w14:solidFill>
                    <w14:schemeClr w14:val="tx1"/>
                  </w14:solidFill>
                </w14:textFill>
              </w:rPr>
              <w:t>0.25</w:t>
            </w:r>
            <w:r>
              <w:rPr>
                <w:rFonts w:ascii="宋体" w:hAnsi="宋体"/>
                <w:color w:val="000000" w:themeColor="text1"/>
                <w:szCs w:val="21"/>
                <w:highlight w:val="none"/>
                <w14:textFill>
                  <w14:solidFill>
                    <w14:schemeClr w14:val="tx1"/>
                  </w14:solidFill>
                </w14:textFill>
              </w:rPr>
              <w:t>分，扣完为止。</w:t>
            </w:r>
          </w:p>
          <w:p w14:paraId="67746AF1">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按插入法计算得分。</w:t>
            </w:r>
          </w:p>
          <w:p w14:paraId="37540789">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投标总报价得分最终结果取小数点后两位，第三位四舍五入。</w:t>
            </w:r>
          </w:p>
        </w:tc>
      </w:tr>
      <w:tr w14:paraId="6AAA9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499B21E">
            <w:pPr>
              <w:keepNext w:val="0"/>
              <w:keepLines w:val="0"/>
              <w:pageBreakBefore w:val="0"/>
              <w:widowControl w:val="0"/>
              <w:kinsoku/>
              <w:wordWrap/>
              <w:overflowPunct/>
              <w:topLinePunct w:val="0"/>
              <w:bidi w:val="0"/>
              <w:snapToGrid w:val="0"/>
              <w:spacing w:line="312" w:lineRule="auto"/>
              <w:ind w:firstLine="480" w:firstLineChars="200"/>
              <w:textAlignment w:val="auto"/>
              <w:rPr>
                <w:rStyle w:val="338"/>
                <w:color w:val="000000" w:themeColor="text1"/>
                <w:sz w:val="24"/>
                <w:highlight w:val="none"/>
                <w14:textFill>
                  <w14:solidFill>
                    <w14:schemeClr w14:val="tx1"/>
                  </w14:solidFill>
                </w14:textFill>
              </w:rPr>
            </w:pPr>
            <w:r>
              <w:rPr>
                <w:rStyle w:val="338"/>
                <w:color w:val="000000" w:themeColor="text1"/>
                <w:sz w:val="24"/>
                <w:highlight w:val="none"/>
                <w14:textFill>
                  <w14:solidFill>
                    <w14:schemeClr w14:val="tx1"/>
                  </w14:solidFill>
                </w14:textFill>
              </w:rPr>
              <w:t>3.2.3</w:t>
            </w:r>
          </w:p>
        </w:tc>
        <w:tc>
          <w:tcPr>
            <w:tcW w:w="2600" w:type="dxa"/>
            <w:gridSpan w:val="4"/>
            <w:tcBorders>
              <w:top w:val="single" w:color="000000" w:sz="4" w:space="0"/>
              <w:left w:val="single" w:color="000000" w:sz="4" w:space="0"/>
              <w:bottom w:val="single" w:color="000000" w:sz="4" w:space="0"/>
              <w:right w:val="single" w:color="000000" w:sz="4" w:space="0"/>
            </w:tcBorders>
            <w:vAlign w:val="center"/>
          </w:tcPr>
          <w:p w14:paraId="00A1BA60">
            <w:pPr>
              <w:keepNext w:val="0"/>
              <w:keepLines w:val="0"/>
              <w:pageBreakBefore w:val="0"/>
              <w:widowControl w:val="0"/>
              <w:kinsoku/>
              <w:wordWrap/>
              <w:overflowPunct/>
              <w:topLinePunct w:val="0"/>
              <w:bidi w:val="0"/>
              <w:snapToGrid w:val="0"/>
              <w:spacing w:line="312" w:lineRule="auto"/>
              <w:jc w:val="center"/>
              <w:textAlignment w:val="auto"/>
              <w:rPr>
                <w:rStyle w:val="338"/>
                <w:color w:val="000000" w:themeColor="text1"/>
                <w:szCs w:val="21"/>
                <w:highlight w:val="none"/>
                <w14:textFill>
                  <w14:solidFill>
                    <w14:schemeClr w14:val="tx1"/>
                  </w14:solidFill>
                </w14:textFill>
              </w:rPr>
            </w:pPr>
            <w:r>
              <w:rPr>
                <w:rStyle w:val="338"/>
                <w:color w:val="000000" w:themeColor="text1"/>
                <w:szCs w:val="21"/>
                <w:highlight w:val="none"/>
                <w14:textFill>
                  <w14:solidFill>
                    <w14:schemeClr w14:val="tx1"/>
                  </w14:solidFill>
                </w14:textFill>
              </w:rPr>
              <w:t>投标人得分</w:t>
            </w:r>
          </w:p>
        </w:tc>
        <w:tc>
          <w:tcPr>
            <w:tcW w:w="5210" w:type="dxa"/>
            <w:gridSpan w:val="2"/>
            <w:tcBorders>
              <w:top w:val="single" w:color="000000" w:sz="4" w:space="0"/>
              <w:left w:val="single" w:color="000000" w:sz="4" w:space="0"/>
              <w:bottom w:val="single" w:color="000000" w:sz="4" w:space="0"/>
              <w:right w:val="single" w:color="000000" w:sz="4" w:space="0"/>
            </w:tcBorders>
            <w:vAlign w:val="center"/>
          </w:tcPr>
          <w:p w14:paraId="1D4A000B">
            <w:pPr>
              <w:keepNext w:val="0"/>
              <w:keepLines w:val="0"/>
              <w:pageBreakBefore w:val="0"/>
              <w:widowControl w:val="0"/>
              <w:kinsoku/>
              <w:wordWrap/>
              <w:overflowPunct/>
              <w:topLinePunct w:val="0"/>
              <w:bidi w:val="0"/>
              <w:snapToGrid w:val="0"/>
              <w:spacing w:line="312" w:lineRule="auto"/>
              <w:textAlignment w:val="auto"/>
              <w:rPr>
                <w:rStyle w:val="338"/>
                <w:color w:val="000000" w:themeColor="text1"/>
                <w:szCs w:val="21"/>
                <w:highlight w:val="none"/>
                <w14:textFill>
                  <w14:solidFill>
                    <w14:schemeClr w14:val="tx1"/>
                  </w14:solidFill>
                </w14:textFill>
              </w:rPr>
            </w:pPr>
            <w:r>
              <w:rPr>
                <w:rStyle w:val="338"/>
                <w:color w:val="000000" w:themeColor="text1"/>
                <w:szCs w:val="21"/>
                <w:highlight w:val="none"/>
                <w14:textFill>
                  <w14:solidFill>
                    <w14:schemeClr w14:val="tx1"/>
                  </w14:solidFill>
                </w14:textFill>
              </w:rPr>
              <w:t>投标人得分=A+B</w:t>
            </w:r>
          </w:p>
        </w:tc>
      </w:tr>
    </w:tbl>
    <w:p w14:paraId="34A9FA47">
      <w:pPr>
        <w:pStyle w:val="31"/>
        <w:spacing w:line="360" w:lineRule="auto"/>
        <w:outlineLvl w:val="9"/>
        <w:rPr>
          <w:rFonts w:ascii="宋体" w:hAnsi="宋体" w:cs="宋体"/>
          <w:b w:val="0"/>
          <w:bCs w:val="0"/>
          <w:caps w:val="0"/>
          <w:color w:val="000000" w:themeColor="text1"/>
          <w:sz w:val="21"/>
          <w:szCs w:val="21"/>
          <w:highlight w:val="none"/>
          <w14:textFill>
            <w14:solidFill>
              <w14:schemeClr w14:val="tx1"/>
            </w14:solidFill>
          </w14:textFill>
        </w:rPr>
      </w:pPr>
    </w:p>
    <w:p w14:paraId="501EC0C7">
      <w:pPr>
        <w:rPr>
          <w:rFonts w:ascii="宋体" w:hAnsi="宋体" w:cs="宋体"/>
          <w:b w:val="0"/>
          <w:bCs w:val="0"/>
          <w:caps w:val="0"/>
          <w:color w:val="000000" w:themeColor="text1"/>
          <w:sz w:val="21"/>
          <w:szCs w:val="21"/>
          <w:highlight w:val="none"/>
          <w14:textFill>
            <w14:solidFill>
              <w14:schemeClr w14:val="tx1"/>
            </w14:solidFill>
          </w14:textFill>
        </w:rPr>
      </w:pPr>
    </w:p>
    <w:p w14:paraId="5D982687">
      <w:pPr>
        <w:rPr>
          <w:rFonts w:ascii="宋体" w:hAnsi="宋体" w:cs="宋体"/>
          <w:b w:val="0"/>
          <w:bCs w:val="0"/>
          <w:caps w:val="0"/>
          <w:color w:val="000000" w:themeColor="text1"/>
          <w:sz w:val="21"/>
          <w:szCs w:val="21"/>
          <w:highlight w:val="none"/>
          <w14:textFill>
            <w14:solidFill>
              <w14:schemeClr w14:val="tx1"/>
            </w14:solidFill>
          </w14:textFill>
        </w:rPr>
      </w:pPr>
    </w:p>
    <w:p w14:paraId="6E9E309F">
      <w:pPr>
        <w:rPr>
          <w:rFonts w:ascii="宋体" w:hAnsi="宋体" w:cs="宋体"/>
          <w:b w:val="0"/>
          <w:bCs w:val="0"/>
          <w:caps w:val="0"/>
          <w:color w:val="000000" w:themeColor="text1"/>
          <w:sz w:val="21"/>
          <w:szCs w:val="21"/>
          <w:highlight w:val="none"/>
          <w14:textFill>
            <w14:solidFill>
              <w14:schemeClr w14:val="tx1"/>
            </w14:solidFill>
          </w14:textFill>
        </w:rPr>
      </w:pPr>
    </w:p>
    <w:p w14:paraId="24633C9C">
      <w:pPr>
        <w:spacing w:line="360" w:lineRule="auto"/>
        <w:rPr>
          <w:rFonts w:hint="eastAsia" w:ascii="宋体" w:hAnsi="宋体" w:eastAsia="宋体" w:cs="宋体"/>
          <w:bCs/>
          <w:snapToGrid w:val="0"/>
          <w:color w:val="000000" w:themeColor="text1"/>
          <w:highlight w:val="none"/>
          <w14:textFill>
            <w14:solidFill>
              <w14:schemeClr w14:val="tx1"/>
            </w14:solidFill>
          </w14:textFill>
        </w:rPr>
      </w:pPr>
      <w:bookmarkStart w:id="686" w:name="_Toc27983289"/>
      <w:r>
        <w:rPr>
          <w:rFonts w:hint="eastAsia" w:ascii="宋体" w:hAnsi="宋体" w:eastAsia="宋体" w:cs="宋体"/>
          <w:b/>
          <w:snapToGrid w:val="0"/>
          <w:color w:val="000000" w:themeColor="text1"/>
          <w:sz w:val="28"/>
          <w:highlight w:val="none"/>
          <w14:textFill>
            <w14:solidFill>
              <w14:schemeClr w14:val="tx1"/>
            </w14:solidFill>
          </w14:textFill>
        </w:rPr>
        <w:t>1.  评审方法</w:t>
      </w:r>
      <w:bookmarkEnd w:id="686"/>
    </w:p>
    <w:p w14:paraId="459F689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bookmarkStart w:id="687" w:name="_Toc27983290"/>
      <w:r>
        <w:rPr>
          <w:rFonts w:hint="eastAsia" w:ascii="宋体" w:hAnsi="宋体" w:eastAsia="宋体" w:cs="宋体"/>
          <w:color w:val="000000" w:themeColor="text1"/>
          <w:highlight w:val="none"/>
          <w14:textFill>
            <w14:solidFill>
              <w14:schemeClr w14:val="tx1"/>
            </w14:solidFill>
          </w14:textFill>
        </w:rPr>
        <w:t>本次评标采用综合评估法。评标委员会按照本章第 2.2 款规定的评分标准进行评分，按得分由高到低顺序推荐中标候选人，或根据</w:t>
      </w:r>
      <w:r>
        <w:rPr>
          <w:rFonts w:hint="eastAsia" w:ascii="宋体" w:hAnsi="宋体" w:cs="宋体"/>
          <w:color w:val="000000" w:themeColor="text1"/>
          <w:highlight w:val="none"/>
          <w:lang w:eastAsia="zh-CN"/>
          <w14:textFill>
            <w14:solidFill>
              <w14:schemeClr w14:val="tx1"/>
            </w14:solidFill>
          </w14:textFill>
        </w:rPr>
        <w:t>比选人</w:t>
      </w:r>
      <w:r>
        <w:rPr>
          <w:rFonts w:hint="eastAsia" w:ascii="宋体" w:hAnsi="宋体" w:eastAsia="宋体" w:cs="宋体"/>
          <w:color w:val="000000" w:themeColor="text1"/>
          <w:highlight w:val="none"/>
          <w14:textFill>
            <w14:solidFill>
              <w14:schemeClr w14:val="tx1"/>
            </w14:solidFill>
          </w14:textFill>
        </w:rPr>
        <w:t>授权直接确定中标人，若出现投标人投标报价相同的，以评标办法前附表约定的原则确定排序。</w:t>
      </w:r>
    </w:p>
    <w:p w14:paraId="28262582">
      <w:pPr>
        <w:spacing w:line="360" w:lineRule="auto"/>
        <w:rPr>
          <w:rFonts w:hint="eastAsia" w:ascii="宋体" w:hAnsi="宋体" w:eastAsia="宋体" w:cs="宋体"/>
          <w:b/>
          <w:snapToGrid w:val="0"/>
          <w:color w:val="000000" w:themeColor="text1"/>
          <w:sz w:val="28"/>
          <w:highlight w:val="none"/>
          <w14:textFill>
            <w14:solidFill>
              <w14:schemeClr w14:val="tx1"/>
            </w14:solidFill>
          </w14:textFill>
        </w:rPr>
      </w:pPr>
      <w:r>
        <w:rPr>
          <w:rFonts w:hint="eastAsia" w:ascii="宋体" w:hAnsi="宋体" w:eastAsia="宋体" w:cs="宋体"/>
          <w:b/>
          <w:snapToGrid w:val="0"/>
          <w:color w:val="000000" w:themeColor="text1"/>
          <w:sz w:val="28"/>
          <w:highlight w:val="none"/>
          <w14:textFill>
            <w14:solidFill>
              <w14:schemeClr w14:val="tx1"/>
            </w14:solidFill>
          </w14:textFill>
        </w:rPr>
        <w:t>2.  评审标准</w:t>
      </w:r>
    </w:p>
    <w:bookmarkEnd w:id="687"/>
    <w:p w14:paraId="08E8970B">
      <w:pPr>
        <w:autoSpaceDE w:val="0"/>
        <w:autoSpaceDN w:val="0"/>
        <w:adjustRightInd w:val="0"/>
        <w:snapToGrid w:val="0"/>
        <w:spacing w:line="360" w:lineRule="auto"/>
        <w:jc w:val="left"/>
        <w:rPr>
          <w:rFonts w:hint="eastAsia" w:ascii="宋体" w:hAnsi="宋体" w:eastAsia="宋体" w:cs="宋体"/>
          <w:b/>
          <w:snapToGrid w:val="0"/>
          <w:color w:val="000000" w:themeColor="text1"/>
          <w:highlight w:val="none"/>
          <w14:textFill>
            <w14:solidFill>
              <w14:schemeClr w14:val="tx1"/>
            </w14:solidFill>
          </w14:textFill>
        </w:rPr>
      </w:pPr>
      <w:bookmarkStart w:id="688" w:name="_Toc27983293"/>
      <w:r>
        <w:rPr>
          <w:rFonts w:hint="eastAsia" w:ascii="宋体" w:hAnsi="宋体" w:eastAsia="宋体" w:cs="宋体"/>
          <w:b/>
          <w:snapToGrid w:val="0"/>
          <w:color w:val="000000" w:themeColor="text1"/>
          <w:highlight w:val="none"/>
          <w14:textFill>
            <w14:solidFill>
              <w14:schemeClr w14:val="tx1"/>
            </w14:solidFill>
          </w14:textFill>
        </w:rPr>
        <w:t>2.1  初步评审标准</w:t>
      </w:r>
    </w:p>
    <w:p w14:paraId="27D962FF">
      <w:pPr>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2.1.1 形式评审标准：见评审办法前附表。</w:t>
      </w:r>
    </w:p>
    <w:p w14:paraId="774DB772">
      <w:pPr>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2.1.2</w:t>
      </w:r>
      <w:r>
        <w:rPr>
          <w:rFonts w:hint="eastAsia" w:ascii="宋体" w:hAnsi="宋体" w:eastAsia="宋体" w:cs="宋体"/>
          <w:snapToGrid w:val="0"/>
          <w:color w:val="000000" w:themeColor="text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highlight w:val="none"/>
          <w14:textFill>
            <w14:solidFill>
              <w14:schemeClr w14:val="tx1"/>
            </w14:solidFill>
          </w14:textFill>
        </w:rPr>
        <w:t xml:space="preserve">资格评审标准：见评审办法前附表。 </w:t>
      </w:r>
    </w:p>
    <w:p w14:paraId="338EC0CD">
      <w:pPr>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2.1.3 响应性评审标准：见评审办法前附表。</w:t>
      </w:r>
    </w:p>
    <w:p w14:paraId="63F2ACBF">
      <w:pPr>
        <w:autoSpaceDE w:val="0"/>
        <w:autoSpaceDN w:val="0"/>
        <w:adjustRightInd w:val="0"/>
        <w:snapToGrid w:val="0"/>
        <w:spacing w:line="360" w:lineRule="auto"/>
        <w:jc w:val="left"/>
        <w:rPr>
          <w:rFonts w:hint="eastAsia" w:ascii="宋体" w:hAnsi="宋体" w:eastAsia="宋体" w:cs="宋体"/>
          <w:b/>
          <w:snapToGrid w:val="0"/>
          <w:color w:val="000000" w:themeColor="text1"/>
          <w:highlight w:val="none"/>
          <w14:textFill>
            <w14:solidFill>
              <w14:schemeClr w14:val="tx1"/>
            </w14:solidFill>
          </w14:textFill>
        </w:rPr>
      </w:pPr>
      <w:r>
        <w:rPr>
          <w:rFonts w:hint="eastAsia" w:ascii="宋体" w:hAnsi="宋体" w:eastAsia="宋体" w:cs="宋体"/>
          <w:b/>
          <w:snapToGrid w:val="0"/>
          <w:color w:val="000000" w:themeColor="text1"/>
          <w:highlight w:val="none"/>
          <w14:textFill>
            <w14:solidFill>
              <w14:schemeClr w14:val="tx1"/>
            </w14:solidFill>
          </w14:textFill>
        </w:rPr>
        <w:t>2.2  分值构成与评分标准</w:t>
      </w:r>
    </w:p>
    <w:p w14:paraId="46AB6AA9">
      <w:pPr>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2.2.1  分值构成</w:t>
      </w:r>
    </w:p>
    <w:p w14:paraId="18CA184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452717F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经济部分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060B0107">
      <w:pPr>
        <w:autoSpaceDE w:val="0"/>
        <w:autoSpaceDN w:val="0"/>
        <w:adjustRightInd w:val="0"/>
        <w:snapToGrid w:val="0"/>
        <w:spacing w:line="360" w:lineRule="auto"/>
        <w:ind w:firstLine="420" w:firstLineChars="200"/>
        <w:jc w:val="lef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2.2.</w:t>
      </w:r>
      <w:r>
        <w:rPr>
          <w:rFonts w:hint="eastAsia" w:ascii="宋体" w:hAnsi="宋体" w:eastAsia="宋体" w:cs="宋体"/>
          <w:snapToGrid w:val="0"/>
          <w:color w:val="000000" w:themeColor="text1"/>
          <w:highlight w:val="none"/>
          <w:lang w:val="en-US" w:eastAsia="zh-CN"/>
          <w14:textFill>
            <w14:solidFill>
              <w14:schemeClr w14:val="tx1"/>
            </w14:solidFill>
          </w14:textFill>
        </w:rPr>
        <w:t>2</w:t>
      </w:r>
      <w:r>
        <w:rPr>
          <w:rFonts w:hint="eastAsia" w:ascii="宋体" w:hAnsi="宋体" w:eastAsia="宋体" w:cs="宋体"/>
          <w:snapToGrid w:val="0"/>
          <w:color w:val="000000" w:themeColor="text1"/>
          <w:highlight w:val="none"/>
          <w14:textFill>
            <w14:solidFill>
              <w14:schemeClr w14:val="tx1"/>
            </w14:solidFill>
          </w14:textFill>
        </w:rPr>
        <w:t xml:space="preserve"> 评分标准</w:t>
      </w:r>
    </w:p>
    <w:p w14:paraId="2F00B80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评分标准：见评标办法前附表。</w:t>
      </w:r>
    </w:p>
    <w:p w14:paraId="4E89778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投标函部分及经济部分评审标准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5C1098A2">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评标基准价计算</w:t>
      </w:r>
    </w:p>
    <w:p w14:paraId="0A03895F">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000EB8B">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  投标报价的偏差率计算</w:t>
      </w:r>
    </w:p>
    <w:p w14:paraId="44385989">
      <w:pPr>
        <w:autoSpaceDE w:val="0"/>
        <w:autoSpaceDN w:val="0"/>
        <w:adjustRightInd w:val="0"/>
        <w:snapToGrid w:val="0"/>
        <w:spacing w:line="360" w:lineRule="auto"/>
        <w:ind w:firstLine="535" w:firstLineChars="255"/>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0ACC3968">
      <w:pPr>
        <w:autoSpaceDE w:val="0"/>
        <w:autoSpaceDN w:val="0"/>
        <w:adjustRightInd w:val="0"/>
        <w:snapToGrid w:val="0"/>
        <w:spacing w:line="360" w:lineRule="auto"/>
        <w:jc w:val="left"/>
        <w:rPr>
          <w:rFonts w:hint="eastAsia" w:ascii="宋体" w:hAnsi="宋体" w:eastAsia="宋体" w:cs="宋体"/>
          <w:b/>
          <w:snapToGrid w:val="0"/>
          <w:color w:val="000000" w:themeColor="text1"/>
          <w:sz w:val="28"/>
          <w:highlight w:val="none"/>
          <w14:textFill>
            <w14:solidFill>
              <w14:schemeClr w14:val="tx1"/>
            </w14:solidFill>
          </w14:textFill>
        </w:rPr>
      </w:pPr>
      <w:r>
        <w:rPr>
          <w:rFonts w:hint="eastAsia" w:ascii="宋体" w:hAnsi="宋体" w:eastAsia="宋体" w:cs="宋体"/>
          <w:b/>
          <w:snapToGrid w:val="0"/>
          <w:color w:val="000000" w:themeColor="text1"/>
          <w:sz w:val="28"/>
          <w:highlight w:val="none"/>
          <w14:textFill>
            <w14:solidFill>
              <w14:schemeClr w14:val="tx1"/>
            </w14:solidFill>
          </w14:textFill>
        </w:rPr>
        <w:t>3.  评审程序</w:t>
      </w:r>
    </w:p>
    <w:p w14:paraId="23A5BA69">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highlight w:val="none"/>
          <w14:textFill>
            <w14:solidFill>
              <w14:schemeClr w14:val="tx1"/>
            </w14:solidFill>
          </w14:textFill>
        </w:rPr>
        <w:t xml:space="preserve">3.1  </w:t>
      </w:r>
      <w:bookmarkEnd w:id="688"/>
      <w:r>
        <w:rPr>
          <w:rFonts w:hint="eastAsia" w:ascii="宋体" w:hAnsi="宋体" w:eastAsia="宋体" w:cs="宋体"/>
          <w:b/>
          <w:snapToGrid w:val="0"/>
          <w:color w:val="000000" w:themeColor="text1"/>
          <w:highlight w:val="none"/>
          <w14:textFill>
            <w14:solidFill>
              <w14:schemeClr w14:val="tx1"/>
            </w14:solidFill>
          </w14:textFill>
        </w:rPr>
        <w:t>初步评审</w:t>
      </w:r>
    </w:p>
    <w:p w14:paraId="46CFD86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bookmarkStart w:id="689" w:name="_Toc27983295"/>
      <w:r>
        <w:rPr>
          <w:rFonts w:hint="eastAsia" w:ascii="宋体" w:hAnsi="宋体" w:eastAsia="宋体" w:cs="宋体"/>
          <w:color w:val="000000" w:themeColor="text1"/>
          <w:kern w:val="0"/>
          <w:szCs w:val="21"/>
          <w:highlight w:val="none"/>
          <w14:textFill>
            <w14:solidFill>
              <w14:schemeClr w14:val="tx1"/>
            </w14:solidFill>
          </w14:textFill>
        </w:rPr>
        <w:t>3.1.1  评审委员会依据本章第 2.1 款规定的标准对比选</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进行初步评审。有一项不符合评审标准的，作否决</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6B5141A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作否决</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44C23D3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3项规定的任何一种情形的；</w:t>
      </w:r>
    </w:p>
    <w:p w14:paraId="7304610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本次</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有串通投标、弄虚作假等其他违反招投标相关法律、法规行为的</w:t>
      </w:r>
      <w:r>
        <w:rPr>
          <w:rFonts w:hint="eastAsia" w:ascii="宋体" w:hAnsi="宋体" w:eastAsia="宋体" w:cs="宋体"/>
          <w:color w:val="000000" w:themeColor="text1"/>
          <w:kern w:val="0"/>
          <w:szCs w:val="21"/>
          <w:highlight w:val="none"/>
          <w14:textFill>
            <w14:solidFill>
              <w14:schemeClr w14:val="tx1"/>
            </w14:solidFill>
          </w14:textFill>
        </w:rPr>
        <w:t>；</w:t>
      </w:r>
    </w:p>
    <w:p w14:paraId="22DD04F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）拒绝按</w:t>
      </w:r>
      <w:r>
        <w:rPr>
          <w:rFonts w:hint="eastAsia" w:ascii="宋体" w:hAnsi="宋体" w:eastAsia="宋体" w:cs="宋体"/>
          <w:color w:val="000000" w:themeColor="text1"/>
          <w:spacing w:val="-1"/>
          <w:kern w:val="0"/>
          <w:szCs w:val="21"/>
          <w:highlight w:val="none"/>
          <w14:textFill>
            <w14:solidFill>
              <w14:schemeClr w14:val="tx1"/>
            </w14:solidFill>
          </w14:textFill>
        </w:rPr>
        <w:t>评</w:t>
      </w:r>
      <w:r>
        <w:rPr>
          <w:rFonts w:hint="eastAsia" w:ascii="宋体" w:hAnsi="宋体" w:eastAsia="宋体" w:cs="宋体"/>
          <w:color w:val="000000" w:themeColor="text1"/>
          <w:kern w:val="0"/>
          <w:szCs w:val="21"/>
          <w:highlight w:val="none"/>
          <w14:textFill>
            <w14:solidFill>
              <w14:schemeClr w14:val="tx1"/>
            </w14:solidFill>
          </w14:textFill>
        </w:rPr>
        <w:t>审委员会要求澄清、说明或补正的。</w:t>
      </w:r>
    </w:p>
    <w:p w14:paraId="36671258">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  详细审查</w:t>
      </w:r>
      <w:bookmarkEnd w:id="689"/>
    </w:p>
    <w:p w14:paraId="74DF7C1C">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bookmarkStart w:id="690" w:name="_Toc27983296"/>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2845F712">
      <w:pPr>
        <w:spacing w:line="360" w:lineRule="auto"/>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）按本章第3.2.1（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）目规定的评审因素和分值对技术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计算出得分</w:t>
      </w:r>
      <w:r>
        <w:rPr>
          <w:rFonts w:hint="eastAsia" w:ascii="宋体" w:hAnsi="宋体"/>
          <w:color w:val="000000" w:themeColor="text1"/>
          <w:kern w:val="0"/>
          <w:szCs w:val="21"/>
          <w:highlight w:val="none"/>
          <w14:textFill>
            <w14:solidFill>
              <w14:schemeClr w14:val="tx1"/>
            </w14:solidFill>
          </w14:textFill>
        </w:rPr>
        <w:t>A</w:t>
      </w:r>
      <w:r>
        <w:rPr>
          <w:rFonts w:hint="eastAsia" w:ascii="宋体" w:hAnsi="宋体"/>
          <w:color w:val="000000" w:themeColor="text1"/>
          <w:kern w:val="0"/>
          <w:szCs w:val="21"/>
          <w:highlight w:val="none"/>
          <w:lang w:eastAsia="zh-CN"/>
          <w14:textFill>
            <w14:solidFill>
              <w14:schemeClr w14:val="tx1"/>
            </w14:solidFill>
          </w14:textFill>
        </w:rPr>
        <w:t>。</w:t>
      </w:r>
    </w:p>
    <w:p w14:paraId="10D7A2B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）按本章第3.2.1（</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）目规定的评审因素和分值对</w:t>
      </w:r>
      <w:r>
        <w:rPr>
          <w:rFonts w:hint="eastAsia" w:ascii="宋体" w:hAnsi="宋体"/>
          <w:color w:val="000000" w:themeColor="text1"/>
          <w:kern w:val="0"/>
          <w:szCs w:val="21"/>
          <w:highlight w:val="none"/>
          <w14:textFill>
            <w14:solidFill>
              <w14:schemeClr w14:val="tx1"/>
            </w14:solidFill>
          </w14:textFill>
        </w:rPr>
        <w:t>经济部分</w:t>
      </w:r>
      <w:r>
        <w:rPr>
          <w:rFonts w:ascii="宋体" w:hAnsi="宋体"/>
          <w:color w:val="000000" w:themeColor="text1"/>
          <w:kern w:val="0"/>
          <w:szCs w:val="21"/>
          <w:highlight w:val="none"/>
          <w14:textFill>
            <w14:solidFill>
              <w14:schemeClr w14:val="tx1"/>
            </w14:solidFill>
          </w14:textFill>
        </w:rPr>
        <w:t>计算出得分</w:t>
      </w:r>
      <w:r>
        <w:rPr>
          <w:rFonts w:hint="eastAsia" w:ascii="宋体" w:hAnsi="宋体"/>
          <w:color w:val="000000" w:themeColor="text1"/>
          <w:kern w:val="0"/>
          <w:szCs w:val="21"/>
          <w:highlight w:val="none"/>
          <w14:textFill>
            <w14:solidFill>
              <w14:schemeClr w14:val="tx1"/>
            </w14:solidFill>
          </w14:textFill>
        </w:rPr>
        <w:t>B。</w:t>
      </w:r>
    </w:p>
    <w:p w14:paraId="4123CD97">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评分分值计算保留小数点后两位，小数点后第三位“四舍五入”。</w:t>
      </w:r>
    </w:p>
    <w:p w14:paraId="57CD2987">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投标人得分=A+B</w:t>
      </w:r>
      <w:r>
        <w:rPr>
          <w:rFonts w:hint="eastAsia" w:ascii="宋体" w:hAnsi="宋体"/>
          <w:color w:val="000000" w:themeColor="text1"/>
          <w:kern w:val="0"/>
          <w:szCs w:val="21"/>
          <w:highlight w:val="none"/>
          <w14:textFill>
            <w14:solidFill>
              <w14:schemeClr w14:val="tx1"/>
            </w14:solidFill>
          </w14:textFill>
        </w:rPr>
        <w:t>。</w:t>
      </w:r>
    </w:p>
    <w:p w14:paraId="2952F6C4">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2.4</w:t>
      </w:r>
      <w:r>
        <w:rPr>
          <w:rFonts w:ascii="宋体" w:hAnsi="宋体"/>
          <w:color w:val="000000" w:themeColor="text1"/>
          <w:kern w:val="0"/>
          <w:szCs w:val="21"/>
          <w:highlight w:val="none"/>
          <w14:textFill>
            <w14:solidFill>
              <w14:schemeClr w14:val="tx1"/>
            </w14:solidFill>
          </w14:textFill>
        </w:rPr>
        <w:t xml:space="preserve">  投标报价有算术错误的，评标委员会按以下原则对投标报价进行修正，修正的价格经投标人书面确认后具有约束力。投标人不接受修正价格的，其投标作否决投标处理。</w:t>
      </w:r>
    </w:p>
    <w:p w14:paraId="32EED48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（1）投标文件中的大写金额和小写金额不一致的，以大写金额为准。</w:t>
      </w:r>
    </w:p>
    <w:p w14:paraId="30DD80FB">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3.3  </w:t>
      </w:r>
      <w:r>
        <w:rPr>
          <w:rFonts w:hint="eastAsia" w:ascii="宋体" w:hAnsi="宋体" w:eastAsia="宋体" w:cs="宋体"/>
          <w:b/>
          <w:color w:val="000000" w:themeColor="text1"/>
          <w:szCs w:val="21"/>
          <w:highlight w:val="none"/>
          <w:lang w:eastAsia="zh-CN"/>
          <w14:textFill>
            <w14:solidFill>
              <w14:schemeClr w14:val="tx1"/>
            </w14:solidFill>
          </w14:textFill>
        </w:rPr>
        <w:t>投标文件</w:t>
      </w:r>
      <w:r>
        <w:rPr>
          <w:rFonts w:hint="eastAsia" w:ascii="宋体" w:hAnsi="宋体" w:eastAsia="宋体" w:cs="宋体"/>
          <w:b/>
          <w:color w:val="000000" w:themeColor="text1"/>
          <w:szCs w:val="21"/>
          <w:highlight w:val="none"/>
          <w14:textFill>
            <w14:solidFill>
              <w14:schemeClr w14:val="tx1"/>
            </w14:solidFill>
          </w14:textFill>
        </w:rPr>
        <w:t>的澄清和补正</w:t>
      </w:r>
      <w:bookmarkEnd w:id="690"/>
    </w:p>
    <w:p w14:paraId="64832CD3">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bookmarkStart w:id="691" w:name="_Toc479262406"/>
      <w:bookmarkStart w:id="692" w:name="_Toc484465184"/>
      <w:bookmarkStart w:id="693" w:name="_Toc27983297"/>
      <w:r>
        <w:rPr>
          <w:rFonts w:ascii="宋体" w:hAnsi="宋体"/>
          <w:color w:val="000000" w:themeColor="text1"/>
          <w:kern w:val="0"/>
          <w:szCs w:val="21"/>
          <w:highlight w:val="none"/>
          <w14:textFill>
            <w14:solidFill>
              <w14:schemeClr w14:val="tx1"/>
            </w14:solidFill>
          </w14:textFill>
        </w:rPr>
        <w:t>3.3.1  在评标过程中，评标委员会可以书面形式要求投标人对所提交投标文件中不明确的内容进行书面澄清或说明，或者对细微偏差进行补正。评标委员会不接受投标人主动提出的澄清、说明或补正。</w:t>
      </w:r>
    </w:p>
    <w:p w14:paraId="4629B1FE">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14:paraId="2FF19CA2">
      <w:pPr>
        <w:autoSpaceDE w:val="0"/>
        <w:autoSpaceDN w:val="0"/>
        <w:adjustRightInd w:val="0"/>
        <w:snapToGrid w:val="0"/>
        <w:spacing w:line="360" w:lineRule="auto"/>
        <w:ind w:firstLine="535" w:firstLineChars="255"/>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评标委员会对投标人提交的澄清、说明或补正有疑问的，可以要求投标人进一步澄清、说明或补正，直至满足评标委员会的要求。</w:t>
      </w:r>
    </w:p>
    <w:p w14:paraId="0B97A066">
      <w:pPr>
        <w:autoSpaceDE w:val="0"/>
        <w:autoSpaceDN w:val="0"/>
        <w:adjustRightIn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  评审结果</w:t>
      </w:r>
      <w:bookmarkEnd w:id="691"/>
      <w:bookmarkEnd w:id="692"/>
      <w:bookmarkEnd w:id="693"/>
    </w:p>
    <w:p w14:paraId="5EB9875E">
      <w:pPr>
        <w:autoSpaceDE w:val="0"/>
        <w:autoSpaceDN w:val="0"/>
        <w:adjustRightIn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  除第二章“投标人须知”前附表授权直接确定中选人外，评审委员会按照得分由高到低的顺序推荐中标候选人。</w:t>
      </w:r>
    </w:p>
    <w:p w14:paraId="276EA6BB">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  评审委员会完成评审后，应当向比选人提交书面评审报告</w:t>
      </w:r>
      <w:r>
        <w:rPr>
          <w:rFonts w:hint="eastAsia" w:ascii="宋体" w:hAnsi="宋体" w:cs="宋体"/>
          <w:color w:val="000000" w:themeColor="text1"/>
          <w:szCs w:val="21"/>
          <w:highlight w:val="none"/>
          <w14:textFill>
            <w14:solidFill>
              <w14:schemeClr w14:val="tx1"/>
            </w14:solidFill>
          </w14:textFill>
        </w:rPr>
        <w:t>。</w:t>
      </w:r>
    </w:p>
    <w:p w14:paraId="5300FEAA">
      <w:pPr>
        <w:spacing w:line="360" w:lineRule="auto"/>
        <w:rPr>
          <w:color w:val="000000" w:themeColor="text1"/>
          <w:highlight w:val="none"/>
          <w14:textFill>
            <w14:solidFill>
              <w14:schemeClr w14:val="tx1"/>
            </w14:solidFill>
          </w14:textFill>
        </w:rPr>
      </w:pPr>
    </w:p>
    <w:p w14:paraId="77857297">
      <w:pPr>
        <w:pStyle w:val="31"/>
        <w:spacing w:line="360" w:lineRule="auto"/>
        <w:outlineLvl w:val="9"/>
        <w:rPr>
          <w:color w:val="000000" w:themeColor="text1"/>
          <w:highlight w:val="none"/>
          <w14:textFill>
            <w14:solidFill>
              <w14:schemeClr w14:val="tx1"/>
            </w14:solidFill>
          </w14:textFill>
        </w:rPr>
      </w:pPr>
    </w:p>
    <w:p w14:paraId="38188CBE">
      <w:pPr>
        <w:rPr>
          <w:color w:val="000000" w:themeColor="text1"/>
          <w:highlight w:val="none"/>
          <w14:textFill>
            <w14:solidFill>
              <w14:schemeClr w14:val="tx1"/>
            </w14:solidFill>
          </w14:textFill>
        </w:rPr>
      </w:pPr>
    </w:p>
    <w:p w14:paraId="10CC88A0">
      <w:pPr>
        <w:pStyle w:val="72"/>
        <w:rPr>
          <w:color w:val="000000" w:themeColor="text1"/>
          <w:highlight w:val="none"/>
          <w14:textFill>
            <w14:solidFill>
              <w14:schemeClr w14:val="tx1"/>
            </w14:solidFill>
          </w14:textFill>
        </w:rPr>
      </w:pPr>
    </w:p>
    <w:p w14:paraId="6C4FE84B">
      <w:pPr>
        <w:rPr>
          <w:rFonts w:hint="eastAsia"/>
          <w:color w:val="000000" w:themeColor="text1"/>
          <w:sz w:val="21"/>
          <w:szCs w:val="21"/>
          <w:highlight w:val="none"/>
          <w:lang w:eastAsia="zh-CN"/>
          <w14:textFill>
            <w14:solidFill>
              <w14:schemeClr w14:val="tx1"/>
            </w14:solidFill>
          </w14:textFill>
        </w:rPr>
      </w:pPr>
      <w:bookmarkStart w:id="694" w:name="_Toc230410480"/>
      <w:bookmarkStart w:id="695" w:name="_Toc277082627"/>
      <w:r>
        <w:rPr>
          <w:rFonts w:hint="eastAsia"/>
          <w:color w:val="000000" w:themeColor="text1"/>
          <w:sz w:val="21"/>
          <w:szCs w:val="21"/>
          <w:highlight w:val="none"/>
          <w:lang w:eastAsia="zh-CN"/>
          <w14:textFill>
            <w14:solidFill>
              <w14:schemeClr w14:val="tx1"/>
            </w14:solidFill>
          </w14:textFill>
        </w:rPr>
        <w:br w:type="page"/>
      </w:r>
    </w:p>
    <w:bookmarkEnd w:id="694"/>
    <w:bookmarkEnd w:id="695"/>
    <w:p w14:paraId="062928DC">
      <w:pPr>
        <w:pStyle w:val="33"/>
        <w:spacing w:line="360" w:lineRule="auto"/>
        <w:rPr>
          <w:rFonts w:ascii="宋体" w:hAnsi="宋体"/>
          <w:b/>
          <w:bCs w:val="0"/>
          <w:color w:val="000000" w:themeColor="text1"/>
          <w:sz w:val="28"/>
          <w:szCs w:val="28"/>
          <w:highlight w:val="none"/>
          <w:u w:val="single"/>
          <w:lang w:eastAsia="zh-CN"/>
          <w14:textFill>
            <w14:solidFill>
              <w14:schemeClr w14:val="tx1"/>
            </w14:solidFill>
          </w14:textFill>
        </w:rPr>
      </w:pPr>
      <w:r>
        <w:rPr>
          <w:rFonts w:ascii="宋体" w:hAnsi="宋体"/>
          <w:b/>
          <w:bCs w:val="0"/>
          <w:color w:val="000000" w:themeColor="text1"/>
          <w:sz w:val="28"/>
          <w:szCs w:val="28"/>
          <w:highlight w:val="none"/>
          <w:u w:val="single"/>
          <w:lang w:eastAsia="zh-CN"/>
          <w14:textFill>
            <w14:solidFill>
              <w14:schemeClr w14:val="tx1"/>
            </w14:solidFill>
          </w14:textFill>
        </w:rPr>
        <w:t>附件A：综合评估法否决投标情况一览表</w:t>
      </w:r>
    </w:p>
    <w:p w14:paraId="2104C606">
      <w:pPr>
        <w:pStyle w:val="33"/>
        <w:spacing w:line="360" w:lineRule="auto"/>
        <w:ind w:firstLine="420" w:firstLineChars="200"/>
        <w:jc w:val="both"/>
        <w:rPr>
          <w:rFonts w:ascii="宋体" w:hAnsi="宋体"/>
          <w:color w:val="000000" w:themeColor="text1"/>
          <w:sz w:val="21"/>
          <w:szCs w:val="21"/>
          <w:highlight w:val="none"/>
          <w:u w:val="none"/>
          <w:lang w:eastAsia="zh-CN"/>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tbl>
      <w:tblPr>
        <w:tblStyle w:val="47"/>
        <w:tblW w:w="9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151"/>
      </w:tblGrid>
      <w:tr w14:paraId="664AAE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23CCC03F">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7151" w:type="dxa"/>
            <w:vAlign w:val="center"/>
          </w:tcPr>
          <w:p w14:paraId="75B5E790">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否决投标条件</w:t>
            </w:r>
          </w:p>
        </w:tc>
      </w:tr>
      <w:tr w14:paraId="10F0E5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restart"/>
            <w:vAlign w:val="center"/>
          </w:tcPr>
          <w:p w14:paraId="0E87CBD8">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w:t>
            </w:r>
          </w:p>
        </w:tc>
        <w:tc>
          <w:tcPr>
            <w:tcW w:w="7151" w:type="dxa"/>
            <w:vAlign w:val="center"/>
          </w:tcPr>
          <w:p w14:paraId="4357B3F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A-1投标人的资质条件、营业执照及安全生产条件须满足投标人须知前附表1.4.1项的要求，否则由评标委员会作否决投标处理。</w:t>
            </w:r>
          </w:p>
        </w:tc>
      </w:tr>
      <w:tr w14:paraId="7DB7C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65201BF4">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223430D0">
            <w:pPr>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A-2投标人的财务须满足投标人须知前附表1.4.1项的要求，否则由评标委员会作否决投标处理。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如有）</w:t>
            </w:r>
          </w:p>
        </w:tc>
      </w:tr>
      <w:tr w14:paraId="35E07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0F918D79">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5DA23EB8">
            <w:pPr>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A-3投标人的业绩须满足投标人须知前附表1.4.1项的要求，否则由评标委员会作否决投标处理。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如有）</w:t>
            </w:r>
          </w:p>
        </w:tc>
      </w:tr>
      <w:tr w14:paraId="12A65D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4790FFB3">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E3C3D14">
            <w:pPr>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A-4投标人的投标截止日投标资格情况须满足投标人须知前附表1.4.1项的要求，否则由评标委员会作否决投标处理。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如有）</w:t>
            </w:r>
          </w:p>
        </w:tc>
      </w:tr>
      <w:tr w14:paraId="037DF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49A365F5">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298912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A-5投标人的项目经理资格要求须满足投标人须知前附表1.4.1项的要求，否则由评标委员会作否决投标处理。</w:t>
            </w:r>
          </w:p>
        </w:tc>
      </w:tr>
      <w:tr w14:paraId="6B3574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36911315">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E1007F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A-6投标人的其他要求须满足投标人须知前附表1.4.1项的要求，否则由评标委员会作否决投标处理。</w:t>
            </w:r>
          </w:p>
        </w:tc>
      </w:tr>
      <w:tr w14:paraId="327E2F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285650AF">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001E72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A-7联合体投标人应满足：</w:t>
            </w:r>
          </w:p>
          <w:p w14:paraId="13337436">
            <w:pPr>
              <w:numPr>
                <w:ilvl w:val="0"/>
                <w:numId w:val="3"/>
              </w:numPr>
              <w:spacing w:line="40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联合体各方应按照</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提供的格式签订联合体协议书，明确联合体牵头人和各方权利义务；</w:t>
            </w:r>
            <w:r>
              <w:rPr>
                <w:rFonts w:hint="eastAsia" w:ascii="宋体" w:hAnsi="宋体"/>
                <w:color w:val="000000" w:themeColor="text1"/>
                <w:szCs w:val="21"/>
                <w:highlight w:val="none"/>
                <w:lang w:val="en-US" w:eastAsia="zh-CN"/>
                <w14:textFill>
                  <w14:solidFill>
                    <w14:schemeClr w14:val="tx1"/>
                  </w14:solidFill>
                </w14:textFill>
              </w:rPr>
              <w:t>.</w:t>
            </w:r>
          </w:p>
          <w:p w14:paraId="182C5635">
            <w:pPr>
              <w:pStyle w:val="2"/>
              <w:numPr>
                <w:ilvl w:val="0"/>
                <w:numId w:val="3"/>
              </w:numPr>
              <w:rPr>
                <w:rFonts w:hint="eastAsia"/>
                <w:lang w:val="en-US" w:eastAsia="zh-CN"/>
              </w:rPr>
            </w:pPr>
          </w:p>
          <w:p w14:paraId="394402A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（2）联合体各方均应当具备承担招标项目的相应能力，联合体协议约定同一专业分工由两个及以上单位共同承担的，按照资质等级较低的单位确定资质等级；</w:t>
            </w:r>
          </w:p>
          <w:p w14:paraId="60D2B14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（3）联合体各方不得再以自己名义单独或参加其他联合体在同一标段中投标。</w:t>
            </w:r>
          </w:p>
          <w:p w14:paraId="7F0E322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7C8BC4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6FD458D9">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w:t>
            </w:r>
          </w:p>
        </w:tc>
        <w:tc>
          <w:tcPr>
            <w:tcW w:w="7151" w:type="dxa"/>
          </w:tcPr>
          <w:p w14:paraId="66455F4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A-8投标人名称必须与营业执照、资质证书、安全生产许可证一致，依法变更名称的应提交相应证明材料，</w:t>
            </w:r>
            <w:r>
              <w:rPr>
                <w:rFonts w:ascii="宋体" w:hAnsi="宋体"/>
                <w:color w:val="000000" w:themeColor="text1"/>
                <w:szCs w:val="21"/>
                <w:highlight w:val="none"/>
                <w14:textFill>
                  <w14:solidFill>
                    <w14:schemeClr w14:val="tx1"/>
                  </w14:solidFill>
                </w14:textFill>
              </w:rPr>
              <w:t>否则</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p>
        </w:tc>
      </w:tr>
      <w:tr w14:paraId="1C5C6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FC2040C">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tcPr>
          <w:p w14:paraId="7895638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A-9投标文件格式（不含投标函部分）</w:t>
            </w:r>
            <w:r>
              <w:rPr>
                <w:rFonts w:hint="eastAsia" w:ascii="宋体" w:hAnsi="宋体" w:cs="宋体"/>
                <w:color w:val="000000" w:themeColor="text1"/>
                <w:kern w:val="0"/>
                <w:highlight w:val="none"/>
                <w14:textFill>
                  <w14:solidFill>
                    <w14:schemeClr w14:val="tx1"/>
                  </w14:solidFill>
                </w14:textFill>
              </w:rPr>
              <w:t>符合第二章“投标人须知”第3.7款规定</w:t>
            </w:r>
            <w:r>
              <w:rPr>
                <w:rFonts w:hint="eastAsia" w:ascii="宋体" w:hAnsi="宋体"/>
                <w:color w:val="000000" w:themeColor="text1"/>
                <w:szCs w:val="21"/>
                <w:highlight w:val="none"/>
                <w14:textFill>
                  <w14:solidFill>
                    <w14:schemeClr w14:val="tx1"/>
                  </w14:solidFill>
                </w14:textFill>
              </w:rPr>
              <w:t>，否则由评标委员会作否决投标处理。</w:t>
            </w:r>
          </w:p>
          <w:p w14:paraId="2308E30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编制投标文件时不得对第八章“投标文件格式”的相应要素作实质性修改，否则视为重大偏差，由评标委员会作否决投标处理。</w:t>
            </w:r>
          </w:p>
        </w:tc>
      </w:tr>
      <w:tr w14:paraId="09A96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52CCB75">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tcPr>
          <w:p w14:paraId="50164D5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-10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79A8D5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A608735">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tcPr>
          <w:p w14:paraId="425EA18D">
            <w:pPr>
              <w:autoSpaceDE w:val="0"/>
              <w:autoSpaceDN w:val="0"/>
              <w:adjustRightInd w:val="0"/>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A-11 </w:t>
            </w:r>
            <w:r>
              <w:rPr>
                <w:rFonts w:hint="eastAsia" w:ascii="宋体" w:hAnsi="宋体" w:cs="宋体"/>
                <w:color w:val="000000" w:themeColor="text1"/>
                <w:kern w:val="0"/>
                <w:highlight w:val="none"/>
                <w14:textFill>
                  <w14:solidFill>
                    <w14:schemeClr w14:val="tx1"/>
                  </w14:solidFill>
                </w14:textFill>
              </w:rPr>
              <w:t>第八章 投标文件格式（不含投标函部分）要求法定代表人或其委托代理人</w:t>
            </w:r>
            <w:r>
              <w:rPr>
                <w:rFonts w:hint="eastAsia" w:ascii="宋体" w:hAnsi="宋体" w:cs="宋体"/>
                <w:color w:val="000000" w:themeColor="text1"/>
                <w:kern w:val="0"/>
                <w:highlight w:val="none"/>
                <w:lang w:eastAsia="zh-CN"/>
                <w14:textFill>
                  <w14:solidFill>
                    <w14:schemeClr w14:val="tx1"/>
                  </w14:solidFill>
                </w14:textFill>
              </w:rPr>
              <w:t>签名</w:t>
            </w:r>
            <w:r>
              <w:rPr>
                <w:rFonts w:hint="eastAsia" w:ascii="宋体" w:hAnsi="宋体" w:cs="宋体"/>
                <w:color w:val="000000" w:themeColor="text1"/>
                <w:kern w:val="0"/>
                <w:highlight w:val="none"/>
                <w14:textFill>
                  <w14:solidFill>
                    <w14:schemeClr w14:val="tx1"/>
                  </w14:solidFill>
                </w14:textFill>
              </w:rPr>
              <w:t>（或盖章）的须齐全。否则由评标委员会作否决投标处理。</w:t>
            </w:r>
          </w:p>
          <w:p w14:paraId="2C3D0606">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第八章 投标文件格式（不含投标函部分）要求加盖单位法人章的须齐全。否则由评标委员会作否决投标处理。</w:t>
            </w:r>
          </w:p>
        </w:tc>
      </w:tr>
      <w:tr w14:paraId="46674D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E085105">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tcPr>
          <w:p w14:paraId="353E5A8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A-12投标人法定代表人的委托代理人有法定代表人签署的授权委托书和投标人为其缴纳的养老保险证明材料，否则由评标委员会作否决投标处理。</w:t>
            </w:r>
          </w:p>
        </w:tc>
      </w:tr>
      <w:tr w14:paraId="6BD66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70338FF5">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响应性评审</w:t>
            </w:r>
          </w:p>
        </w:tc>
        <w:tc>
          <w:tcPr>
            <w:tcW w:w="7151" w:type="dxa"/>
            <w:vAlign w:val="center"/>
          </w:tcPr>
          <w:p w14:paraId="4BB6FC0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A-13投标内容符合第二章“投标人须知”第1.3.1项规定，否则由评标委员会作否决投标处理。</w:t>
            </w:r>
          </w:p>
        </w:tc>
      </w:tr>
      <w:tr w14:paraId="0ECAA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4FF3443">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FDB473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A-14投标人应按投标人须知前附表第3.4款规定递交投标保证金。否则由评标委员会作否决投标处理。</w:t>
            </w:r>
          </w:p>
        </w:tc>
      </w:tr>
      <w:tr w14:paraId="3AD092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9B8A897">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288822E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A-15</w:t>
            </w:r>
            <w:r>
              <w:rPr>
                <w:rFonts w:ascii="宋体" w:hAnsi="宋体"/>
                <w:color w:val="000000" w:themeColor="text1"/>
                <w:szCs w:val="21"/>
                <w:highlight w:val="none"/>
                <w14:textFill>
                  <w14:solidFill>
                    <w14:schemeClr w14:val="tx1"/>
                  </w14:solidFill>
                </w14:textFill>
              </w:rPr>
              <w:t>符合第四章“合同条款及格式”规定，投标文件不应附有</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不能接受的条件</w:t>
            </w:r>
            <w:r>
              <w:rPr>
                <w:rFonts w:hint="eastAsia" w:ascii="宋体" w:hAnsi="宋体"/>
                <w:color w:val="000000" w:themeColor="text1"/>
                <w:szCs w:val="21"/>
                <w:highlight w:val="none"/>
                <w14:textFill>
                  <w14:solidFill>
                    <w14:schemeClr w14:val="tx1"/>
                  </w14:solidFill>
                </w14:textFill>
              </w:rPr>
              <w:t>，否则交由评标委员会作否决投标处理。</w:t>
            </w:r>
            <w:r>
              <w:rPr>
                <w:rFonts w:hint="eastAsia" w:ascii="宋体" w:hAnsi="宋体" w:cs="宋体"/>
                <w:color w:val="000000" w:themeColor="text1"/>
                <w:kern w:val="0"/>
                <w:highlight w:val="none"/>
                <w14:textFill>
                  <w14:solidFill>
                    <w14:schemeClr w14:val="tx1"/>
                  </w14:solidFill>
                </w14:textFill>
              </w:rPr>
              <w:t>（由投标人承诺，承诺书格式详见第八章投标文件格式。）</w:t>
            </w:r>
          </w:p>
        </w:tc>
      </w:tr>
      <w:tr w14:paraId="4DF65F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96A4A59">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05EEB39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16符合第七章“技术标准和要求”的规定，否则交由评标委员会作否决投标处理。</w:t>
            </w:r>
            <w:r>
              <w:rPr>
                <w:rFonts w:hint="eastAsia" w:ascii="宋体" w:hAnsi="宋体" w:cs="宋体"/>
                <w:color w:val="000000" w:themeColor="text1"/>
                <w:kern w:val="0"/>
                <w:highlight w:val="none"/>
                <w14:textFill>
                  <w14:solidFill>
                    <w14:schemeClr w14:val="tx1"/>
                  </w14:solidFill>
                </w14:textFill>
              </w:rPr>
              <w:t>（由投标人承诺，承诺书格式详见第八章投标文件格式。）</w:t>
            </w:r>
          </w:p>
        </w:tc>
      </w:tr>
      <w:tr w14:paraId="4218A9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tcBorders>
              <w:bottom w:val="single" w:color="auto" w:sz="4" w:space="0"/>
            </w:tcBorders>
            <w:vAlign w:val="center"/>
          </w:tcPr>
          <w:p w14:paraId="53E44B57">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30DF978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A-17投标人有以下情形之一的，其投标文件由评标委员会</w:t>
            </w:r>
            <w:r>
              <w:rPr>
                <w:rFonts w:ascii="宋体" w:hAnsi="宋体"/>
                <w:color w:val="000000" w:themeColor="text1"/>
                <w:szCs w:val="21"/>
                <w:highlight w:val="none"/>
                <w14:textFill>
                  <w14:solidFill>
                    <w14:schemeClr w14:val="tx1"/>
                  </w14:solidFill>
                </w14:textFill>
              </w:rPr>
              <w:t>作否决投标处理</w:t>
            </w:r>
            <w:r>
              <w:rPr>
                <w:rFonts w:hint="eastAsia" w:ascii="宋体" w:hAnsi="宋体"/>
                <w:color w:val="000000" w:themeColor="text1"/>
                <w:szCs w:val="21"/>
                <w:highlight w:val="none"/>
                <w14:textFill>
                  <w14:solidFill>
                    <w14:schemeClr w14:val="tx1"/>
                  </w14:solidFill>
                </w14:textFill>
              </w:rPr>
              <w:t>：</w:t>
            </w:r>
          </w:p>
          <w:p w14:paraId="1665CC1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1.第二章“投标人须知”第1.4.3项规定的任何一种情形的；</w:t>
            </w:r>
          </w:p>
          <w:p w14:paraId="6E58AD1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2.本次投标有串通投标、弄虚作假等违反招投标相关法律、法规的行为的；</w:t>
            </w:r>
          </w:p>
          <w:p w14:paraId="5898B5C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3.拒绝按评标委员会要求澄清、说明或补正的。</w:t>
            </w:r>
          </w:p>
        </w:tc>
      </w:tr>
      <w:tr w14:paraId="723BC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tcBorders>
              <w:top w:val="single" w:color="auto" w:sz="4" w:space="0"/>
            </w:tcBorders>
            <w:vAlign w:val="center"/>
          </w:tcPr>
          <w:p w14:paraId="30C05E2E">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投标函部分</w:t>
            </w:r>
            <w:r>
              <w:rPr>
                <w:rFonts w:ascii="宋体" w:hAnsi="宋体"/>
                <w:color w:val="000000" w:themeColor="text1"/>
                <w:szCs w:val="21"/>
                <w:highlight w:val="none"/>
                <w14:textFill>
                  <w14:solidFill>
                    <w14:schemeClr w14:val="tx1"/>
                  </w14:solidFill>
                </w14:textFill>
              </w:rPr>
              <w:t>及经济部分评审</w:t>
            </w:r>
          </w:p>
        </w:tc>
        <w:tc>
          <w:tcPr>
            <w:tcW w:w="7151" w:type="dxa"/>
            <w:tcBorders>
              <w:bottom w:val="single" w:color="auto" w:sz="4" w:space="0"/>
            </w:tcBorders>
            <w:vAlign w:val="center"/>
          </w:tcPr>
          <w:p w14:paraId="1B9252E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A-18</w:t>
            </w: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w:t>
            </w:r>
            <w:r>
              <w:rPr>
                <w:rFonts w:hint="eastAsia" w:ascii="宋体" w:hAnsi="宋体" w:cs="宋体"/>
                <w:color w:val="000000" w:themeColor="text1"/>
                <w:kern w:val="0"/>
                <w:highlight w:val="none"/>
                <w:lang w:eastAsia="zh-CN"/>
                <w14:textFill>
                  <w14:solidFill>
                    <w14:schemeClr w14:val="tx1"/>
                  </w14:solidFill>
                </w14:textFill>
              </w:rPr>
              <w:t>签名</w:t>
            </w:r>
            <w:r>
              <w:rPr>
                <w:rFonts w:hint="eastAsia" w:ascii="宋体" w:hAnsi="宋体" w:cs="宋体"/>
                <w:color w:val="000000" w:themeColor="text1"/>
                <w:kern w:val="0"/>
                <w:highlight w:val="none"/>
                <w14:textFill>
                  <w14:solidFill>
                    <w14:schemeClr w14:val="tx1"/>
                  </w14:solidFill>
                </w14:textFill>
              </w:rPr>
              <w:t>（或盖章）的须齐全。</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146690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0E644CF0">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11E1D22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工期符合第二章“投标人须知”第1.3.2项规定，否则由评标委员会作否决投标处理。</w:t>
            </w:r>
          </w:p>
        </w:tc>
      </w:tr>
      <w:tr w14:paraId="79D935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9280E1E">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2F2D30C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工程质量符合第二章“投标人须知”第1.3.3项规定，否则由评标委员会作否决投标处理。</w:t>
            </w:r>
          </w:p>
        </w:tc>
      </w:tr>
      <w:tr w14:paraId="2D5036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FBB4887">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20B5A0A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投标有效期符合第二章“投标人须知”第3.3.1项规定，否则由评标委员会作否决投标处理。</w:t>
            </w:r>
          </w:p>
        </w:tc>
      </w:tr>
      <w:tr w14:paraId="5FC2F7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FA8D24D">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763198D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投标函中的总报价不得高于</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lang w:val="en-US" w:eastAsia="zh-CN"/>
                <w14:textFill>
                  <w14:solidFill>
                    <w14:schemeClr w14:val="tx1"/>
                  </w14:solidFill>
                </w14:textFill>
              </w:rPr>
              <w:t>价格</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投标函中的总报价必须与已标价工程量清单中的投标总报价一致。</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5297C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DBC71F2">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21C6099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暂定金额（暂列金）必须按照</w:t>
            </w:r>
            <w:r>
              <w:rPr>
                <w:rFonts w:hint="eastAsia" w:ascii="宋体" w:hAnsi="宋体" w:cs="宋体"/>
                <w:color w:val="000000" w:themeColor="text1"/>
                <w:kern w:val="0"/>
                <w:highlight w:val="none"/>
                <w:lang w:eastAsia="zh-CN"/>
                <w14:textFill>
                  <w14:solidFill>
                    <w14:schemeClr w14:val="tx1"/>
                  </w14:solidFill>
                </w14:textFill>
              </w:rPr>
              <w:t>比选文件</w:t>
            </w:r>
            <w:r>
              <w:rPr>
                <w:rFonts w:hint="eastAsia" w:ascii="宋体" w:hAnsi="宋体" w:cs="宋体"/>
                <w:color w:val="000000" w:themeColor="text1"/>
                <w:kern w:val="0"/>
                <w:highlight w:val="none"/>
                <w14:textFill>
                  <w14:solidFill>
                    <w14:schemeClr w14:val="tx1"/>
                  </w14:solidFill>
                </w14:textFill>
              </w:rPr>
              <w:t>给定的金额填报</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64C45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05554D2">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4495060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只能有一个有效报价。在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没有规定的情况下，不得提交选择性报价，否则由评标委员会作否决投标处理。</w:t>
            </w:r>
          </w:p>
        </w:tc>
      </w:tr>
      <w:tr w14:paraId="39BB5B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8CE7202">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61A8DB5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A-2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投标人承诺已标价工程量清单满足第二章“投标人须知前附表”第3.2款第14条要求，如有差错则按第二章“投标人须知前附表”第3.2款第13条要求原则进行处理（或结算），否则由评标委员会作否决投标处理。</w:t>
            </w:r>
          </w:p>
        </w:tc>
      </w:tr>
      <w:tr w14:paraId="2CD615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A869A81">
            <w:pPr>
              <w:spacing w:line="400" w:lineRule="exact"/>
              <w:jc w:val="center"/>
              <w:rPr>
                <w:rFonts w:ascii="宋体" w:hAnsi="宋体"/>
                <w:color w:val="000000" w:themeColor="text1"/>
                <w:szCs w:val="21"/>
                <w:highlight w:val="none"/>
                <w14:textFill>
                  <w14:solidFill>
                    <w14:schemeClr w14:val="tx1"/>
                  </w14:solidFill>
                </w14:textFill>
              </w:rPr>
            </w:pPr>
          </w:p>
        </w:tc>
        <w:tc>
          <w:tcPr>
            <w:tcW w:w="7151" w:type="dxa"/>
            <w:vAlign w:val="center"/>
          </w:tcPr>
          <w:p w14:paraId="6752668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26</w:t>
            </w:r>
            <w:r>
              <w:rPr>
                <w:rFonts w:hint="eastAsia" w:ascii="宋体" w:hAnsi="宋体"/>
                <w:color w:val="000000" w:themeColor="text1"/>
                <w:szCs w:val="21"/>
                <w:highlight w:val="none"/>
                <w14:textFill>
                  <w14:solidFill>
                    <w14:schemeClr w14:val="tx1"/>
                  </w14:solidFill>
                </w14:textFill>
              </w:rPr>
              <w:t>投标报价有算术错误的，按照第三章“评标办法”第3.2.4项规定执行，否则由评标委员会作否决投标处理。</w:t>
            </w:r>
          </w:p>
        </w:tc>
      </w:tr>
      <w:tr w14:paraId="1A0D9E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6830999C">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w:t>
            </w:r>
          </w:p>
        </w:tc>
        <w:tc>
          <w:tcPr>
            <w:tcW w:w="7151" w:type="dxa"/>
          </w:tcPr>
          <w:p w14:paraId="204653B6">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tc>
      </w:tr>
    </w:tbl>
    <w:p w14:paraId="66D623CD">
      <w:pPr>
        <w:spacing w:line="2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bookmarkStart w:id="696" w:name="招标文件03章02评标办法综合评估法00"/>
      <w:bookmarkEnd w:id="696"/>
      <w:bookmarkStart w:id="697" w:name="招标文件03章02评标办法综合评估法"/>
      <w:bookmarkEnd w:id="697"/>
      <w:bookmarkStart w:id="698" w:name="_Toc200513198"/>
      <w:bookmarkStart w:id="699" w:name="_Toc287620751"/>
      <w:bookmarkStart w:id="700" w:name="_Toc430530500"/>
      <w:bookmarkStart w:id="701" w:name="_Toc287607812"/>
      <w:bookmarkStart w:id="702" w:name="_Toc224103384"/>
      <w:bookmarkStart w:id="703" w:name="_Toc277082618"/>
    </w:p>
    <w:bookmarkEnd w:id="698"/>
    <w:bookmarkEnd w:id="699"/>
    <w:bookmarkEnd w:id="700"/>
    <w:bookmarkEnd w:id="701"/>
    <w:bookmarkEnd w:id="702"/>
    <w:bookmarkEnd w:id="703"/>
    <w:p w14:paraId="7158E017">
      <w:pPr>
        <w:pStyle w:val="3"/>
        <w:spacing w:line="360" w:lineRule="auto"/>
        <w:outlineLvl w:val="9"/>
        <w:rPr>
          <w:rFonts w:ascii="宋体" w:hAnsi="宋体" w:cs="宋体"/>
          <w:color w:val="000000" w:themeColor="text1"/>
          <w:kern w:val="0"/>
          <w:highlight w:val="none"/>
          <w14:textFill>
            <w14:solidFill>
              <w14:schemeClr w14:val="tx1"/>
            </w14:solidFill>
          </w14:textFill>
        </w:rPr>
      </w:pPr>
      <w:bookmarkStart w:id="704" w:name="_Toc430530509"/>
      <w:bookmarkStart w:id="705" w:name="_Toc57820636"/>
      <w:bookmarkStart w:id="706" w:name="_Toc509218785"/>
      <w:bookmarkStart w:id="707" w:name="_Toc287607855"/>
      <w:bookmarkStart w:id="708" w:name="_Toc534185822"/>
      <w:bookmarkStart w:id="709" w:name="_Toc509218843"/>
      <w:bookmarkStart w:id="710" w:name="_Toc287620797"/>
      <w:bookmarkStart w:id="711" w:name="_Toc430530513"/>
      <w:bookmarkStart w:id="712" w:name="_Toc296503025"/>
      <w:bookmarkStart w:id="713" w:name="_Toc296890982"/>
      <w:bookmarkStart w:id="714" w:name="_Toc351203480"/>
    </w:p>
    <w:p w14:paraId="7B1C7FF0">
      <w:pPr>
        <w:pStyle w:val="3"/>
        <w:numPr>
          <w:ilvl w:val="0"/>
          <w:numId w:val="4"/>
        </w:numPr>
        <w:spacing w:line="360" w:lineRule="auto"/>
        <w:jc w:val="center"/>
        <w:rPr>
          <w:rFonts w:hint="eastAsia" w:ascii="宋体" w:hAnsi="宋体" w:cs="宋体"/>
          <w:snapToGrid w:val="0"/>
          <w:color w:val="000000" w:themeColor="text1"/>
          <w:kern w:val="0"/>
          <w:sz w:val="36"/>
          <w:szCs w:val="36"/>
          <w:highlight w:val="none"/>
          <w14:textFill>
            <w14:solidFill>
              <w14:schemeClr w14:val="tx1"/>
            </w14:solidFill>
          </w14:textFill>
        </w:rPr>
      </w:pPr>
      <w:bookmarkStart w:id="715" w:name="_Toc3093"/>
      <w:r>
        <w:rPr>
          <w:rFonts w:hint="eastAsia" w:ascii="宋体" w:hAnsi="宋体" w:cs="宋体"/>
          <w:snapToGrid w:val="0"/>
          <w:color w:val="000000" w:themeColor="text1"/>
          <w:kern w:val="0"/>
          <w:sz w:val="36"/>
          <w:szCs w:val="36"/>
          <w:highlight w:val="none"/>
          <w14:textFill>
            <w14:solidFill>
              <w14:schemeClr w14:val="tx1"/>
            </w14:solidFill>
          </w14:textFill>
        </w:rPr>
        <w:t xml:space="preserve"> </w:t>
      </w:r>
      <w:bookmarkStart w:id="716" w:name="_Toc17008"/>
      <w:bookmarkStart w:id="717" w:name="_Toc25688"/>
      <w:r>
        <w:rPr>
          <w:rFonts w:hint="eastAsia" w:ascii="宋体" w:hAnsi="宋体" w:cs="宋体"/>
          <w:snapToGrid w:val="0"/>
          <w:color w:val="000000" w:themeColor="text1"/>
          <w:kern w:val="0"/>
          <w:sz w:val="36"/>
          <w:szCs w:val="36"/>
          <w:highlight w:val="none"/>
          <w14:textFill>
            <w14:solidFill>
              <w14:schemeClr w14:val="tx1"/>
            </w14:solidFill>
          </w14:textFill>
        </w:rPr>
        <w:t>合同条款及格式</w:t>
      </w:r>
      <w:bookmarkEnd w:id="704"/>
      <w:bookmarkEnd w:id="705"/>
      <w:bookmarkEnd w:id="706"/>
      <w:bookmarkEnd w:id="715"/>
      <w:bookmarkEnd w:id="716"/>
      <w:bookmarkEnd w:id="717"/>
    </w:p>
    <w:p w14:paraId="66DEFFBB">
      <w:pPr>
        <w:widowControl w:val="0"/>
        <w:numPr>
          <w:ilvl w:val="0"/>
          <w:numId w:val="0"/>
        </w:numPr>
        <w:jc w:val="both"/>
        <w:rPr>
          <w:color w:val="000000" w:themeColor="text1"/>
          <w:highlight w:val="none"/>
          <w14:textFill>
            <w14:solidFill>
              <w14:schemeClr w14:val="tx1"/>
            </w14:solidFill>
          </w14:textFill>
        </w:rPr>
      </w:pPr>
    </w:p>
    <w:p w14:paraId="281255E9">
      <w:pPr>
        <w:bidi w:val="0"/>
        <w:jc w:val="center"/>
        <w:rPr>
          <w:rFonts w:hint="eastAsia"/>
          <w:color w:val="000000" w:themeColor="text1"/>
          <w:highlight w:val="none"/>
          <w14:textFill>
            <w14:solidFill>
              <w14:schemeClr w14:val="tx1"/>
            </w14:solidFill>
          </w14:textFill>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000000" w:themeColor="text1"/>
          <w:highlight w:val="none"/>
          <w14:textFill>
            <w14:solidFill>
              <w14:schemeClr w14:val="tx1"/>
            </w14:solidFill>
          </w14:textFill>
        </w:rPr>
        <w:t>本章节的合同文本为参考内容，最终以双方协商一致签订的合同为准</w:t>
      </w:r>
    </w:p>
    <w:p w14:paraId="48569BBD">
      <w:pPr>
        <w:pStyle w:val="45"/>
        <w:ind w:left="0" w:leftChars="0" w:firstLine="0" w:firstLineChars="0"/>
        <w:rPr>
          <w:rFonts w:hint="eastAsia"/>
          <w:color w:val="000000" w:themeColor="text1"/>
          <w:highlight w:val="none"/>
          <w14:textFill>
            <w14:solidFill>
              <w14:schemeClr w14:val="tx1"/>
            </w14:solidFill>
          </w14:textFill>
        </w:rPr>
      </w:pPr>
    </w:p>
    <w:p w14:paraId="6ED7331D">
      <w:pPr>
        <w:keepNext/>
        <w:keepLines/>
        <w:snapToGrid w:val="0"/>
        <w:spacing w:line="360" w:lineRule="auto"/>
        <w:jc w:val="center"/>
        <w:outlineLvl w:val="1"/>
        <w:rPr>
          <w:rFonts w:ascii="华文中宋" w:hAnsi="华文中宋" w:eastAsia="华文中宋" w:cs="Microsoft Sans Serif"/>
          <w:bCs/>
          <w:color w:val="000000" w:themeColor="text1"/>
          <w:sz w:val="44"/>
          <w:szCs w:val="44"/>
          <w:highlight w:val="none"/>
          <w:lang w:val="zh-CN"/>
          <w14:textFill>
            <w14:solidFill>
              <w14:schemeClr w14:val="tx1"/>
            </w14:solidFill>
          </w14:textFill>
        </w:rPr>
      </w:pPr>
      <w:bookmarkStart w:id="718" w:name="_Toc59810377"/>
      <w:bookmarkStart w:id="719" w:name="_Toc33183533"/>
      <w:bookmarkStart w:id="720" w:name="_Toc11194"/>
      <w:bookmarkStart w:id="721" w:name="_Toc3495"/>
      <w:r>
        <w:rPr>
          <w:rFonts w:hint="eastAsia" w:ascii="华文中宋" w:hAnsi="华文中宋" w:eastAsia="华文中宋" w:cs="Microsoft Sans Serif"/>
          <w:b/>
          <w:bCs/>
          <w:color w:val="000000" w:themeColor="text1"/>
          <w:sz w:val="44"/>
          <w:szCs w:val="44"/>
          <w:highlight w:val="none"/>
          <w:lang w:val="zh-CN"/>
          <w14:textFill>
            <w14:solidFill>
              <w14:schemeClr w14:val="tx1"/>
            </w14:solidFill>
          </w14:textFill>
        </w:rPr>
        <w:t>第一部分 合同协议书</w:t>
      </w:r>
      <w:bookmarkEnd w:id="718"/>
      <w:bookmarkEnd w:id="719"/>
      <w:bookmarkEnd w:id="720"/>
      <w:bookmarkEnd w:id="721"/>
    </w:p>
    <w:p w14:paraId="705AB7F1">
      <w:pPr>
        <w:snapToGrid w:val="0"/>
        <w:spacing w:line="600" w:lineRule="exact"/>
        <w:ind w:firstLine="482" w:firstLineChars="200"/>
        <w:rPr>
          <w:rFonts w:ascii="仿宋_GB2312" w:hAnsi="华文仿宋" w:eastAsia="仿宋_GB2312" w:cs="Microsoft Sans Serif"/>
          <w:b/>
          <w:color w:val="000000" w:themeColor="text1"/>
          <w:sz w:val="24"/>
          <w:highlight w:val="none"/>
          <w14:textFill>
            <w14:solidFill>
              <w14:schemeClr w14:val="tx1"/>
            </w14:solidFill>
          </w14:textFill>
        </w:rPr>
      </w:pPr>
    </w:p>
    <w:p w14:paraId="02AED264">
      <w:pPr>
        <w:snapToGrid w:val="0"/>
        <w:spacing w:line="600" w:lineRule="exact"/>
        <w:ind w:firstLine="422" w:firstLineChars="20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发包人（全称）：</w:t>
      </w:r>
      <w:r>
        <w:rPr>
          <w:rFonts w:hint="eastAsia" w:ascii="宋体" w:hAnsi="宋体" w:cs="宋体"/>
          <w:b/>
          <w:color w:val="000000" w:themeColor="text1"/>
          <w:szCs w:val="21"/>
          <w:highlight w:val="none"/>
          <w:u w:val="single"/>
          <w14:textFill>
            <w14:solidFill>
              <w14:schemeClr w14:val="tx1"/>
            </w14:solidFill>
          </w14:textFill>
        </w:rPr>
        <w:t xml:space="preserve">                                 </w:t>
      </w:r>
    </w:p>
    <w:p w14:paraId="2CA270B9">
      <w:pPr>
        <w:snapToGrid w:val="0"/>
        <w:spacing w:line="600" w:lineRule="exact"/>
        <w:ind w:firstLine="422" w:firstLineChars="20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承包人（全称）：</w:t>
      </w:r>
      <w:r>
        <w:rPr>
          <w:rFonts w:hint="eastAsia" w:ascii="宋体" w:hAnsi="宋体" w:cs="宋体"/>
          <w:b/>
          <w:color w:val="000000" w:themeColor="text1"/>
          <w:szCs w:val="21"/>
          <w:highlight w:val="none"/>
          <w:u w:val="single"/>
          <w14:textFill>
            <w14:solidFill>
              <w14:schemeClr w14:val="tx1"/>
            </w14:solidFill>
          </w14:textFill>
        </w:rPr>
        <w:t xml:space="preserve">                                 </w:t>
      </w:r>
    </w:p>
    <w:p w14:paraId="50EEB10C">
      <w:pPr>
        <w:snapToGrid w:val="0"/>
        <w:spacing w:line="600" w:lineRule="exact"/>
        <w:ind w:firstLine="420" w:firstLineChars="20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根据《中华人民共和国民法典》、《中华人民共和国建筑法》及有关法律、法规规定，遵循平等、自愿、公平和诚实信用的原则，双方就</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工程施工及有关事项协商一致，共同达成如下协议：</w:t>
      </w:r>
    </w:p>
    <w:p w14:paraId="34000B89">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2" w:name="_Toc33183534"/>
      <w:r>
        <w:rPr>
          <w:rFonts w:hint="eastAsia" w:ascii="宋体" w:hAnsi="宋体" w:cs="宋体"/>
          <w:b/>
          <w:bCs/>
          <w:color w:val="000000" w:themeColor="text1"/>
          <w:szCs w:val="21"/>
          <w:highlight w:val="none"/>
          <w:lang w:val="zh-CN"/>
          <w14:textFill>
            <w14:solidFill>
              <w14:schemeClr w14:val="tx1"/>
            </w14:solidFill>
          </w14:textFill>
        </w:rPr>
        <w:t>一、工程概况</w:t>
      </w:r>
      <w:bookmarkEnd w:id="722"/>
    </w:p>
    <w:p w14:paraId="39900561">
      <w:pPr>
        <w:snapToGrid w:val="0"/>
        <w:spacing w:line="6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1.工程名称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6156DE14">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2.工程地点：</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36B1788">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3.工程立项批准文号：</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bCs/>
          <w:color w:val="000000" w:themeColor="text1"/>
          <w:szCs w:val="21"/>
          <w:highlight w:val="none"/>
          <w14:textFill>
            <w14:solidFill>
              <w14:schemeClr w14:val="tx1"/>
            </w14:solidFill>
          </w14:textFill>
        </w:rPr>
        <w:t>。</w:t>
      </w:r>
    </w:p>
    <w:p w14:paraId="57397240">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4.资金来源：</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7DCE7F1">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5.工程内容：</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4923753">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6.工程承包范围：</w:t>
      </w:r>
      <w:r>
        <w:rPr>
          <w:rFonts w:hint="eastAsia" w:ascii="宋体" w:hAnsi="宋体" w:cs="宋体"/>
          <w:b/>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0D60483">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3" w:name="_Toc33183535"/>
      <w:r>
        <w:rPr>
          <w:rFonts w:hint="eastAsia" w:ascii="宋体" w:hAnsi="宋体" w:cs="宋体"/>
          <w:b/>
          <w:bCs/>
          <w:color w:val="000000" w:themeColor="text1"/>
          <w:szCs w:val="21"/>
          <w:highlight w:val="none"/>
          <w:lang w:val="zh-CN"/>
          <w14:textFill>
            <w14:solidFill>
              <w14:schemeClr w14:val="tx1"/>
            </w14:solidFill>
          </w14:textFill>
        </w:rPr>
        <w:t>二、合同工期</w:t>
      </w:r>
      <w:bookmarkEnd w:id="723"/>
    </w:p>
    <w:p w14:paraId="3EE6BF2C">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承包人投标函中承诺的工期总日历天数：</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日历天。工期总日历天数与根据下述计划开工完工（竣工）日期计算的工期天数不一致的，以工期总日历天数为准。</w:t>
      </w:r>
    </w:p>
    <w:p w14:paraId="67F4CD31">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计划开工日期：</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日，实际开工日期以监理人发出的工程开工通知中明确的开工日期为准。</w:t>
      </w:r>
    </w:p>
    <w:p w14:paraId="110D0299">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计划完工（竣工）日期</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日，实际完工日期以合同工程完工证书中写明的日期为准。</w:t>
      </w:r>
    </w:p>
    <w:p w14:paraId="4E21CCF8">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4" w:name="_Toc33183536"/>
      <w:r>
        <w:rPr>
          <w:rFonts w:hint="eastAsia" w:ascii="宋体" w:hAnsi="宋体" w:cs="宋体"/>
          <w:b/>
          <w:bCs/>
          <w:color w:val="000000" w:themeColor="text1"/>
          <w:szCs w:val="21"/>
          <w:highlight w:val="none"/>
          <w:lang w:val="zh-CN"/>
          <w14:textFill>
            <w14:solidFill>
              <w14:schemeClr w14:val="tx1"/>
            </w14:solidFill>
          </w14:textFill>
        </w:rPr>
        <w:t>三、质量标准</w:t>
      </w:r>
      <w:bookmarkEnd w:id="724"/>
    </w:p>
    <w:p w14:paraId="1BE81464">
      <w:pPr>
        <w:keepNext w:val="0"/>
        <w:keepLines w:val="0"/>
        <w:snapToGrid w:val="0"/>
        <w:spacing w:line="600" w:lineRule="exact"/>
        <w:ind w:firstLine="420" w:firstLineChars="200"/>
        <w:outlineLvl w:val="9"/>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工程质量符合强制性质量标准，符合</w:t>
      </w:r>
      <w:r>
        <w:rPr>
          <w:rFonts w:hint="eastAsia" w:ascii="宋体" w:hAnsi="宋体" w:cs="宋体"/>
          <w:bCs/>
          <w:color w:val="000000" w:themeColor="text1"/>
          <w:szCs w:val="21"/>
          <w:highlight w:val="none"/>
          <w:u w:val="single"/>
          <w14:textFill>
            <w14:solidFill>
              <w14:schemeClr w14:val="tx1"/>
            </w14:solidFill>
          </w14:textFill>
        </w:rPr>
        <w:t>国家和重庆市现行有关施工质量验收规范要求，并达到合格标准。</w:t>
      </w:r>
    </w:p>
    <w:p w14:paraId="3CD99532">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5" w:name="_Toc33183537"/>
      <w:r>
        <w:rPr>
          <w:rFonts w:hint="eastAsia" w:ascii="宋体" w:hAnsi="宋体" w:cs="宋体"/>
          <w:b/>
          <w:bCs/>
          <w:color w:val="000000" w:themeColor="text1"/>
          <w:szCs w:val="21"/>
          <w:highlight w:val="none"/>
          <w:lang w:val="zh-CN"/>
          <w14:textFill>
            <w14:solidFill>
              <w14:schemeClr w14:val="tx1"/>
            </w14:solidFill>
          </w14:textFill>
        </w:rPr>
        <w:t>四、签约合同价与合同价格形式</w:t>
      </w:r>
      <w:bookmarkEnd w:id="725"/>
      <w:r>
        <w:rPr>
          <w:rFonts w:hint="eastAsia" w:ascii="宋体" w:hAnsi="宋体" w:cs="宋体"/>
          <w:b/>
          <w:bCs/>
          <w:color w:val="000000" w:themeColor="text1"/>
          <w:szCs w:val="21"/>
          <w:highlight w:val="none"/>
          <w:lang w:val="zh-CN"/>
          <w14:textFill>
            <w14:solidFill>
              <w14:schemeClr w14:val="tx1"/>
            </w14:solidFill>
          </w14:textFill>
        </w:rPr>
        <w:tab/>
      </w:r>
    </w:p>
    <w:p w14:paraId="125BD842">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1.承包人投标函中承诺的中标价为：</w:t>
      </w:r>
    </w:p>
    <w:p w14:paraId="01F7AF55">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40B6D7B7">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2.签约合同价为：</w:t>
      </w:r>
    </w:p>
    <w:p w14:paraId="77395FBE">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36320C15">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p w14:paraId="7CCD26D8">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（1）安全生产费：</w:t>
      </w:r>
    </w:p>
    <w:p w14:paraId="41F72D4C">
      <w:pPr>
        <w:snapToGrid w:val="0"/>
        <w:spacing w:line="60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6E46CD7F">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（2）材料和工程设备暂估价金额：</w:t>
      </w:r>
    </w:p>
    <w:p w14:paraId="0DF3C6CF">
      <w:pPr>
        <w:snapToGrid w:val="0"/>
        <w:spacing w:line="60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7F44C4D9">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（3）专业工程暂估价金额：</w:t>
      </w:r>
    </w:p>
    <w:p w14:paraId="23B6E470">
      <w:pPr>
        <w:snapToGrid w:val="0"/>
        <w:spacing w:line="60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4DC83A59">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（4）暂列金额：</w:t>
      </w:r>
    </w:p>
    <w:p w14:paraId="0A475994">
      <w:pPr>
        <w:snapToGrid w:val="0"/>
        <w:spacing w:line="600" w:lineRule="exact"/>
        <w:ind w:firstLine="945" w:firstLineChars="4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p w14:paraId="5763C31B">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（5）人工费（工资款）</w:t>
      </w:r>
    </w:p>
    <w:p w14:paraId="40285190">
      <w:pPr>
        <w:snapToGrid w:val="0"/>
        <w:spacing w:line="6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该项目实行人工费（工资款）与其他工程款分账管理，发包人将应付工程款中的人工费（工资款），以不低于已完成合同价款的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，农民工工资单独支付至承包人设立的农民工工资专用账户。</w:t>
      </w:r>
    </w:p>
    <w:p w14:paraId="73CE779A">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3.合同价格形式：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08E96EE">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6" w:name="_Toc33183538"/>
      <w:r>
        <w:rPr>
          <w:rFonts w:hint="eastAsia" w:ascii="宋体" w:hAnsi="宋体" w:cs="宋体"/>
          <w:b/>
          <w:bCs/>
          <w:color w:val="000000" w:themeColor="text1"/>
          <w:szCs w:val="21"/>
          <w:highlight w:val="none"/>
          <w:lang w:val="zh-CN"/>
          <w14:textFill>
            <w14:solidFill>
              <w14:schemeClr w14:val="tx1"/>
            </w14:solidFill>
          </w14:textFill>
        </w:rPr>
        <w:t>五、项目经理及技术负责人</w:t>
      </w:r>
      <w:bookmarkEnd w:id="726"/>
    </w:p>
    <w:p w14:paraId="192C0FB2">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w:t>
      </w:r>
      <w:r>
        <w:rPr>
          <w:rFonts w:hint="eastAsia" w:ascii="宋体" w:hAnsi="宋体"/>
          <w:color w:val="000000" w:themeColor="text1"/>
          <w:szCs w:val="21"/>
          <w:highlight w:val="none"/>
          <w14:textFill>
            <w14:solidFill>
              <w14:schemeClr w14:val="tx1"/>
            </w14:solidFill>
          </w14:textFill>
        </w:rPr>
        <w:t>投标文件中承诺的项目经理</w:t>
      </w:r>
      <w:r>
        <w:rPr>
          <w:rFonts w:hint="eastAsia" w:ascii="宋体" w:hAnsi="宋体" w:cs="宋体"/>
          <w:color w:val="000000" w:themeColor="text1"/>
          <w:szCs w:val="21"/>
          <w:highlight w:val="none"/>
          <w14:textFill>
            <w14:solidFill>
              <w14:schemeClr w14:val="tx1"/>
            </w14:solidFill>
          </w14:textFill>
        </w:rPr>
        <w:t>：</w:t>
      </w:r>
    </w:p>
    <w:p w14:paraId="5FB7F590">
      <w:pPr>
        <w:snapToGrid w:val="0"/>
        <w:spacing w:line="600" w:lineRule="exact"/>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73C68A1">
      <w:pPr>
        <w:snapToGrid w:val="0"/>
        <w:spacing w:line="600" w:lineRule="exact"/>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C3C0157">
      <w:pPr>
        <w:snapToGrid w:val="0"/>
        <w:spacing w:line="600" w:lineRule="exact"/>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建造师注册证书：</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67418F9">
      <w:pPr>
        <w:snapToGrid w:val="0"/>
        <w:spacing w:line="6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w:t>
      </w:r>
      <w:r>
        <w:rPr>
          <w:rFonts w:hint="eastAsia" w:ascii="宋体" w:hAnsi="宋体"/>
          <w:color w:val="000000" w:themeColor="text1"/>
          <w:szCs w:val="21"/>
          <w:highlight w:val="none"/>
          <w14:textFill>
            <w14:solidFill>
              <w14:schemeClr w14:val="tx1"/>
            </w14:solidFill>
          </w14:textFill>
        </w:rPr>
        <w:t>投标文件中承诺的技术负责人</w:t>
      </w:r>
      <w:r>
        <w:rPr>
          <w:rFonts w:hint="eastAsia" w:ascii="宋体" w:hAnsi="宋体" w:cs="宋体"/>
          <w:color w:val="000000" w:themeColor="text1"/>
          <w:szCs w:val="21"/>
          <w:highlight w:val="none"/>
          <w14:textFill>
            <w14:solidFill>
              <w14:schemeClr w14:val="tx1"/>
            </w14:solidFill>
          </w14:textFill>
        </w:rPr>
        <w:t>：</w:t>
      </w:r>
    </w:p>
    <w:p w14:paraId="550D7626">
      <w:pPr>
        <w:snapToGrid w:val="0"/>
        <w:spacing w:line="600" w:lineRule="exact"/>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2C0D40C">
      <w:pPr>
        <w:pStyle w:val="2"/>
        <w:spacing w:line="600" w:lineRule="exact"/>
        <w:ind w:firstLine="840" w:firstLineChars="4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14:paraId="6E040AF9">
      <w:pPr>
        <w:pStyle w:val="2"/>
        <w:spacing w:line="600" w:lineRule="exact"/>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证书名称</w:t>
      </w:r>
      <w:r>
        <w:rPr>
          <w:rFonts w:ascii="宋体" w:hAnsi="宋体"/>
          <w:color w:val="000000" w:themeColor="text1"/>
          <w:szCs w:val="21"/>
          <w:highlight w:val="none"/>
          <w14:textFill>
            <w14:solidFill>
              <w14:schemeClr w14:val="tx1"/>
            </w14:solidFill>
          </w14:textFill>
        </w:rPr>
        <w:t>及号码：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5A2186A">
      <w:pPr>
        <w:keepNext/>
        <w:keepLines/>
        <w:snapToGrid w:val="0"/>
        <w:spacing w:line="600" w:lineRule="exact"/>
        <w:ind w:firstLine="422" w:firstLineChars="200"/>
        <w:outlineLvl w:val="3"/>
        <w:rPr>
          <w:rFonts w:ascii="宋体" w:hAnsi="宋体" w:cs="宋体"/>
          <w:b/>
          <w:color w:val="000000" w:themeColor="text1"/>
          <w:szCs w:val="21"/>
          <w:highlight w:val="none"/>
          <w14:textFill>
            <w14:solidFill>
              <w14:schemeClr w14:val="tx1"/>
            </w14:solidFill>
          </w14:textFill>
        </w:rPr>
      </w:pPr>
      <w:bookmarkStart w:id="727" w:name="_Toc33183539"/>
      <w:r>
        <w:rPr>
          <w:rFonts w:hint="eastAsia" w:ascii="宋体" w:hAnsi="宋体" w:cs="宋体"/>
          <w:b/>
          <w:bCs/>
          <w:color w:val="000000" w:themeColor="text1"/>
          <w:szCs w:val="21"/>
          <w:highlight w:val="none"/>
          <w:lang w:val="zh-CN"/>
          <w14:textFill>
            <w14:solidFill>
              <w14:schemeClr w14:val="tx1"/>
            </w14:solidFill>
          </w14:textFill>
        </w:rPr>
        <w:t>六、合同文件构成</w:t>
      </w:r>
      <w:bookmarkEnd w:id="727"/>
    </w:p>
    <w:p w14:paraId="6223FF70">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合同由以下文件构成：</w:t>
      </w:r>
    </w:p>
    <w:p w14:paraId="7C82DEEF">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（1）合同协议书；</w:t>
      </w:r>
    </w:p>
    <w:p w14:paraId="1F9B0D4A">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（2）中标通知书；</w:t>
      </w:r>
    </w:p>
    <w:p w14:paraId="49BB015B">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（3）投标函及投标函附录；</w:t>
      </w:r>
    </w:p>
    <w:p w14:paraId="013D66E3">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（4）专用合同条款及其附件；</w:t>
      </w:r>
    </w:p>
    <w:p w14:paraId="70F19C22">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（5）通用合同条款；</w:t>
      </w:r>
    </w:p>
    <w:p w14:paraId="69BF671C">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w:t>
      </w:r>
      <w:r>
        <w:rPr>
          <w:rFonts w:hint="eastAsia" w:ascii="宋体" w:hAnsi="宋体"/>
          <w:color w:val="000000" w:themeColor="text1"/>
          <w:szCs w:val="21"/>
          <w:highlight w:val="none"/>
          <w14:textFill>
            <w14:solidFill>
              <w14:schemeClr w14:val="tx1"/>
            </w14:solidFill>
          </w14:textFill>
        </w:rPr>
        <w:t>（投标函及投标函附录除外）</w:t>
      </w:r>
      <w:r>
        <w:rPr>
          <w:rFonts w:hint="eastAsia" w:ascii="宋体" w:hAnsi="宋体" w:cs="宋体"/>
          <w:color w:val="000000" w:themeColor="text1"/>
          <w:szCs w:val="21"/>
          <w:highlight w:val="none"/>
          <w14:textFill>
            <w14:solidFill>
              <w14:schemeClr w14:val="tx1"/>
            </w14:solidFill>
          </w14:textFill>
        </w:rPr>
        <w:t>；</w:t>
      </w:r>
    </w:p>
    <w:p w14:paraId="0E2EC5C7">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及修改文件；</w:t>
      </w:r>
    </w:p>
    <w:p w14:paraId="3861C9A3">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（8）技术标准和要求；</w:t>
      </w:r>
    </w:p>
    <w:p w14:paraId="5501A445">
      <w:pPr>
        <w:adjustRightInd w:val="0"/>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（9）图纸；</w:t>
      </w:r>
    </w:p>
    <w:p w14:paraId="0DC276D5">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（10）其他合同文件。</w:t>
      </w:r>
    </w:p>
    <w:p w14:paraId="5BE6B757">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在合同订立、履行过程中形成的与合同有关的书面形式的文件均构成合同文件组成部分。</w:t>
      </w:r>
    </w:p>
    <w:p w14:paraId="298F4274">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或盖章。</w:t>
      </w:r>
    </w:p>
    <w:p w14:paraId="45BDB27F">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8" w:name="_Toc33183540"/>
      <w:r>
        <w:rPr>
          <w:rFonts w:hint="eastAsia" w:ascii="宋体" w:hAnsi="宋体" w:cs="宋体"/>
          <w:b/>
          <w:bCs/>
          <w:color w:val="000000" w:themeColor="text1"/>
          <w:szCs w:val="21"/>
          <w:highlight w:val="none"/>
          <w:lang w:val="zh-CN"/>
          <w14:textFill>
            <w14:solidFill>
              <w14:schemeClr w14:val="tx1"/>
            </w14:solidFill>
          </w14:textFill>
        </w:rPr>
        <w:t>七、承诺</w:t>
      </w:r>
      <w:bookmarkEnd w:id="728"/>
    </w:p>
    <w:p w14:paraId="1E892E95">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06D73F47">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color w:val="000000" w:themeColor="text1"/>
          <w:szCs w:val="21"/>
          <w:highlight w:val="none"/>
          <w14:textFill>
            <w14:solidFill>
              <w14:schemeClr w14:val="tx1"/>
            </w14:solidFill>
          </w14:textFill>
        </w:rPr>
        <w:t>。</w:t>
      </w:r>
    </w:p>
    <w:p w14:paraId="64D372B1">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0154321C">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29" w:name="_Toc33183541"/>
      <w:r>
        <w:rPr>
          <w:rFonts w:hint="eastAsia" w:ascii="宋体" w:hAnsi="宋体" w:cs="宋体"/>
          <w:b/>
          <w:bCs/>
          <w:color w:val="000000" w:themeColor="text1"/>
          <w:szCs w:val="21"/>
          <w:highlight w:val="none"/>
          <w:lang w:val="zh-CN"/>
          <w14:textFill>
            <w14:solidFill>
              <w14:schemeClr w14:val="tx1"/>
            </w14:solidFill>
          </w14:textFill>
        </w:rPr>
        <w:t>八、词语含义</w:t>
      </w:r>
      <w:bookmarkEnd w:id="729"/>
    </w:p>
    <w:p w14:paraId="5D3D9EC9">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本协议书中词语含义与专用合同条款及通用合同条款中赋予的含义相同。</w:t>
      </w:r>
    </w:p>
    <w:p w14:paraId="4CDF231F">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30" w:name="_Toc33183542"/>
      <w:r>
        <w:rPr>
          <w:rFonts w:hint="eastAsia" w:ascii="宋体" w:hAnsi="宋体" w:cs="宋体"/>
          <w:b/>
          <w:bCs/>
          <w:color w:val="000000" w:themeColor="text1"/>
          <w:szCs w:val="21"/>
          <w:highlight w:val="none"/>
          <w:lang w:val="zh-CN"/>
          <w14:textFill>
            <w14:solidFill>
              <w14:schemeClr w14:val="tx1"/>
            </w14:solidFill>
          </w14:textFill>
        </w:rPr>
        <w:t>九、签订时间</w:t>
      </w:r>
      <w:bookmarkEnd w:id="730"/>
    </w:p>
    <w:p w14:paraId="2860AB3B">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合同于</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日签订</w:t>
      </w:r>
    </w:p>
    <w:p w14:paraId="3FCDFBE0">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31" w:name="_Toc33183543"/>
      <w:r>
        <w:rPr>
          <w:rFonts w:hint="eastAsia" w:ascii="宋体" w:hAnsi="宋体" w:cs="宋体"/>
          <w:b/>
          <w:bCs/>
          <w:color w:val="000000" w:themeColor="text1"/>
          <w:szCs w:val="21"/>
          <w:highlight w:val="none"/>
          <w:lang w:val="zh-CN"/>
          <w14:textFill>
            <w14:solidFill>
              <w14:schemeClr w14:val="tx1"/>
            </w14:solidFill>
          </w14:textFill>
        </w:rPr>
        <w:t>十、签订地点</w:t>
      </w:r>
      <w:bookmarkEnd w:id="731"/>
    </w:p>
    <w:p w14:paraId="0F8B3959">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签订。</w:t>
      </w:r>
    </w:p>
    <w:p w14:paraId="2FD18066">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32" w:name="_Toc33183544"/>
      <w:r>
        <w:rPr>
          <w:rFonts w:hint="eastAsia" w:ascii="宋体" w:hAnsi="宋体" w:cs="宋体"/>
          <w:b/>
          <w:bCs/>
          <w:color w:val="000000" w:themeColor="text1"/>
          <w:szCs w:val="21"/>
          <w:highlight w:val="none"/>
          <w:lang w:val="zh-CN"/>
          <w14:textFill>
            <w14:solidFill>
              <w14:schemeClr w14:val="tx1"/>
            </w14:solidFill>
          </w14:textFill>
        </w:rPr>
        <w:t>十一、补充协议</w:t>
      </w:r>
      <w:bookmarkEnd w:id="732"/>
    </w:p>
    <w:p w14:paraId="70CD8A62">
      <w:pPr>
        <w:snapToGrid w:val="0"/>
        <w:spacing w:line="60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628F6EEF">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33" w:name="_Toc33183545"/>
      <w:r>
        <w:rPr>
          <w:rFonts w:hint="eastAsia" w:ascii="宋体" w:hAnsi="宋体" w:cs="宋体"/>
          <w:b/>
          <w:bCs/>
          <w:color w:val="000000" w:themeColor="text1"/>
          <w:szCs w:val="21"/>
          <w:highlight w:val="none"/>
          <w:lang w:val="zh-CN"/>
          <w14:textFill>
            <w14:solidFill>
              <w14:schemeClr w14:val="tx1"/>
            </w14:solidFill>
          </w14:textFill>
        </w:rPr>
        <w:t>十二、合同生效</w:t>
      </w:r>
      <w:bookmarkEnd w:id="733"/>
    </w:p>
    <w:p w14:paraId="4B533C28">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合同在以下条件全部满足之后生效：</w:t>
      </w:r>
    </w:p>
    <w:p w14:paraId="397021DA">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1.合同</w:t>
      </w:r>
      <w:r>
        <w:rPr>
          <w:rFonts w:hint="eastAsia" w:ascii="宋体" w:hAnsi="宋体" w:cs="宋体"/>
          <w:color w:val="000000" w:themeColor="text1"/>
          <w:szCs w:val="21"/>
          <w:highlight w:val="none"/>
          <w14:textFill>
            <w14:solidFill>
              <w14:schemeClr w14:val="tx1"/>
            </w14:solidFill>
          </w14:textFill>
        </w:rPr>
        <w:t>经双方法定代表人或其委托代理人</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并加盖</w:t>
      </w:r>
      <w:r>
        <w:rPr>
          <w:rFonts w:hint="eastAsia" w:ascii="宋体" w:hAnsi="宋体" w:cs="宋体"/>
          <w:snapToGrid w:val="0"/>
          <w:color w:val="000000" w:themeColor="text1"/>
          <w:kern w:val="0"/>
          <w:szCs w:val="21"/>
          <w:highlight w:val="none"/>
          <w14:textFill>
            <w14:solidFill>
              <w14:schemeClr w14:val="tx1"/>
            </w14:solidFill>
          </w14:textFill>
        </w:rPr>
        <w:t>公章或合同专用章</w:t>
      </w:r>
      <w:r>
        <w:rPr>
          <w:rFonts w:hint="eastAsia" w:ascii="宋体" w:hAnsi="宋体" w:cs="宋体"/>
          <w:color w:val="000000" w:themeColor="text1"/>
          <w:szCs w:val="21"/>
          <w:highlight w:val="none"/>
          <w14:textFill>
            <w14:solidFill>
              <w14:schemeClr w14:val="tx1"/>
            </w14:solidFill>
          </w14:textFill>
        </w:rPr>
        <w:t>；</w:t>
      </w:r>
    </w:p>
    <w:p w14:paraId="4DEB5FC4">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2.采用保函形式递交履约担保的，承包人按合同约定向发包人提交履约担保后。</w:t>
      </w:r>
    </w:p>
    <w:p w14:paraId="032837B7">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476DBBA6">
      <w:pPr>
        <w:keepNext/>
        <w:keepLines/>
        <w:snapToGrid w:val="0"/>
        <w:spacing w:line="600" w:lineRule="exact"/>
        <w:ind w:firstLine="422" w:firstLineChars="200"/>
        <w:outlineLvl w:val="3"/>
        <w:rPr>
          <w:rFonts w:ascii="宋体" w:hAnsi="宋体" w:cs="宋体"/>
          <w:b/>
          <w:bCs/>
          <w:color w:val="000000" w:themeColor="text1"/>
          <w:szCs w:val="21"/>
          <w:highlight w:val="none"/>
          <w:lang w:val="zh-CN"/>
          <w14:textFill>
            <w14:solidFill>
              <w14:schemeClr w14:val="tx1"/>
            </w14:solidFill>
          </w14:textFill>
        </w:rPr>
      </w:pPr>
      <w:bookmarkStart w:id="734" w:name="_Toc33183546"/>
      <w:r>
        <w:rPr>
          <w:rFonts w:hint="eastAsia" w:ascii="宋体" w:hAnsi="宋体" w:cs="宋体"/>
          <w:b/>
          <w:bCs/>
          <w:color w:val="000000" w:themeColor="text1"/>
          <w:szCs w:val="21"/>
          <w:highlight w:val="none"/>
          <w:lang w:val="zh-CN"/>
          <w14:textFill>
            <w14:solidFill>
              <w14:schemeClr w14:val="tx1"/>
            </w14:solidFill>
          </w14:textFill>
        </w:rPr>
        <w:t>十三、合同份数</w:t>
      </w:r>
      <w:bookmarkEnd w:id="734"/>
    </w:p>
    <w:p w14:paraId="303C59A4">
      <w:pPr>
        <w:snapToGrid w:val="0"/>
        <w:spacing w:line="6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合同一式</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份，其中正本</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份，双方各持</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份，副本</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份，双方各执</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份。副本与正本不一致时，以正本为准。</w:t>
      </w:r>
    </w:p>
    <w:p w14:paraId="612059D5">
      <w:pPr>
        <w:snapToGrid w:val="0"/>
        <w:spacing w:line="600" w:lineRule="exact"/>
        <w:rPr>
          <w:rFonts w:ascii="宋体" w:hAnsi="宋体" w:cs="宋体"/>
          <w:bCs/>
          <w:color w:val="000000" w:themeColor="text1"/>
          <w:szCs w:val="21"/>
          <w:highlight w:val="none"/>
          <w14:textFill>
            <w14:solidFill>
              <w14:schemeClr w14:val="tx1"/>
            </w14:solidFill>
          </w14:textFill>
        </w:rPr>
      </w:pPr>
    </w:p>
    <w:p w14:paraId="6F7B9745">
      <w:pPr>
        <w:snapToGrid w:val="0"/>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（以下为</w:t>
      </w:r>
      <w:r>
        <w:rPr>
          <w:rFonts w:hint="eastAsia" w:ascii="宋体" w:hAnsi="宋体" w:cs="宋体"/>
          <w:bCs/>
          <w:color w:val="000000" w:themeColor="text1"/>
          <w:szCs w:val="21"/>
          <w:highlight w:val="none"/>
          <w:lang w:eastAsia="zh-CN"/>
          <w14:textFill>
            <w14:solidFill>
              <w14:schemeClr w14:val="tx1"/>
            </w14:solidFill>
          </w14:textFill>
        </w:rPr>
        <w:t>签名</w:t>
      </w:r>
      <w:r>
        <w:rPr>
          <w:rFonts w:hint="eastAsia" w:ascii="宋体" w:hAnsi="宋体" w:cs="宋体"/>
          <w:bCs/>
          <w:color w:val="000000" w:themeColor="text1"/>
          <w:szCs w:val="21"/>
          <w:highlight w:val="none"/>
          <w14:textFill>
            <w14:solidFill>
              <w14:schemeClr w14:val="tx1"/>
            </w14:solidFill>
          </w14:textFill>
        </w:rPr>
        <w:t>盖章页）。</w:t>
      </w:r>
    </w:p>
    <w:p w14:paraId="139352C8">
      <w:pPr>
        <w:pStyle w:val="2"/>
        <w:spacing w:line="600" w:lineRule="exact"/>
        <w:rPr>
          <w:rFonts w:ascii="宋体" w:hAnsi="宋体" w:cs="宋体"/>
          <w:color w:val="000000" w:themeColor="text1"/>
          <w:szCs w:val="21"/>
          <w:highlight w:val="none"/>
          <w14:textFill>
            <w14:solidFill>
              <w14:schemeClr w14:val="tx1"/>
            </w14:solidFill>
          </w14:textFill>
        </w:rPr>
      </w:pPr>
    </w:p>
    <w:p w14:paraId="3EF3E3A9">
      <w:pPr>
        <w:pStyle w:val="2"/>
        <w:spacing w:line="600" w:lineRule="exact"/>
        <w:rPr>
          <w:rFonts w:ascii="宋体" w:hAnsi="宋体" w:cs="宋体"/>
          <w:color w:val="000000" w:themeColor="text1"/>
          <w:szCs w:val="21"/>
          <w:highlight w:val="none"/>
          <w14:textFill>
            <w14:solidFill>
              <w14:schemeClr w14:val="tx1"/>
            </w14:solidFill>
          </w14:textFill>
        </w:rPr>
      </w:pPr>
    </w:p>
    <w:p w14:paraId="63E4CC4F">
      <w:pPr>
        <w:pStyle w:val="2"/>
        <w:spacing w:line="600" w:lineRule="exact"/>
        <w:rPr>
          <w:rFonts w:ascii="宋体" w:hAnsi="宋体" w:cs="宋体"/>
          <w:color w:val="000000" w:themeColor="text1"/>
          <w:szCs w:val="21"/>
          <w:highlight w:val="none"/>
          <w14:textFill>
            <w14:solidFill>
              <w14:schemeClr w14:val="tx1"/>
            </w14:solidFill>
          </w14:textFill>
        </w:rPr>
      </w:pPr>
    </w:p>
    <w:p w14:paraId="2163FABE">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发包人：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（公章）</w:t>
      </w:r>
    </w:p>
    <w:p w14:paraId="446934AE">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签名</w:t>
      </w:r>
      <w:r>
        <w:rPr>
          <w:rFonts w:hint="eastAsia" w:ascii="宋体" w:hAnsi="宋体" w:cs="宋体"/>
          <w:snapToGrid w:val="0"/>
          <w:color w:val="000000" w:themeColor="text1"/>
          <w:kern w:val="0"/>
          <w:szCs w:val="21"/>
          <w:highlight w:val="none"/>
          <w14:textFill>
            <w14:solidFill>
              <w14:schemeClr w14:val="tx1"/>
            </w14:solidFill>
          </w14:textFill>
        </w:rPr>
        <w:t>）</w:t>
      </w:r>
    </w:p>
    <w:p w14:paraId="7F85DF6F">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统一社会信用代码：</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5CA1A34">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税人识别号：</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543079D6">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73B8D996">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0475F8A">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1D794857">
      <w:pPr>
        <w:adjustRightInd w:val="0"/>
        <w:spacing w:line="360" w:lineRule="auto"/>
        <w:ind w:firstLine="420" w:firstLineChars="200"/>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    号：</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67434EFF">
      <w:pPr>
        <w:pStyle w:val="2"/>
        <w:rPr>
          <w:rFonts w:ascii="宋体" w:hAnsi="宋体" w:cs="宋体"/>
          <w:color w:val="000000" w:themeColor="text1"/>
          <w:szCs w:val="21"/>
          <w:highlight w:val="none"/>
          <w14:textFill>
            <w14:solidFill>
              <w14:schemeClr w14:val="tx1"/>
            </w14:solidFill>
          </w14:textFill>
        </w:rPr>
      </w:pPr>
    </w:p>
    <w:p w14:paraId="041AA5CF">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（公章）</w:t>
      </w:r>
    </w:p>
    <w:p w14:paraId="2F5DE40D">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签名</w:t>
      </w:r>
      <w:r>
        <w:rPr>
          <w:rFonts w:hint="eastAsia" w:ascii="宋体" w:hAnsi="宋体" w:cs="宋体"/>
          <w:snapToGrid w:val="0"/>
          <w:color w:val="000000" w:themeColor="text1"/>
          <w:kern w:val="0"/>
          <w:szCs w:val="21"/>
          <w:highlight w:val="none"/>
          <w14:textFill>
            <w14:solidFill>
              <w14:schemeClr w14:val="tx1"/>
            </w14:solidFill>
          </w14:textFill>
        </w:rPr>
        <w:t>）</w:t>
      </w:r>
    </w:p>
    <w:p w14:paraId="236B8DD5">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统一社会信用代码：</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BB76FCE">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税人识别号：</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631360B0">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6ED5A502">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368FCAD">
      <w:pPr>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0919DDF6">
      <w:pPr>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    号：</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45C38BB4">
      <w:pPr>
        <w:adjustRightInd w:val="0"/>
        <w:snapToGrid w:val="0"/>
        <w:spacing w:line="600" w:lineRule="exact"/>
        <w:rPr>
          <w:rFonts w:ascii="宋体" w:hAnsi="宋体" w:cs="宋体"/>
          <w:b/>
          <w:snapToGrid w:val="0"/>
          <w:color w:val="000000" w:themeColor="text1"/>
          <w:spacing w:val="1"/>
          <w:w w:val="99"/>
          <w:kern w:val="0"/>
          <w:position w:val="-2"/>
          <w:szCs w:val="21"/>
          <w:highlight w:val="none"/>
          <w14:textFill>
            <w14:solidFill>
              <w14:schemeClr w14:val="tx1"/>
            </w14:solidFill>
          </w14:textFill>
        </w:rPr>
      </w:pPr>
    </w:p>
    <w:p w14:paraId="7C3D5F5C">
      <w:pPr>
        <w:adjustRightInd w:val="0"/>
        <w:snapToGrid w:val="0"/>
        <w:spacing w:line="600" w:lineRule="exact"/>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签约时间：     年  月  日</w:t>
      </w:r>
    </w:p>
    <w:p w14:paraId="1D604C8D">
      <w:pPr>
        <w:keepNext/>
        <w:keepLines/>
        <w:numPr>
          <w:ilvl w:val="0"/>
          <w:numId w:val="5"/>
        </w:numPr>
        <w:snapToGrid w:val="0"/>
        <w:spacing w:line="360" w:lineRule="auto"/>
        <w:jc w:val="center"/>
        <w:outlineLvl w:val="1"/>
        <w:rPr>
          <w:rFonts w:hint="eastAsia" w:ascii="华文中宋" w:hAnsi="华文中宋" w:eastAsia="华文中宋" w:cs="Microsoft Sans Serif"/>
          <w:b/>
          <w:bCs/>
          <w:color w:val="000000" w:themeColor="text1"/>
          <w:sz w:val="44"/>
          <w:szCs w:val="44"/>
          <w:highlight w:val="none"/>
          <w:lang w:val="zh-CN"/>
          <w14:textFill>
            <w14:solidFill>
              <w14:schemeClr w14:val="tx1"/>
            </w14:solidFill>
          </w14:textFill>
        </w:rPr>
      </w:pPr>
      <w:r>
        <w:rPr>
          <w:rFonts w:hint="eastAsia" w:ascii="宋体" w:hAnsi="宋体" w:cs="宋体"/>
          <w:b/>
          <w:bCs/>
          <w:snapToGrid w:val="0"/>
          <w:color w:val="000000" w:themeColor="text1"/>
          <w:kern w:val="0"/>
          <w:sz w:val="32"/>
          <w:szCs w:val="32"/>
          <w:highlight w:val="none"/>
          <w:lang w:val="zh-CN"/>
          <w14:textFill>
            <w14:solidFill>
              <w14:schemeClr w14:val="tx1"/>
            </w14:solidFill>
          </w14:textFill>
        </w:rPr>
        <w:br w:type="page"/>
      </w:r>
      <w:bookmarkStart w:id="735" w:name="_Toc30529"/>
      <w:bookmarkStart w:id="736" w:name="_Toc59810378"/>
      <w:bookmarkStart w:id="737" w:name="_Toc33183547"/>
      <w:bookmarkStart w:id="738" w:name="_Toc30532"/>
      <w:r>
        <w:rPr>
          <w:rFonts w:hint="eastAsia" w:ascii="华文中宋" w:hAnsi="华文中宋" w:eastAsia="华文中宋" w:cs="Microsoft Sans Serif"/>
          <w:b/>
          <w:bCs/>
          <w:color w:val="000000" w:themeColor="text1"/>
          <w:sz w:val="44"/>
          <w:szCs w:val="44"/>
          <w:highlight w:val="none"/>
          <w:lang w:val="zh-CN"/>
          <w14:textFill>
            <w14:solidFill>
              <w14:schemeClr w14:val="tx1"/>
            </w14:solidFill>
          </w14:textFill>
        </w:rPr>
        <w:t>通用合同条款</w:t>
      </w:r>
      <w:bookmarkEnd w:id="735"/>
      <w:bookmarkEnd w:id="736"/>
      <w:bookmarkEnd w:id="737"/>
      <w:bookmarkEnd w:id="738"/>
    </w:p>
    <w:p w14:paraId="3857A8B9">
      <w:pPr>
        <w:pStyle w:val="2"/>
        <w:numPr>
          <w:ilvl w:val="0"/>
          <w:numId w:val="0"/>
        </w:numPr>
        <w:rPr>
          <w:rFonts w:hint="eastAsia" w:eastAsia="宋体"/>
          <w:color w:val="000000" w:themeColor="text1"/>
          <w:highlight w:val="none"/>
          <w:lang w:val="en-US" w:eastAsia="zh-CN"/>
          <w14:textFill>
            <w14:solidFill>
              <w14:schemeClr w14:val="tx1"/>
            </w14:solidFill>
          </w14:textFill>
        </w:rPr>
      </w:pPr>
      <w:r>
        <w:rPr>
          <w:rFonts w:hint="eastAsia" w:ascii="宋体" w:hAnsi="宋体" w:cs="宋体"/>
          <w:i/>
          <w:color w:val="000000" w:themeColor="text1"/>
          <w:highlight w:val="none"/>
          <w14:textFill>
            <w14:solidFill>
              <w14:schemeClr w14:val="tx1"/>
            </w14:solidFill>
          </w14:textFill>
        </w:rPr>
        <w:t>[“通</w:t>
      </w:r>
      <w:r>
        <w:rPr>
          <w:rFonts w:hint="eastAsia" w:ascii="宋体" w:hAnsi="宋体" w:eastAsia="宋体" w:cs="宋体"/>
          <w:i/>
          <w:color w:val="000000" w:themeColor="text1"/>
          <w:highlight w:val="none"/>
          <w14:textFill>
            <w14:solidFill>
              <w14:schemeClr w14:val="tx1"/>
            </w14:solidFill>
          </w14:textFill>
        </w:rPr>
        <w:t>用合同条款”采用</w:t>
      </w:r>
      <w:r>
        <w:rPr>
          <w:rFonts w:hint="eastAsia" w:ascii="宋体" w:hAnsi="宋体" w:eastAsia="宋体" w:cs="宋体"/>
          <w:i/>
          <w:color w:val="000000" w:themeColor="text1"/>
          <w:highlight w:val="none"/>
          <w:lang w:val="zh-CN"/>
          <w14:textFill>
            <w14:solidFill>
              <w14:schemeClr w14:val="tx1"/>
            </w14:solidFill>
          </w14:textFill>
        </w:rPr>
        <w:t>《重庆市水利水电工程施工标准</w:t>
      </w:r>
      <w:r>
        <w:rPr>
          <w:rFonts w:hint="eastAsia" w:ascii="宋体" w:hAnsi="宋体" w:cs="宋体"/>
          <w:i/>
          <w:color w:val="000000" w:themeColor="text1"/>
          <w:highlight w:val="none"/>
          <w:lang w:val="en-US" w:eastAsia="zh-CN"/>
          <w14:textFill>
            <w14:solidFill>
              <w14:schemeClr w14:val="tx1"/>
            </w14:solidFill>
          </w14:textFill>
        </w:rPr>
        <w:t>招标</w:t>
      </w:r>
      <w:r>
        <w:rPr>
          <w:rFonts w:hint="eastAsia" w:ascii="宋体" w:hAnsi="宋体" w:cs="宋体"/>
          <w:i/>
          <w:color w:val="000000" w:themeColor="text1"/>
          <w:highlight w:val="none"/>
          <w:lang w:val="zh-CN"/>
          <w14:textFill>
            <w14:solidFill>
              <w14:schemeClr w14:val="tx1"/>
            </w14:solidFill>
          </w14:textFill>
        </w:rPr>
        <w:t>文件</w:t>
      </w:r>
      <w:r>
        <w:rPr>
          <w:rFonts w:hint="eastAsia" w:ascii="宋体" w:hAnsi="宋体" w:eastAsia="宋体" w:cs="宋体"/>
          <w:i/>
          <w:color w:val="000000" w:themeColor="text1"/>
          <w:highlight w:val="none"/>
          <w:lang w:val="zh-CN"/>
          <w14:textFill>
            <w14:solidFill>
              <w14:schemeClr w14:val="tx1"/>
            </w14:solidFill>
          </w14:textFill>
        </w:rPr>
        <w:t>》（全流程电子招标2020年版）2023年6月修改word版</w:t>
      </w:r>
      <w:r>
        <w:rPr>
          <w:rFonts w:hint="eastAsia" w:ascii="宋体" w:hAnsi="宋体" w:eastAsia="宋体" w:cs="宋体"/>
          <w:i/>
          <w:color w:val="000000" w:themeColor="text1"/>
          <w:highlight w:val="none"/>
          <w14:textFill>
            <w14:solidFill>
              <w14:schemeClr w14:val="tx1"/>
            </w14:solidFill>
          </w14:textFill>
        </w:rPr>
        <w:t>第四章</w:t>
      </w:r>
      <w:r>
        <w:rPr>
          <w:rFonts w:hint="eastAsia" w:ascii="宋体" w:hAnsi="宋体" w:eastAsia="宋体" w:cs="宋体"/>
          <w:i/>
          <w:color w:val="000000" w:themeColor="text1"/>
          <w:highlight w:val="none"/>
          <w:lang w:val="en-US" w:eastAsia="zh-CN"/>
          <w14:textFill>
            <w14:solidFill>
              <w14:schemeClr w14:val="tx1"/>
            </w14:solidFill>
          </w14:textFill>
        </w:rPr>
        <w:t>第二部分的</w:t>
      </w:r>
      <w:r>
        <w:rPr>
          <w:rFonts w:hint="eastAsia" w:ascii="宋体" w:hAnsi="宋体" w:eastAsia="宋体" w:cs="宋体"/>
          <w:i/>
          <w:color w:val="000000" w:themeColor="text1"/>
          <w:highlight w:val="none"/>
          <w14:textFill>
            <w14:solidFill>
              <w14:schemeClr w14:val="tx1"/>
            </w14:solidFill>
          </w14:textFill>
        </w:rPr>
        <w:t>“通用合同条款”。]</w:t>
      </w:r>
    </w:p>
    <w:p w14:paraId="69321211">
      <w:pPr>
        <w:pStyle w:val="45"/>
        <w:rPr>
          <w:rFonts w:hint="default"/>
          <w:color w:val="000000" w:themeColor="text1"/>
          <w:highlight w:val="none"/>
          <w:lang w:val="en-US" w:eastAsia="zh-CN"/>
          <w14:textFill>
            <w14:solidFill>
              <w14:schemeClr w14:val="tx1"/>
            </w14:solidFill>
          </w14:textFill>
        </w:rPr>
      </w:pPr>
    </w:p>
    <w:p w14:paraId="11CE4FBC">
      <w:pPr>
        <w:pStyle w:val="45"/>
        <w:rPr>
          <w:rFonts w:hint="default"/>
          <w:color w:val="000000" w:themeColor="text1"/>
          <w:highlight w:val="none"/>
          <w:lang w:val="en-US" w:eastAsia="zh-CN"/>
          <w14:textFill>
            <w14:solidFill>
              <w14:schemeClr w14:val="tx1"/>
            </w14:solidFill>
          </w14:textFill>
        </w:rPr>
      </w:pPr>
    </w:p>
    <w:p w14:paraId="448A92A1">
      <w:pPr>
        <w:pStyle w:val="45"/>
        <w:rPr>
          <w:rFonts w:hint="default"/>
          <w:color w:val="000000" w:themeColor="text1"/>
          <w:highlight w:val="none"/>
          <w:lang w:val="en-US" w:eastAsia="zh-CN"/>
          <w14:textFill>
            <w14:solidFill>
              <w14:schemeClr w14:val="tx1"/>
            </w14:solidFill>
          </w14:textFill>
        </w:rPr>
      </w:pPr>
    </w:p>
    <w:p w14:paraId="0DEA5337">
      <w:pPr>
        <w:pStyle w:val="45"/>
        <w:rPr>
          <w:rFonts w:hint="default"/>
          <w:color w:val="000000" w:themeColor="text1"/>
          <w:highlight w:val="none"/>
          <w:lang w:val="en-US" w:eastAsia="zh-CN"/>
          <w14:textFill>
            <w14:solidFill>
              <w14:schemeClr w14:val="tx1"/>
            </w14:solidFill>
          </w14:textFill>
        </w:rPr>
      </w:pPr>
    </w:p>
    <w:p w14:paraId="04E0CB08">
      <w:pPr>
        <w:pStyle w:val="45"/>
        <w:rPr>
          <w:rFonts w:hint="default"/>
          <w:color w:val="000000" w:themeColor="text1"/>
          <w:highlight w:val="none"/>
          <w:lang w:val="en-US" w:eastAsia="zh-CN"/>
          <w14:textFill>
            <w14:solidFill>
              <w14:schemeClr w14:val="tx1"/>
            </w14:solidFill>
          </w14:textFill>
        </w:rPr>
      </w:pPr>
    </w:p>
    <w:p w14:paraId="5ECB53F2">
      <w:pPr>
        <w:pStyle w:val="45"/>
        <w:rPr>
          <w:rFonts w:hint="default"/>
          <w:color w:val="000000" w:themeColor="text1"/>
          <w:highlight w:val="none"/>
          <w:lang w:val="en-US" w:eastAsia="zh-CN"/>
          <w14:textFill>
            <w14:solidFill>
              <w14:schemeClr w14:val="tx1"/>
            </w14:solidFill>
          </w14:textFill>
        </w:rPr>
      </w:pPr>
    </w:p>
    <w:p w14:paraId="1BA9EB14">
      <w:pPr>
        <w:pStyle w:val="45"/>
        <w:rPr>
          <w:rFonts w:hint="default"/>
          <w:color w:val="000000" w:themeColor="text1"/>
          <w:highlight w:val="none"/>
          <w:lang w:val="en-US" w:eastAsia="zh-CN"/>
          <w14:textFill>
            <w14:solidFill>
              <w14:schemeClr w14:val="tx1"/>
            </w14:solidFill>
          </w14:textFill>
        </w:rPr>
      </w:pPr>
    </w:p>
    <w:p w14:paraId="36631CBB">
      <w:pPr>
        <w:pStyle w:val="45"/>
        <w:rPr>
          <w:rFonts w:hint="default"/>
          <w:color w:val="000000" w:themeColor="text1"/>
          <w:highlight w:val="none"/>
          <w:lang w:val="en-US" w:eastAsia="zh-CN"/>
          <w14:textFill>
            <w14:solidFill>
              <w14:schemeClr w14:val="tx1"/>
            </w14:solidFill>
          </w14:textFill>
        </w:rPr>
      </w:pPr>
    </w:p>
    <w:p w14:paraId="3263FAFF">
      <w:pPr>
        <w:pStyle w:val="45"/>
        <w:rPr>
          <w:rFonts w:hint="default"/>
          <w:color w:val="000000" w:themeColor="text1"/>
          <w:highlight w:val="none"/>
          <w:lang w:val="en-US" w:eastAsia="zh-CN"/>
          <w14:textFill>
            <w14:solidFill>
              <w14:schemeClr w14:val="tx1"/>
            </w14:solidFill>
          </w14:textFill>
        </w:rPr>
      </w:pPr>
    </w:p>
    <w:p w14:paraId="0A16D349">
      <w:pPr>
        <w:pStyle w:val="45"/>
        <w:rPr>
          <w:rFonts w:hint="default"/>
          <w:color w:val="000000" w:themeColor="text1"/>
          <w:highlight w:val="none"/>
          <w:lang w:val="en-US" w:eastAsia="zh-CN"/>
          <w14:textFill>
            <w14:solidFill>
              <w14:schemeClr w14:val="tx1"/>
            </w14:solidFill>
          </w14:textFill>
        </w:rPr>
      </w:pPr>
    </w:p>
    <w:p w14:paraId="79E5CD47">
      <w:pPr>
        <w:pStyle w:val="45"/>
        <w:rPr>
          <w:rFonts w:hint="default"/>
          <w:color w:val="000000" w:themeColor="text1"/>
          <w:highlight w:val="none"/>
          <w:lang w:val="en-US" w:eastAsia="zh-CN"/>
          <w14:textFill>
            <w14:solidFill>
              <w14:schemeClr w14:val="tx1"/>
            </w14:solidFill>
          </w14:textFill>
        </w:rPr>
      </w:pPr>
    </w:p>
    <w:p w14:paraId="393CAF37">
      <w:pPr>
        <w:pStyle w:val="45"/>
        <w:rPr>
          <w:rFonts w:hint="default"/>
          <w:color w:val="000000" w:themeColor="text1"/>
          <w:highlight w:val="none"/>
          <w:lang w:val="en-US" w:eastAsia="zh-CN"/>
          <w14:textFill>
            <w14:solidFill>
              <w14:schemeClr w14:val="tx1"/>
            </w14:solidFill>
          </w14:textFill>
        </w:rPr>
      </w:pPr>
    </w:p>
    <w:p w14:paraId="15C0E0D6">
      <w:pPr>
        <w:pStyle w:val="45"/>
        <w:rPr>
          <w:rFonts w:hint="default"/>
          <w:color w:val="000000" w:themeColor="text1"/>
          <w:highlight w:val="none"/>
          <w:lang w:val="en-US" w:eastAsia="zh-CN"/>
          <w14:textFill>
            <w14:solidFill>
              <w14:schemeClr w14:val="tx1"/>
            </w14:solidFill>
          </w14:textFill>
        </w:rPr>
      </w:pPr>
    </w:p>
    <w:p w14:paraId="2E567351">
      <w:pPr>
        <w:pStyle w:val="45"/>
        <w:rPr>
          <w:rFonts w:hint="default"/>
          <w:color w:val="000000" w:themeColor="text1"/>
          <w:highlight w:val="none"/>
          <w:lang w:val="en-US" w:eastAsia="zh-CN"/>
          <w14:textFill>
            <w14:solidFill>
              <w14:schemeClr w14:val="tx1"/>
            </w14:solidFill>
          </w14:textFill>
        </w:rPr>
      </w:pPr>
    </w:p>
    <w:p w14:paraId="6847BBD6">
      <w:pPr>
        <w:pStyle w:val="45"/>
        <w:rPr>
          <w:rFonts w:hint="default"/>
          <w:color w:val="000000" w:themeColor="text1"/>
          <w:highlight w:val="none"/>
          <w:lang w:val="en-US" w:eastAsia="zh-CN"/>
          <w14:textFill>
            <w14:solidFill>
              <w14:schemeClr w14:val="tx1"/>
            </w14:solidFill>
          </w14:textFill>
        </w:rPr>
      </w:pPr>
    </w:p>
    <w:p w14:paraId="628261E9">
      <w:pPr>
        <w:pStyle w:val="45"/>
        <w:rPr>
          <w:rFonts w:hint="default"/>
          <w:color w:val="000000" w:themeColor="text1"/>
          <w:highlight w:val="none"/>
          <w:lang w:val="en-US" w:eastAsia="zh-CN"/>
          <w14:textFill>
            <w14:solidFill>
              <w14:schemeClr w14:val="tx1"/>
            </w14:solidFill>
          </w14:textFill>
        </w:rPr>
      </w:pPr>
    </w:p>
    <w:p w14:paraId="5E3908B6">
      <w:pPr>
        <w:pStyle w:val="45"/>
        <w:rPr>
          <w:rFonts w:hint="default"/>
          <w:color w:val="000000" w:themeColor="text1"/>
          <w:highlight w:val="none"/>
          <w:lang w:val="en-US" w:eastAsia="zh-CN"/>
          <w14:textFill>
            <w14:solidFill>
              <w14:schemeClr w14:val="tx1"/>
            </w14:solidFill>
          </w14:textFill>
        </w:rPr>
      </w:pPr>
    </w:p>
    <w:p w14:paraId="0B4D4420">
      <w:pPr>
        <w:pStyle w:val="45"/>
        <w:rPr>
          <w:rFonts w:hint="default"/>
          <w:color w:val="000000" w:themeColor="text1"/>
          <w:highlight w:val="none"/>
          <w:lang w:val="en-US" w:eastAsia="zh-CN"/>
          <w14:textFill>
            <w14:solidFill>
              <w14:schemeClr w14:val="tx1"/>
            </w14:solidFill>
          </w14:textFill>
        </w:rPr>
      </w:pPr>
    </w:p>
    <w:p w14:paraId="619309C1">
      <w:pPr>
        <w:pStyle w:val="45"/>
        <w:rPr>
          <w:rFonts w:hint="default"/>
          <w:color w:val="000000" w:themeColor="text1"/>
          <w:highlight w:val="none"/>
          <w:lang w:val="en-US" w:eastAsia="zh-CN"/>
          <w14:textFill>
            <w14:solidFill>
              <w14:schemeClr w14:val="tx1"/>
            </w14:solidFill>
          </w14:textFill>
        </w:rPr>
      </w:pPr>
    </w:p>
    <w:p w14:paraId="72F14310">
      <w:pPr>
        <w:pStyle w:val="45"/>
        <w:rPr>
          <w:rFonts w:hint="default"/>
          <w:color w:val="000000" w:themeColor="text1"/>
          <w:highlight w:val="none"/>
          <w:lang w:val="en-US" w:eastAsia="zh-CN"/>
          <w14:textFill>
            <w14:solidFill>
              <w14:schemeClr w14:val="tx1"/>
            </w14:solidFill>
          </w14:textFill>
        </w:rPr>
      </w:pPr>
    </w:p>
    <w:p w14:paraId="50D10646">
      <w:pPr>
        <w:pStyle w:val="45"/>
        <w:rPr>
          <w:rFonts w:hint="default"/>
          <w:color w:val="000000" w:themeColor="text1"/>
          <w:highlight w:val="none"/>
          <w:lang w:val="en-US" w:eastAsia="zh-CN"/>
          <w14:textFill>
            <w14:solidFill>
              <w14:schemeClr w14:val="tx1"/>
            </w14:solidFill>
          </w14:textFill>
        </w:rPr>
      </w:pPr>
    </w:p>
    <w:p w14:paraId="4823E851">
      <w:pPr>
        <w:pStyle w:val="45"/>
        <w:rPr>
          <w:rFonts w:hint="default"/>
          <w:color w:val="000000" w:themeColor="text1"/>
          <w:highlight w:val="none"/>
          <w:lang w:val="en-US" w:eastAsia="zh-CN"/>
          <w14:textFill>
            <w14:solidFill>
              <w14:schemeClr w14:val="tx1"/>
            </w14:solidFill>
          </w14:textFill>
        </w:rPr>
      </w:pPr>
    </w:p>
    <w:p w14:paraId="1AA17EED">
      <w:pPr>
        <w:pStyle w:val="45"/>
        <w:rPr>
          <w:rFonts w:hint="default"/>
          <w:color w:val="000000" w:themeColor="text1"/>
          <w:highlight w:val="none"/>
          <w:lang w:val="en-US" w:eastAsia="zh-CN"/>
          <w14:textFill>
            <w14:solidFill>
              <w14:schemeClr w14:val="tx1"/>
            </w14:solidFill>
          </w14:textFill>
        </w:rPr>
      </w:pPr>
    </w:p>
    <w:p w14:paraId="37101FD5">
      <w:pPr>
        <w:pStyle w:val="45"/>
        <w:rPr>
          <w:rFonts w:hint="default"/>
          <w:color w:val="000000" w:themeColor="text1"/>
          <w:highlight w:val="none"/>
          <w:lang w:val="en-US" w:eastAsia="zh-CN"/>
          <w14:textFill>
            <w14:solidFill>
              <w14:schemeClr w14:val="tx1"/>
            </w14:solidFill>
          </w14:textFill>
        </w:rPr>
      </w:pPr>
    </w:p>
    <w:p w14:paraId="47C61DCE">
      <w:pPr>
        <w:pStyle w:val="45"/>
        <w:rPr>
          <w:rFonts w:hint="default"/>
          <w:color w:val="000000" w:themeColor="text1"/>
          <w:highlight w:val="none"/>
          <w:lang w:val="en-US" w:eastAsia="zh-CN"/>
          <w14:textFill>
            <w14:solidFill>
              <w14:schemeClr w14:val="tx1"/>
            </w14:solidFill>
          </w14:textFill>
        </w:rPr>
      </w:pPr>
    </w:p>
    <w:p w14:paraId="05B8D31E">
      <w:pPr>
        <w:pStyle w:val="45"/>
        <w:rPr>
          <w:rFonts w:hint="default"/>
          <w:color w:val="000000" w:themeColor="text1"/>
          <w:highlight w:val="none"/>
          <w:lang w:val="en-US" w:eastAsia="zh-CN"/>
          <w14:textFill>
            <w14:solidFill>
              <w14:schemeClr w14:val="tx1"/>
            </w14:solidFill>
          </w14:textFill>
        </w:rPr>
      </w:pPr>
    </w:p>
    <w:p w14:paraId="4AE5A186">
      <w:pPr>
        <w:pStyle w:val="45"/>
        <w:rPr>
          <w:rFonts w:hint="default"/>
          <w:color w:val="000000" w:themeColor="text1"/>
          <w:highlight w:val="none"/>
          <w:lang w:val="en-US" w:eastAsia="zh-CN"/>
          <w14:textFill>
            <w14:solidFill>
              <w14:schemeClr w14:val="tx1"/>
            </w14:solidFill>
          </w14:textFill>
        </w:rPr>
      </w:pPr>
    </w:p>
    <w:p w14:paraId="333CF1EA">
      <w:pPr>
        <w:pStyle w:val="45"/>
        <w:rPr>
          <w:rFonts w:hint="default"/>
          <w:color w:val="000000" w:themeColor="text1"/>
          <w:highlight w:val="none"/>
          <w:lang w:val="en-US" w:eastAsia="zh-CN"/>
          <w14:textFill>
            <w14:solidFill>
              <w14:schemeClr w14:val="tx1"/>
            </w14:solidFill>
          </w14:textFill>
        </w:rPr>
      </w:pPr>
    </w:p>
    <w:p w14:paraId="3635F30F">
      <w:pPr>
        <w:pStyle w:val="45"/>
        <w:rPr>
          <w:rFonts w:hint="default"/>
          <w:color w:val="000000" w:themeColor="text1"/>
          <w:highlight w:val="none"/>
          <w:lang w:val="en-US" w:eastAsia="zh-CN"/>
          <w14:textFill>
            <w14:solidFill>
              <w14:schemeClr w14:val="tx1"/>
            </w14:solidFill>
          </w14:textFill>
        </w:rPr>
      </w:pPr>
    </w:p>
    <w:p w14:paraId="089948A9">
      <w:pPr>
        <w:pStyle w:val="45"/>
        <w:rPr>
          <w:rFonts w:hint="default"/>
          <w:color w:val="000000" w:themeColor="text1"/>
          <w:highlight w:val="none"/>
          <w:lang w:val="en-US" w:eastAsia="zh-CN"/>
          <w14:textFill>
            <w14:solidFill>
              <w14:schemeClr w14:val="tx1"/>
            </w14:solidFill>
          </w14:textFill>
        </w:rPr>
      </w:pPr>
    </w:p>
    <w:p w14:paraId="1596627F">
      <w:pPr>
        <w:keepNext/>
        <w:keepLines/>
        <w:snapToGrid w:val="0"/>
        <w:spacing w:line="360" w:lineRule="auto"/>
        <w:jc w:val="center"/>
        <w:outlineLvl w:val="1"/>
        <w:rPr>
          <w:rFonts w:ascii="宋体" w:hAnsi="宋体"/>
          <w:b/>
          <w:bCs/>
          <w:color w:val="000000" w:themeColor="text1"/>
          <w:kern w:val="0"/>
          <w:sz w:val="44"/>
          <w:szCs w:val="44"/>
          <w:highlight w:val="none"/>
          <w14:textFill>
            <w14:solidFill>
              <w14:schemeClr w14:val="tx1"/>
            </w14:solidFill>
          </w14:textFill>
        </w:rPr>
      </w:pPr>
      <w:bookmarkStart w:id="739" w:name="_Toc33183706"/>
      <w:bookmarkStart w:id="740" w:name="_Toc59810403"/>
      <w:bookmarkStart w:id="741" w:name="_Toc1331"/>
      <w:bookmarkStart w:id="742" w:name="_Toc15016"/>
      <w:r>
        <w:rPr>
          <w:rFonts w:hint="eastAsia" w:ascii="宋体" w:hAnsi="宋体"/>
          <w:b/>
          <w:bCs/>
          <w:color w:val="000000" w:themeColor="text1"/>
          <w:kern w:val="0"/>
          <w:sz w:val="44"/>
          <w:szCs w:val="44"/>
          <w:highlight w:val="none"/>
          <w14:textFill>
            <w14:solidFill>
              <w14:schemeClr w14:val="tx1"/>
            </w14:solidFill>
          </w14:textFill>
        </w:rPr>
        <w:t xml:space="preserve">第三部分 </w:t>
      </w:r>
      <w:r>
        <w:rPr>
          <w:rFonts w:hint="eastAsia" w:ascii="华文中宋" w:hAnsi="华文中宋" w:eastAsia="华文中宋" w:cs="Microsoft Sans Serif"/>
          <w:b/>
          <w:bCs/>
          <w:color w:val="000000" w:themeColor="text1"/>
          <w:sz w:val="44"/>
          <w:szCs w:val="44"/>
          <w:highlight w:val="none"/>
          <w:lang w:val="zh-CN"/>
          <w14:textFill>
            <w14:solidFill>
              <w14:schemeClr w14:val="tx1"/>
            </w14:solidFill>
          </w14:textFill>
        </w:rPr>
        <w:t>专用</w:t>
      </w:r>
      <w:r>
        <w:rPr>
          <w:rFonts w:hint="eastAsia" w:ascii="宋体" w:hAnsi="宋体"/>
          <w:b/>
          <w:bCs/>
          <w:color w:val="000000" w:themeColor="text1"/>
          <w:kern w:val="0"/>
          <w:sz w:val="44"/>
          <w:szCs w:val="44"/>
          <w:highlight w:val="none"/>
          <w14:textFill>
            <w14:solidFill>
              <w14:schemeClr w14:val="tx1"/>
            </w14:solidFill>
          </w14:textFill>
        </w:rPr>
        <w:t>合同条款</w:t>
      </w:r>
      <w:bookmarkEnd w:id="739"/>
      <w:bookmarkEnd w:id="740"/>
      <w:bookmarkEnd w:id="741"/>
      <w:bookmarkEnd w:id="742"/>
    </w:p>
    <w:p w14:paraId="377E0D3E">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743" w:name="_Toc222033878"/>
      <w:bookmarkStart w:id="744" w:name="_Toc222029527"/>
      <w:bookmarkStart w:id="745" w:name="_Toc222031029"/>
      <w:bookmarkStart w:id="746" w:name="_Toc14158"/>
      <w:bookmarkStart w:id="747" w:name="_Toc59810404"/>
      <w:bookmarkStart w:id="748" w:name="_Toc10624"/>
      <w:bookmarkStart w:id="749" w:name="_Toc221951111"/>
      <w:bookmarkStart w:id="750" w:name="_Toc229305387"/>
      <w:bookmarkStart w:id="751" w:name="_Toc33183707"/>
      <w:bookmarkStart w:id="752" w:name="_Toc222032696"/>
      <w:r>
        <w:rPr>
          <w:rFonts w:hint="eastAsia" w:ascii="宋体" w:hAnsi="宋体" w:cs="宋体"/>
          <w:color w:val="000000" w:themeColor="text1"/>
          <w:sz w:val="21"/>
          <w:szCs w:val="21"/>
          <w:highlight w:val="none"/>
          <w14:textFill>
            <w14:solidFill>
              <w14:schemeClr w14:val="tx1"/>
            </w14:solidFill>
          </w14:textFill>
        </w:rPr>
        <w:t>1.一般约定</w:t>
      </w:r>
      <w:bookmarkEnd w:id="743"/>
      <w:bookmarkEnd w:id="744"/>
      <w:bookmarkEnd w:id="745"/>
      <w:bookmarkEnd w:id="746"/>
      <w:bookmarkEnd w:id="747"/>
      <w:bookmarkEnd w:id="748"/>
      <w:bookmarkEnd w:id="749"/>
      <w:bookmarkEnd w:id="750"/>
      <w:bookmarkEnd w:id="751"/>
      <w:bookmarkEnd w:id="752"/>
    </w:p>
    <w:p w14:paraId="4CA88A79">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53" w:name="_Toc221951112"/>
      <w:bookmarkStart w:id="754" w:name="_Toc33183708"/>
      <w:r>
        <w:rPr>
          <w:rFonts w:hint="eastAsia" w:ascii="宋体" w:hAnsi="宋体" w:cs="宋体"/>
          <w:color w:val="000000" w:themeColor="text1"/>
          <w:szCs w:val="21"/>
          <w:highlight w:val="none"/>
          <w14:textFill>
            <w14:solidFill>
              <w14:schemeClr w14:val="tx1"/>
            </w14:solidFill>
          </w14:textFill>
        </w:rPr>
        <w:t>1.1  词语定义</w:t>
      </w:r>
      <w:bookmarkEnd w:id="753"/>
      <w:bookmarkEnd w:id="754"/>
    </w:p>
    <w:p w14:paraId="0D65DA19">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755" w:name="_Toc221951113"/>
      <w:r>
        <w:rPr>
          <w:rFonts w:hint="eastAsia" w:ascii="宋体" w:hAnsi="宋体" w:cs="宋体"/>
          <w:color w:val="000000" w:themeColor="text1"/>
          <w:kern w:val="0"/>
          <w:szCs w:val="21"/>
          <w:highlight w:val="none"/>
          <w14:textFill>
            <w14:solidFill>
              <w14:schemeClr w14:val="tx1"/>
            </w14:solidFill>
          </w14:textFill>
        </w:rPr>
        <w:t>1.1.1 合同</w:t>
      </w:r>
    </w:p>
    <w:p w14:paraId="47C92BFE">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1.1.1.6 技术标准和要求：</w:t>
      </w:r>
      <w:r>
        <w:rPr>
          <w:rFonts w:hint="eastAsia" w:ascii="宋体" w:hAnsi="宋体" w:cs="宋体"/>
          <w:color w:val="000000" w:themeColor="text1"/>
          <w:kern w:val="0"/>
          <w:szCs w:val="21"/>
          <w:highlight w:val="none"/>
          <w:u w:val="single"/>
          <w14:textFill>
            <w14:solidFill>
              <w14:schemeClr w14:val="tx1"/>
            </w14:solidFill>
          </w14:textFill>
        </w:rPr>
        <w:t>本目中的技术标准和要求是指技术规范，即合同所约定的技术标准和要求，是合同文件的组成部分。与通用合同条款中“技术标准和要求”一词具有相同含义，包括合同双方当事人约定对其所作的修改或补充。</w:t>
      </w:r>
    </w:p>
    <w:p w14:paraId="16D6FB7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1.1.1.8 已标价工程量清单：</w:t>
      </w:r>
      <w:r>
        <w:rPr>
          <w:rFonts w:hint="eastAsia" w:ascii="宋体" w:hAnsi="宋体" w:cs="宋体"/>
          <w:color w:val="000000" w:themeColor="text1"/>
          <w:kern w:val="0"/>
          <w:szCs w:val="21"/>
          <w:highlight w:val="none"/>
          <w:u w:val="single"/>
          <w14:textFill>
            <w14:solidFill>
              <w14:schemeClr w14:val="tx1"/>
            </w14:solidFill>
          </w14:textFill>
        </w:rPr>
        <w:t>指构成合同文件组成部分的已标明价格、经算术性错误修正及其他错误修正（如有）且承包人已确认的最终的工程量清单。</w:t>
      </w:r>
    </w:p>
    <w:p w14:paraId="323C1466">
      <w:pPr>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1.1.1.9 其他合同文件：</w:t>
      </w:r>
      <w:r>
        <w:rPr>
          <w:rFonts w:hint="eastAsia" w:ascii="宋体" w:hAnsi="宋体" w:cs="宋体"/>
          <w:color w:val="000000" w:themeColor="text1"/>
          <w:kern w:val="0"/>
          <w:szCs w:val="21"/>
          <w:highlight w:val="none"/>
          <w:u w:val="single"/>
          <w14:textFill>
            <w14:solidFill>
              <w14:schemeClr w14:val="tx1"/>
            </w14:solidFill>
          </w14:textFill>
        </w:rPr>
        <w:t>按照合同协议书〔第六条〕约定执行。</w:t>
      </w:r>
    </w:p>
    <w:p w14:paraId="01F20F7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本项补充1.1.1.10～1.1.1.15目：</w:t>
      </w:r>
    </w:p>
    <w:p w14:paraId="4390CC19">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1.1.1.10</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指本工程的</w:t>
      </w:r>
      <w:r>
        <w:rPr>
          <w:rFonts w:hint="eastAsia" w:ascii="宋体" w:hAnsi="宋体"/>
          <w:color w:val="000000" w:themeColor="text1"/>
          <w:kern w:val="0"/>
          <w:szCs w:val="21"/>
          <w:highlight w:val="none"/>
          <w:u w:val="single"/>
          <w:lang w:eastAsia="zh-CN"/>
          <w14:textFill>
            <w14:solidFill>
              <w14:schemeClr w14:val="tx1"/>
            </w14:solidFill>
          </w14:textFill>
        </w:rPr>
        <w:t>比选文件</w:t>
      </w:r>
      <w:r>
        <w:rPr>
          <w:rFonts w:hint="eastAsia" w:ascii="宋体" w:hAnsi="宋体"/>
          <w:color w:val="000000" w:themeColor="text1"/>
          <w:kern w:val="0"/>
          <w:szCs w:val="21"/>
          <w:highlight w:val="none"/>
          <w:u w:val="single"/>
          <w14:textFill>
            <w14:solidFill>
              <w14:schemeClr w14:val="tx1"/>
            </w14:solidFill>
          </w14:textFill>
        </w:rPr>
        <w:t>、图纸、其他技术资料及</w:t>
      </w:r>
      <w:r>
        <w:rPr>
          <w:rFonts w:hint="eastAsia" w:ascii="宋体" w:hAnsi="宋体"/>
          <w:color w:val="000000" w:themeColor="text1"/>
          <w:kern w:val="0"/>
          <w:szCs w:val="21"/>
          <w:highlight w:val="none"/>
          <w:u w:val="single"/>
          <w:lang w:eastAsia="zh-CN"/>
          <w14:textFill>
            <w14:solidFill>
              <w14:schemeClr w14:val="tx1"/>
            </w14:solidFill>
          </w14:textFill>
        </w:rPr>
        <w:t>比选人</w:t>
      </w:r>
      <w:r>
        <w:rPr>
          <w:rFonts w:hint="eastAsia" w:ascii="宋体" w:hAnsi="宋体"/>
          <w:color w:val="000000" w:themeColor="text1"/>
          <w:kern w:val="0"/>
          <w:szCs w:val="21"/>
          <w:highlight w:val="none"/>
          <w:u w:val="single"/>
          <w14:textFill>
            <w14:solidFill>
              <w14:schemeClr w14:val="tx1"/>
            </w14:solidFill>
          </w14:textFill>
        </w:rPr>
        <w:t>发出的对</w:t>
      </w:r>
      <w:r>
        <w:rPr>
          <w:rFonts w:hint="eastAsia" w:ascii="宋体" w:hAnsi="宋体"/>
          <w:color w:val="000000" w:themeColor="text1"/>
          <w:kern w:val="0"/>
          <w:szCs w:val="21"/>
          <w:highlight w:val="none"/>
          <w:u w:val="single"/>
          <w:lang w:eastAsia="zh-CN"/>
          <w14:textFill>
            <w14:solidFill>
              <w14:schemeClr w14:val="tx1"/>
            </w14:solidFill>
          </w14:textFill>
        </w:rPr>
        <w:t>比选文件</w:t>
      </w:r>
      <w:r>
        <w:rPr>
          <w:rFonts w:hint="eastAsia" w:ascii="宋体" w:hAnsi="宋体"/>
          <w:color w:val="000000" w:themeColor="text1"/>
          <w:kern w:val="0"/>
          <w:szCs w:val="21"/>
          <w:highlight w:val="none"/>
          <w:u w:val="single"/>
          <w14:textFill>
            <w14:solidFill>
              <w14:schemeClr w14:val="tx1"/>
            </w14:solidFill>
          </w14:textFill>
        </w:rPr>
        <w:t>所作的澄清、修改、修改等资料</w:t>
      </w:r>
      <w:r>
        <w:rPr>
          <w:rFonts w:hint="eastAsia" w:ascii="宋体" w:hAnsi="宋体"/>
          <w:color w:val="000000" w:themeColor="text1"/>
          <w:kern w:val="0"/>
          <w:szCs w:val="21"/>
          <w:highlight w:val="none"/>
          <w14:textFill>
            <w14:solidFill>
              <w14:schemeClr w14:val="tx1"/>
            </w14:solidFill>
          </w14:textFill>
        </w:rPr>
        <w:t>。</w:t>
      </w:r>
    </w:p>
    <w:p w14:paraId="1A46E662">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1.1.1.11 工作：</w:t>
      </w:r>
      <w:r>
        <w:rPr>
          <w:rFonts w:hint="eastAsia" w:ascii="宋体" w:hAnsi="宋体"/>
          <w:color w:val="000000" w:themeColor="text1"/>
          <w:kern w:val="0"/>
          <w:szCs w:val="21"/>
          <w:highlight w:val="none"/>
          <w:u w:val="single"/>
          <w14:textFill>
            <w14:solidFill>
              <w14:schemeClr w14:val="tx1"/>
            </w14:solidFill>
          </w14:textFill>
        </w:rPr>
        <w:t>指根据合同条款规定，或根据合同合理推及的，为本工程（包括永久工程和临时工程）施工与维护所需要的管理、劳务、材料、施工设备和其他物品的提供</w:t>
      </w:r>
      <w:r>
        <w:rPr>
          <w:rFonts w:hint="eastAsia" w:ascii="宋体" w:hAnsi="宋体"/>
          <w:color w:val="000000" w:themeColor="text1"/>
          <w:kern w:val="0"/>
          <w:szCs w:val="21"/>
          <w:highlight w:val="none"/>
          <w14:textFill>
            <w14:solidFill>
              <w14:schemeClr w14:val="tx1"/>
            </w14:solidFill>
          </w14:textFill>
        </w:rPr>
        <w:t>。</w:t>
      </w:r>
    </w:p>
    <w:p w14:paraId="71072997">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1.1.1.12 重大设计变更：</w:t>
      </w:r>
      <w:r>
        <w:rPr>
          <w:rFonts w:hint="eastAsia" w:ascii="宋体" w:hAnsi="宋体"/>
          <w:color w:val="000000" w:themeColor="text1"/>
          <w:kern w:val="0"/>
          <w:szCs w:val="21"/>
          <w:highlight w:val="none"/>
          <w:u w:val="single"/>
          <w14:textFill>
            <w14:solidFill>
              <w14:schemeClr w14:val="tx1"/>
            </w14:solidFill>
          </w14:textFill>
        </w:rPr>
        <w:t>中小型工程以《重庆市水利工程建设项目设计变更及投资概算调整管理办法》（渝水基[2007]20号文）为准，大型工程以“关于印发《水利工程设计变更管理暂行办法》的通知”（水规计[2012]93号文）为准。</w:t>
      </w:r>
    </w:p>
    <w:p w14:paraId="2BC16A5B">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1.1.1.13 公章：专指法人单位名称章。</w:t>
      </w:r>
    </w:p>
    <w:p w14:paraId="4DCED57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1.1.1.14 到岗：指承包人按照到岗履职承诺安排满足办理施工许可手续相关要求的项目主要管理人员实际到施工现场就职履约的行为。</w:t>
      </w:r>
    </w:p>
    <w:p w14:paraId="106CD41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1.1.1.15 项目法人：指具有民事权利能力和民事行为能力，依法独立享有民事权利和承担民事义务，以建设项目为目的，从事项目管理的机构、单位或组织。</w:t>
      </w:r>
    </w:p>
    <w:p w14:paraId="2D14F2F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合同当事人和人员</w:t>
      </w:r>
      <w:bookmarkEnd w:id="755"/>
    </w:p>
    <w:p w14:paraId="4864548B">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56" w:name="_Toc221951114"/>
      <w:r>
        <w:rPr>
          <w:rFonts w:hint="eastAsia" w:ascii="宋体" w:hAnsi="宋体" w:cs="宋体"/>
          <w:color w:val="000000" w:themeColor="text1"/>
          <w:szCs w:val="21"/>
          <w:highlight w:val="none"/>
          <w14:textFill>
            <w14:solidFill>
              <w14:schemeClr w14:val="tx1"/>
            </w14:solidFill>
          </w14:textFill>
        </w:rPr>
        <w:t>1.1.2.2  发包人：</w:t>
      </w:r>
      <w:r>
        <w:rPr>
          <w:rFonts w:hint="eastAsia" w:ascii="宋体" w:hAnsi="宋体" w:cs="宋体"/>
          <w:color w:val="000000" w:themeColor="text1"/>
          <w:szCs w:val="21"/>
          <w:highlight w:val="none"/>
          <w:u w:val="single"/>
          <w14:textFill>
            <w14:solidFill>
              <w14:schemeClr w14:val="tx1"/>
            </w14:solidFill>
          </w14:textFill>
        </w:rPr>
        <w:t xml:space="preserve">       (填入发包人的名称)       </w:t>
      </w:r>
      <w:bookmarkEnd w:id="756"/>
      <w:r>
        <w:rPr>
          <w:rFonts w:hint="eastAsia" w:ascii="宋体" w:hAnsi="宋体" w:cs="宋体"/>
          <w:color w:val="000000" w:themeColor="text1"/>
          <w:szCs w:val="21"/>
          <w:highlight w:val="none"/>
          <w14:textFill>
            <w14:solidFill>
              <w14:schemeClr w14:val="tx1"/>
            </w14:solidFill>
          </w14:textFill>
        </w:rPr>
        <w:t>；</w:t>
      </w:r>
    </w:p>
    <w:p w14:paraId="3A55C203">
      <w:pPr>
        <w:spacing w:line="360" w:lineRule="auto"/>
        <w:ind w:firstLine="840" w:firstLineChars="4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联系人及联系方式：</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A9BD03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57" w:name="_Toc221951115"/>
      <w:r>
        <w:rPr>
          <w:rFonts w:hint="eastAsia" w:ascii="宋体" w:hAnsi="宋体" w:cs="宋体"/>
          <w:color w:val="000000" w:themeColor="text1"/>
          <w:szCs w:val="21"/>
          <w:highlight w:val="none"/>
          <w14:textFill>
            <w14:solidFill>
              <w14:schemeClr w14:val="tx1"/>
            </w14:solidFill>
          </w14:textFill>
        </w:rPr>
        <w:t>1.1.2.3  承包人：</w:t>
      </w:r>
      <w:r>
        <w:rPr>
          <w:rFonts w:hint="eastAsia" w:ascii="宋体" w:hAnsi="宋体" w:cs="宋体"/>
          <w:color w:val="000000" w:themeColor="text1"/>
          <w:szCs w:val="21"/>
          <w:highlight w:val="none"/>
          <w:u w:val="single"/>
          <w14:textFill>
            <w14:solidFill>
              <w14:schemeClr w14:val="tx1"/>
            </w14:solidFill>
          </w14:textFill>
        </w:rPr>
        <w:t xml:space="preserve">      (签约后填入承包人的名称)    </w:t>
      </w:r>
      <w:r>
        <w:rPr>
          <w:rFonts w:hint="eastAsia" w:ascii="宋体" w:hAnsi="宋体" w:cs="宋体"/>
          <w:color w:val="000000" w:themeColor="text1"/>
          <w:szCs w:val="21"/>
          <w:highlight w:val="none"/>
          <w14:textFill>
            <w14:solidFill>
              <w14:schemeClr w14:val="tx1"/>
            </w14:solidFill>
          </w14:textFill>
        </w:rPr>
        <w:t>；</w:t>
      </w:r>
    </w:p>
    <w:p w14:paraId="53E61A6C">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资质类别和等级：</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61D45CEA">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联系人及联系方式：</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bookmarkEnd w:id="757"/>
    </w:p>
    <w:p w14:paraId="53B0930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58" w:name="_Toc221951116"/>
      <w:r>
        <w:rPr>
          <w:rFonts w:hint="eastAsia" w:ascii="宋体" w:hAnsi="宋体" w:cs="宋体"/>
          <w:color w:val="000000" w:themeColor="text1"/>
          <w:szCs w:val="21"/>
          <w:highlight w:val="none"/>
          <w14:textFill>
            <w14:solidFill>
              <w14:schemeClr w14:val="tx1"/>
            </w14:solidFill>
          </w14:textFill>
        </w:rPr>
        <w:t>1.1.2.5  分包人：</w:t>
      </w:r>
      <w:r>
        <w:rPr>
          <w:rFonts w:hint="eastAsia" w:ascii="宋体" w:hAnsi="宋体" w:cs="宋体"/>
          <w:color w:val="000000" w:themeColor="text1"/>
          <w:szCs w:val="21"/>
          <w:highlight w:val="none"/>
          <w:u w:val="single"/>
          <w14:textFill>
            <w14:solidFill>
              <w14:schemeClr w14:val="tx1"/>
            </w14:solidFill>
          </w14:textFill>
        </w:rPr>
        <w:t xml:space="preserve">      (签约后填入分包人的名称)   </w:t>
      </w:r>
      <w:r>
        <w:rPr>
          <w:rFonts w:hint="eastAsia" w:ascii="宋体" w:hAnsi="宋体" w:cs="宋体"/>
          <w:color w:val="000000" w:themeColor="text1"/>
          <w:szCs w:val="21"/>
          <w:highlight w:val="none"/>
          <w14:textFill>
            <w14:solidFill>
              <w14:schemeClr w14:val="tx1"/>
            </w14:solidFill>
          </w14:textFill>
        </w:rPr>
        <w:t>；</w:t>
      </w:r>
    </w:p>
    <w:p w14:paraId="5F32FD3A">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资质类别和等级：</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0D7C5E90">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联系人及联系方式：</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bookmarkEnd w:id="758"/>
    </w:p>
    <w:p w14:paraId="0C116AA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59" w:name="_Toc221951117"/>
      <w:r>
        <w:rPr>
          <w:rFonts w:hint="eastAsia" w:ascii="宋体" w:hAnsi="宋体" w:cs="宋体"/>
          <w:color w:val="000000" w:themeColor="text1"/>
          <w:szCs w:val="21"/>
          <w:highlight w:val="none"/>
          <w14:textFill>
            <w14:solidFill>
              <w14:schemeClr w14:val="tx1"/>
            </w14:solidFill>
          </w14:textFill>
        </w:rPr>
        <w:t>1.1.2.6  监理人：</w:t>
      </w:r>
      <w:r>
        <w:rPr>
          <w:rFonts w:hint="eastAsia" w:ascii="宋体" w:hAnsi="宋体" w:cs="宋体"/>
          <w:color w:val="000000" w:themeColor="text1"/>
          <w:szCs w:val="21"/>
          <w:highlight w:val="none"/>
          <w:u w:val="single"/>
          <w14:textFill>
            <w14:solidFill>
              <w14:schemeClr w14:val="tx1"/>
            </w14:solidFill>
          </w14:textFill>
        </w:rPr>
        <w:t xml:space="preserve">      (填入监理人名称)           </w:t>
      </w:r>
      <w:bookmarkEnd w:id="759"/>
      <w:r>
        <w:rPr>
          <w:rFonts w:hint="eastAsia" w:ascii="宋体" w:hAnsi="宋体" w:cs="宋体"/>
          <w:color w:val="000000" w:themeColor="text1"/>
          <w:szCs w:val="21"/>
          <w:highlight w:val="none"/>
          <w14:textFill>
            <w14:solidFill>
              <w14:schemeClr w14:val="tx1"/>
            </w14:solidFill>
          </w14:textFill>
        </w:rPr>
        <w:t>；</w:t>
      </w:r>
    </w:p>
    <w:p w14:paraId="1F2A8922">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资质类别和等级：</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6B78E77F">
      <w:pPr>
        <w:spacing w:line="360" w:lineRule="auto"/>
        <w:ind w:firstLine="840" w:firstLineChars="4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联系人及联系方式：</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8ECA30C">
      <w:pPr>
        <w:spacing w:line="360" w:lineRule="auto"/>
        <w:rPr>
          <w:rFonts w:ascii="宋体" w:hAnsi="宋体" w:cs="宋体"/>
          <w:color w:val="000000" w:themeColor="text1"/>
          <w:szCs w:val="21"/>
          <w:highlight w:val="none"/>
          <w14:textFill>
            <w14:solidFill>
              <w14:schemeClr w14:val="tx1"/>
            </w14:solidFill>
          </w14:textFill>
        </w:rPr>
      </w:pPr>
      <w:bookmarkStart w:id="760" w:name="_Toc221951125"/>
      <w:r>
        <w:rPr>
          <w:rFonts w:hint="eastAsia" w:ascii="宋体" w:hAnsi="宋体" w:cs="宋体"/>
          <w:color w:val="000000" w:themeColor="text1"/>
          <w:szCs w:val="21"/>
          <w:highlight w:val="none"/>
          <w14:textFill>
            <w14:solidFill>
              <w14:schemeClr w14:val="tx1"/>
            </w14:solidFill>
          </w14:textFill>
        </w:rPr>
        <w:t>1.1.4  日期</w:t>
      </w:r>
      <w:bookmarkEnd w:id="760"/>
    </w:p>
    <w:p w14:paraId="78B565F5">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61" w:name="_Toc221951127"/>
      <w:bookmarkStart w:id="762" w:name="_Toc33183709"/>
      <w:r>
        <w:rPr>
          <w:rFonts w:hint="eastAsia" w:ascii="宋体" w:hAnsi="宋体" w:cs="宋体"/>
          <w:color w:val="000000" w:themeColor="text1"/>
          <w:szCs w:val="21"/>
          <w:highlight w:val="none"/>
          <w14:textFill>
            <w14:solidFill>
              <w14:schemeClr w14:val="tx1"/>
            </w14:solidFill>
          </w14:textFill>
        </w:rPr>
        <w:t>1.4  合同文件的优先顺序</w:t>
      </w:r>
      <w:bookmarkEnd w:id="761"/>
      <w:bookmarkEnd w:id="762"/>
    </w:p>
    <w:p w14:paraId="32DD2E0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bookmarkStart w:id="763" w:name="_Toc221951128"/>
      <w:r>
        <w:rPr>
          <w:rFonts w:hint="eastAsia" w:ascii="宋体" w:hAnsi="宋体"/>
          <w:color w:val="000000" w:themeColor="text1"/>
          <w:szCs w:val="21"/>
          <w:highlight w:val="none"/>
          <w14:textFill>
            <w14:solidFill>
              <w14:schemeClr w14:val="tx1"/>
            </w14:solidFill>
          </w14:textFill>
        </w:rPr>
        <w:t>合同文件组成及优先顺序为：</w:t>
      </w:r>
      <w:r>
        <w:rPr>
          <w:rFonts w:hint="eastAsia" w:ascii="宋体" w:hAnsi="宋体"/>
          <w:color w:val="000000" w:themeColor="text1"/>
          <w:szCs w:val="21"/>
          <w:highlight w:val="none"/>
          <w:u w:val="single"/>
          <w14:textFill>
            <w14:solidFill>
              <w14:schemeClr w14:val="tx1"/>
            </w14:solidFill>
          </w14:textFill>
        </w:rPr>
        <w:t>按照合同协议书</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第六条</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列明的文件顺序执行</w:t>
      </w:r>
      <w:r>
        <w:rPr>
          <w:rFonts w:hint="eastAsia" w:ascii="宋体" w:hAnsi="宋体"/>
          <w:color w:val="000000" w:themeColor="text1"/>
          <w:szCs w:val="21"/>
          <w:highlight w:val="none"/>
          <w14:textFill>
            <w14:solidFill>
              <w14:schemeClr w14:val="tx1"/>
            </w14:solidFill>
          </w14:textFill>
        </w:rPr>
        <w:t>。</w:t>
      </w:r>
    </w:p>
    <w:bookmarkEnd w:id="763"/>
    <w:p w14:paraId="341069B8">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64" w:name="_Toc33183710"/>
      <w:r>
        <w:rPr>
          <w:rFonts w:hint="eastAsia" w:ascii="宋体" w:hAnsi="宋体" w:cs="宋体"/>
          <w:color w:val="000000" w:themeColor="text1"/>
          <w:szCs w:val="21"/>
          <w:highlight w:val="none"/>
          <w14:textFill>
            <w14:solidFill>
              <w14:schemeClr w14:val="tx1"/>
            </w14:solidFill>
          </w14:textFill>
        </w:rPr>
        <w:t>1.6 图纸和承包人文件</w:t>
      </w:r>
      <w:bookmarkEnd w:id="764"/>
    </w:p>
    <w:p w14:paraId="59F51D7C">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 图纸的提供</w:t>
      </w:r>
    </w:p>
    <w:p w14:paraId="6A0E069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发包人向承包人提供图纸的期限：</w:t>
      </w:r>
      <w:r>
        <w:rPr>
          <w:rFonts w:hint="eastAsia" w:ascii="宋体" w:hAnsi="宋体" w:cs="宋体"/>
          <w:color w:val="000000" w:themeColor="text1"/>
          <w:kern w:val="0"/>
          <w:szCs w:val="21"/>
          <w:highlight w:val="none"/>
          <w:u w:val="single"/>
          <w14:textFill>
            <w14:solidFill>
              <w14:schemeClr w14:val="tx1"/>
            </w14:solidFill>
          </w14:textFill>
        </w:rPr>
        <w:t>通用合同条款第11.1款〔开工通知〕载明的开工日期前   天</w:t>
      </w:r>
      <w:r>
        <w:rPr>
          <w:rFonts w:hint="eastAsia" w:ascii="宋体" w:hAnsi="宋体" w:cs="宋体"/>
          <w:color w:val="000000" w:themeColor="text1"/>
          <w:kern w:val="0"/>
          <w:szCs w:val="21"/>
          <w:highlight w:val="none"/>
          <w14:textFill>
            <w14:solidFill>
              <w14:schemeClr w14:val="tx1"/>
            </w14:solidFill>
          </w14:textFill>
        </w:rPr>
        <w:t>；</w:t>
      </w:r>
    </w:p>
    <w:p w14:paraId="46AB843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发包人向承包人提供图纸的数量：</w:t>
      </w:r>
      <w:r>
        <w:rPr>
          <w:rFonts w:hint="eastAsia" w:ascii="宋体" w:hAnsi="宋体" w:cs="宋体"/>
          <w:color w:val="000000" w:themeColor="text1"/>
          <w:kern w:val="0"/>
          <w:szCs w:val="21"/>
          <w:highlight w:val="none"/>
          <w:u w:val="single"/>
          <w14:textFill>
            <w14:solidFill>
              <w14:schemeClr w14:val="tx1"/>
            </w14:solidFill>
          </w14:textFill>
        </w:rPr>
        <w:t xml:space="preserve">    套</w:t>
      </w:r>
      <w:r>
        <w:rPr>
          <w:rFonts w:hint="eastAsia" w:ascii="宋体" w:hAnsi="宋体" w:cs="宋体"/>
          <w:color w:val="000000" w:themeColor="text1"/>
          <w:kern w:val="0"/>
          <w:szCs w:val="21"/>
          <w:highlight w:val="none"/>
          <w14:textFill>
            <w14:solidFill>
              <w14:schemeClr w14:val="tx1"/>
            </w14:solidFill>
          </w14:textFill>
        </w:rPr>
        <w:t>；</w:t>
      </w:r>
    </w:p>
    <w:p w14:paraId="2457802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发包人向承包人提供图纸的内容：</w:t>
      </w:r>
      <w:r>
        <w:rPr>
          <w:rFonts w:hint="eastAsia" w:ascii="宋体" w:hAnsi="宋体" w:cs="宋体"/>
          <w:color w:val="000000" w:themeColor="text1"/>
          <w:kern w:val="0"/>
          <w:szCs w:val="21"/>
          <w:highlight w:val="none"/>
          <w:u w:val="single"/>
          <w14:textFill>
            <w14:solidFill>
              <w14:schemeClr w14:val="tx1"/>
            </w14:solidFill>
          </w14:textFill>
        </w:rPr>
        <w:t>工程承包范围内满足工程进度要求的设计文件</w:t>
      </w:r>
      <w:r>
        <w:rPr>
          <w:rFonts w:hint="eastAsia" w:ascii="宋体" w:hAnsi="宋体" w:cs="宋体"/>
          <w:color w:val="000000" w:themeColor="text1"/>
          <w:kern w:val="0"/>
          <w:szCs w:val="21"/>
          <w:highlight w:val="none"/>
          <w14:textFill>
            <w14:solidFill>
              <w14:schemeClr w14:val="tx1"/>
            </w14:solidFill>
          </w14:textFill>
        </w:rPr>
        <w:t>；</w:t>
      </w:r>
    </w:p>
    <w:p w14:paraId="5631F76A">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发包人组织承包人、监理人和设计人进行图纸会审和设计交底、安全交底的时间：</w:t>
      </w:r>
      <w:r>
        <w:rPr>
          <w:rFonts w:hint="eastAsia" w:ascii="宋体" w:hAnsi="宋体" w:cs="宋体"/>
          <w:color w:val="000000" w:themeColor="text1"/>
          <w:kern w:val="0"/>
          <w:szCs w:val="21"/>
          <w:highlight w:val="none"/>
          <w:u w:val="single"/>
          <w14:textFill>
            <w14:solidFill>
              <w14:schemeClr w14:val="tx1"/>
            </w14:solidFill>
          </w14:textFill>
        </w:rPr>
        <w:t>提供满足工程进度要求的设计文件后    天内</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承包人可以书面方式通过监理人向发包人申请进行紧急的设计交底，发包人认为确有必要且条件许可时，应尽快组织实施承包人申请的设计交底</w:t>
      </w:r>
      <w:r>
        <w:rPr>
          <w:rFonts w:hint="eastAsia" w:ascii="宋体" w:hAnsi="宋体" w:cs="宋体"/>
          <w:color w:val="000000" w:themeColor="text1"/>
          <w:kern w:val="0"/>
          <w:szCs w:val="21"/>
          <w:highlight w:val="none"/>
          <w14:textFill>
            <w14:solidFill>
              <w14:schemeClr w14:val="tx1"/>
            </w14:solidFill>
          </w14:textFill>
        </w:rPr>
        <w:t>。</w:t>
      </w:r>
    </w:p>
    <w:p w14:paraId="36F1DC40">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 承包人提供的文件</w:t>
      </w:r>
    </w:p>
    <w:p w14:paraId="017D797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承包人提供文件的数量：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。需要由承包人提供的书面文件，包括但不限于：</w:t>
      </w:r>
      <w:r>
        <w:rPr>
          <w:rFonts w:hint="eastAsia" w:ascii="宋体" w:hAnsi="宋体" w:cs="宋体"/>
          <w:color w:val="000000" w:themeColor="text1"/>
          <w:kern w:val="0"/>
          <w:szCs w:val="21"/>
          <w:highlight w:val="none"/>
          <w:u w:val="single"/>
          <w14:textFill>
            <w14:solidFill>
              <w14:schemeClr w14:val="tx1"/>
            </w14:solidFill>
          </w14:textFill>
        </w:rPr>
        <w:t>施工组织设计、专项施工方案、危险性较大的单项工程（如有）、安全应急方案、进度计划、报表及计划、合同工程完工资料（或工程竣工资料）及施工过程中因工程变更需要报送的施工方案、施工过程中涉及工程价款变更的相关资料、完整的完工结算资料等</w:t>
      </w:r>
      <w:r>
        <w:rPr>
          <w:rFonts w:hint="eastAsia" w:ascii="宋体" w:hAnsi="宋体" w:cs="宋体"/>
          <w:color w:val="000000" w:themeColor="text1"/>
          <w:kern w:val="0"/>
          <w:szCs w:val="21"/>
          <w:highlight w:val="none"/>
          <w14:textFill>
            <w14:solidFill>
              <w14:schemeClr w14:val="tx1"/>
            </w14:solidFill>
          </w14:textFill>
        </w:rPr>
        <w:t>。</w:t>
      </w:r>
    </w:p>
    <w:p w14:paraId="0B2BAE8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承包人提供文件的期限：</w:t>
      </w:r>
    </w:p>
    <w:p w14:paraId="398FA8EF">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图纸会审及设计交底后7天内，向监理人、发包人提交经优化完善的施工组织设计和工程总体进度计划及当年年度施工进度计划。进度计划安排必须符合发包人对本工程总体进度计划的安排。专项方案应在专项方案实施7日前通过审查（含专家论证）。施工组织设计和专项方案经监理人审批同意后执行。承包人应接受监理人、发包人对其提交的施工组织设计和专项方案中不合理的工期安排及技术措施、方案的修改意见，并修改完善后重新报批，直至获得批准</w:t>
      </w:r>
      <w:r>
        <w:rPr>
          <w:rFonts w:hint="eastAsia" w:ascii="宋体" w:hAnsi="宋体" w:cs="宋体"/>
          <w:color w:val="000000" w:themeColor="text1"/>
          <w:kern w:val="0"/>
          <w:szCs w:val="21"/>
          <w:highlight w:val="none"/>
          <w14:textFill>
            <w14:solidFill>
              <w14:schemeClr w14:val="tx1"/>
            </w14:solidFill>
          </w14:textFill>
        </w:rPr>
        <w:t>。</w:t>
      </w:r>
    </w:p>
    <w:p w14:paraId="4A820F5B">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每月  日前报送上月工程进度完成报表</w:t>
      </w:r>
      <w:r>
        <w:rPr>
          <w:rFonts w:hint="eastAsia" w:ascii="宋体" w:hAnsi="宋体" w:cs="宋体"/>
          <w:color w:val="000000" w:themeColor="text1"/>
          <w:kern w:val="0"/>
          <w:szCs w:val="21"/>
          <w:highlight w:val="none"/>
          <w14:textFill>
            <w14:solidFill>
              <w14:schemeClr w14:val="tx1"/>
            </w14:solidFill>
          </w14:textFill>
        </w:rPr>
        <w:t>。</w:t>
      </w:r>
    </w:p>
    <w:p w14:paraId="218460E5">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u w:val="single"/>
          <w14:textFill>
            <w14:solidFill>
              <w14:schemeClr w14:val="tx1"/>
            </w14:solidFill>
          </w14:textFill>
        </w:rPr>
        <w:t>合同另有约定的,按照其约定</w:t>
      </w:r>
      <w:r>
        <w:rPr>
          <w:rFonts w:hint="eastAsia" w:ascii="宋体" w:hAnsi="宋体" w:cs="宋体"/>
          <w:color w:val="000000" w:themeColor="text1"/>
          <w:kern w:val="0"/>
          <w:szCs w:val="21"/>
          <w:highlight w:val="none"/>
          <w14:textFill>
            <w14:solidFill>
              <w14:schemeClr w14:val="tx1"/>
            </w14:solidFill>
          </w14:textFill>
        </w:rPr>
        <w:t>。</w:t>
      </w:r>
    </w:p>
    <w:p w14:paraId="50DDBA7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承包人提供的文件的形式：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监理人审批承包人文件的期限：</w:t>
      </w:r>
      <w:r>
        <w:rPr>
          <w:rFonts w:hint="eastAsia" w:ascii="宋体" w:hAnsi="宋体"/>
          <w:color w:val="000000" w:themeColor="text1"/>
          <w:szCs w:val="21"/>
          <w:highlight w:val="none"/>
          <w:u w:val="single"/>
          <w14:textFill>
            <w14:solidFill>
              <w14:schemeClr w14:val="tx1"/>
            </w14:solidFill>
          </w14:textFill>
        </w:rPr>
        <w:t>收到施工组织设计和工程总体进度计划及当年年度施工进度计划后7天内；合同另有约定的，从其约定</w:t>
      </w:r>
      <w:r>
        <w:rPr>
          <w:rFonts w:hint="eastAsia" w:ascii="宋体" w:hAnsi="宋体"/>
          <w:color w:val="000000" w:themeColor="text1"/>
          <w:szCs w:val="21"/>
          <w:highlight w:val="none"/>
          <w14:textFill>
            <w14:solidFill>
              <w14:schemeClr w14:val="tx1"/>
            </w14:solidFill>
          </w14:textFill>
        </w:rPr>
        <w:t>。</w:t>
      </w:r>
    </w:p>
    <w:p w14:paraId="2C60B0D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承包人提供的文件的费用：</w:t>
      </w:r>
      <w:r>
        <w:rPr>
          <w:rFonts w:hint="eastAsia" w:ascii="宋体" w:hAnsi="宋体" w:cs="宋体"/>
          <w:color w:val="000000" w:themeColor="text1"/>
          <w:kern w:val="0"/>
          <w:szCs w:val="21"/>
          <w:highlight w:val="none"/>
          <w:u w:val="single"/>
          <w14:textFill>
            <w14:solidFill>
              <w14:schemeClr w14:val="tx1"/>
            </w14:solidFill>
          </w14:textFill>
        </w:rPr>
        <w:t>由承包人承担</w:t>
      </w:r>
      <w:r>
        <w:rPr>
          <w:rFonts w:hint="eastAsia" w:ascii="宋体" w:hAnsi="宋体" w:cs="宋体"/>
          <w:color w:val="000000" w:themeColor="text1"/>
          <w:kern w:val="0"/>
          <w:szCs w:val="21"/>
          <w:highlight w:val="none"/>
          <w14:textFill>
            <w14:solidFill>
              <w14:schemeClr w14:val="tx1"/>
            </w14:solidFill>
          </w14:textFill>
        </w:rPr>
        <w:t>。</w:t>
      </w:r>
    </w:p>
    <w:p w14:paraId="199F308E">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发包人审批承包人文件的期限：</w:t>
      </w:r>
      <w:r>
        <w:rPr>
          <w:rFonts w:hint="eastAsia" w:ascii="宋体" w:hAnsi="宋体" w:cs="宋体"/>
          <w:color w:val="000000" w:themeColor="text1"/>
          <w:kern w:val="0"/>
          <w:szCs w:val="21"/>
          <w:highlight w:val="none"/>
          <w:u w:val="single"/>
          <w14:textFill>
            <w14:solidFill>
              <w14:schemeClr w14:val="tx1"/>
            </w14:solidFill>
          </w14:textFill>
        </w:rPr>
        <w:t>收到后14天内；合同另有约定的，从其约定</w:t>
      </w:r>
      <w:r>
        <w:rPr>
          <w:rFonts w:hint="eastAsia" w:ascii="宋体" w:hAnsi="宋体" w:cs="宋体"/>
          <w:color w:val="000000" w:themeColor="text1"/>
          <w:kern w:val="0"/>
          <w:szCs w:val="21"/>
          <w:highlight w:val="none"/>
          <w14:textFill>
            <w14:solidFill>
              <w14:schemeClr w14:val="tx1"/>
            </w14:solidFill>
          </w14:textFill>
        </w:rPr>
        <w:t>。</w:t>
      </w:r>
    </w:p>
    <w:p w14:paraId="78552657">
      <w:pPr>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监理人、发包人的修改意见和审批，不免除或减轻承包人对该工作、工程、材料、工程设备等应承担的责任和义务。</w:t>
      </w:r>
    </w:p>
    <w:p w14:paraId="75D47505">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1.6.4 图纸的错误</w:t>
      </w:r>
    </w:p>
    <w:p w14:paraId="7C8942C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1620E85">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承包人不得利用图纸的差错、遗漏或缺陷，从中获得不正当的利益。</w:t>
      </w:r>
    </w:p>
    <w:p w14:paraId="1C806A63">
      <w:pPr>
        <w:pStyle w:val="2"/>
        <w:rPr>
          <w:rFonts w:ascii="宋体" w:hAnsi="宋体" w:cs="宋体"/>
          <w:color w:val="000000" w:themeColor="text1"/>
          <w:szCs w:val="21"/>
          <w:highlight w:val="none"/>
          <w14:textFill>
            <w14:solidFill>
              <w14:schemeClr w14:val="tx1"/>
            </w14:solidFill>
          </w14:textFill>
        </w:rPr>
      </w:pPr>
      <w:bookmarkStart w:id="765" w:name="_Toc221951129"/>
      <w:r>
        <w:rPr>
          <w:rFonts w:hint="eastAsia" w:ascii="宋体" w:hAnsi="宋体" w:cs="宋体"/>
          <w:color w:val="000000" w:themeColor="text1"/>
          <w:szCs w:val="21"/>
          <w:highlight w:val="none"/>
          <w14:textFill>
            <w14:solidFill>
              <w14:schemeClr w14:val="tx1"/>
            </w14:solidFill>
          </w14:textFill>
        </w:rPr>
        <w:t>1.7  联络</w:t>
      </w:r>
      <w:bookmarkEnd w:id="765"/>
    </w:p>
    <w:p w14:paraId="1733B1A9">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766" w:name="_Toc221951130"/>
      <w:r>
        <w:rPr>
          <w:rFonts w:hint="eastAsia" w:ascii="宋体" w:hAnsi="宋体" w:cs="宋体"/>
          <w:color w:val="000000" w:themeColor="text1"/>
          <w:kern w:val="0"/>
          <w:szCs w:val="21"/>
          <w:highlight w:val="none"/>
          <w14:textFill>
            <w14:solidFill>
              <w14:schemeClr w14:val="tx1"/>
            </w14:solidFill>
          </w14:textFill>
        </w:rPr>
        <w:t>1.7.1 发包人和承包人应当在</w:t>
      </w:r>
      <w:r>
        <w:rPr>
          <w:rFonts w:hint="eastAsia" w:ascii="宋体" w:hAnsi="宋体" w:cs="宋体"/>
          <w:color w:val="000000" w:themeColor="text1"/>
          <w:kern w:val="0"/>
          <w:szCs w:val="21"/>
          <w:highlight w:val="none"/>
          <w:u w:val="singl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天内将与合同有关的通知、批准、证明、证书、指示、指令、要求、请求、同意、意见、确定和决定等书面函件送达对方当事人，并办理书面签收手续。</w:t>
      </w:r>
    </w:p>
    <w:p w14:paraId="2168546D">
      <w:pPr>
        <w:tabs>
          <w:tab w:val="left" w:pos="7513"/>
        </w:tabs>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1.7.2 发包人接收文件的地点: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E547009">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发包人指定的接收人为: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39221DD7">
      <w:pPr>
        <w:tabs>
          <w:tab w:val="left" w:pos="7513"/>
        </w:tabs>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承包人接收文件的地点: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4FA40EC">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承包人指定的接收人为：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3733EEFA">
      <w:pPr>
        <w:tabs>
          <w:tab w:val="left" w:pos="7371"/>
        </w:tabs>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监理人接收文件的地点：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794EC45">
      <w:pPr>
        <w:tabs>
          <w:tab w:val="left" w:pos="7371"/>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监理人指定的接收人为：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bookmarkEnd w:id="766"/>
    </w:p>
    <w:p w14:paraId="07FF77E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 严禁贿赂</w:t>
      </w:r>
    </w:p>
    <w:p w14:paraId="57EEB19F">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本款补充如下：</w:t>
      </w:r>
    </w:p>
    <w:p w14:paraId="1D7639CF">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在合同执行过程中，发包人和承包人应严格履行附件7《重庆市水利工程建设廉政合同》。</w:t>
      </w:r>
    </w:p>
    <w:p w14:paraId="182440E1">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本条补充1.13、1.14款如下：</w:t>
      </w:r>
    </w:p>
    <w:p w14:paraId="33C0EF9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知识产权</w:t>
      </w:r>
    </w:p>
    <w:p w14:paraId="7DE858CF">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kern w:val="0"/>
          <w:szCs w:val="21"/>
          <w:highlight w:val="none"/>
          <w:u w:val="single"/>
          <w14:textFill>
            <w14:solidFill>
              <w14:schemeClr w14:val="tx1"/>
            </w14:solidFill>
          </w14:textFill>
        </w:rPr>
        <w:t>属于发包人。</w:t>
      </w:r>
    </w:p>
    <w:p w14:paraId="03F5A95B">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关于发包人提供的上述文件的使用限制的要求：</w:t>
      </w:r>
      <w:r>
        <w:rPr>
          <w:rFonts w:hint="eastAsia" w:ascii="宋体" w:hAnsi="宋体" w:cs="宋体"/>
          <w:color w:val="000000" w:themeColor="text1"/>
          <w:kern w:val="0"/>
          <w:szCs w:val="21"/>
          <w:highlight w:val="none"/>
          <w:u w:val="single"/>
          <w14:textFill>
            <w14:solidFill>
              <w14:schemeClr w14:val="tx1"/>
            </w14:solidFill>
          </w14:textFill>
        </w:rPr>
        <w:t>承包人可以为实现合同目的而复制、使用此类文件，但不能用于与合同无关的其他事项。未经发包人书面同意，承包人不得为了合同以外的目的而复制、使用上述文件或将之提供给任何第三方。</w:t>
      </w:r>
    </w:p>
    <w:p w14:paraId="7279B26A">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1.13.2 承包人为实施工程所编制的文件，除署名权以外的著作权属于发包人，承包人可因实施工程的运行、调试、维修、改造等目的而复制、使用此类文件，但不能用于与合同无关的其他事项。</w:t>
      </w:r>
    </w:p>
    <w:p w14:paraId="42D6AA79">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1.13.3 合同当事人保证在履行合同过程中不侵犯对方及第三方的知识产权。</w:t>
      </w:r>
    </w:p>
    <w:p w14:paraId="02696D63">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67" w:name="_Toc532377330"/>
      <w:r>
        <w:rPr>
          <w:rFonts w:hint="eastAsia" w:ascii="宋体" w:hAnsi="宋体" w:cs="宋体"/>
          <w:color w:val="000000" w:themeColor="text1"/>
          <w:szCs w:val="21"/>
          <w:highlight w:val="none"/>
          <w14:textFill>
            <w14:solidFill>
              <w14:schemeClr w14:val="tx1"/>
            </w14:solidFill>
          </w14:textFill>
        </w:rPr>
        <w:t>1.14工程量清单错误的修正</w:t>
      </w:r>
      <w:bookmarkEnd w:id="767"/>
    </w:p>
    <w:p w14:paraId="3B33E93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出现工程量清单错误时，责任和权利划分：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34D206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出现工程量清单错误时，是否调整合同价格：</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00C59F84">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允许调整合同价格的工程量偏差范围：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77B262C">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768" w:name="_Toc221951131"/>
      <w:bookmarkStart w:id="769" w:name="_Toc222032697"/>
      <w:bookmarkStart w:id="770" w:name="_Toc222031030"/>
      <w:bookmarkStart w:id="771" w:name="_Toc33183711"/>
      <w:bookmarkStart w:id="772" w:name="_Toc8735"/>
      <w:bookmarkStart w:id="773" w:name="_Toc222029528"/>
      <w:bookmarkStart w:id="774" w:name="_Toc229305388"/>
      <w:bookmarkStart w:id="775" w:name="_Toc59810405"/>
      <w:bookmarkStart w:id="776" w:name="_Toc222033879"/>
      <w:bookmarkStart w:id="777" w:name="_Toc4023"/>
      <w:r>
        <w:rPr>
          <w:rFonts w:hint="eastAsia" w:ascii="宋体" w:hAnsi="宋体" w:cs="宋体"/>
          <w:color w:val="000000" w:themeColor="text1"/>
          <w:sz w:val="21"/>
          <w:szCs w:val="21"/>
          <w:highlight w:val="none"/>
          <w14:textFill>
            <w14:solidFill>
              <w14:schemeClr w14:val="tx1"/>
            </w14:solidFill>
          </w14:textFill>
        </w:rPr>
        <w:t>2.发包人义务</w:t>
      </w:r>
      <w:bookmarkEnd w:id="768"/>
      <w:bookmarkEnd w:id="769"/>
      <w:bookmarkEnd w:id="770"/>
      <w:bookmarkEnd w:id="771"/>
      <w:bookmarkEnd w:id="772"/>
      <w:bookmarkEnd w:id="773"/>
      <w:bookmarkEnd w:id="774"/>
      <w:bookmarkEnd w:id="775"/>
      <w:bookmarkEnd w:id="776"/>
      <w:bookmarkEnd w:id="777"/>
    </w:p>
    <w:p w14:paraId="644F2EDD">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78" w:name="_Toc221951132"/>
      <w:bookmarkStart w:id="779" w:name="_Toc33183712"/>
      <w:r>
        <w:rPr>
          <w:rFonts w:hint="eastAsia" w:ascii="宋体" w:hAnsi="宋体" w:cs="宋体"/>
          <w:color w:val="000000" w:themeColor="text1"/>
          <w:szCs w:val="21"/>
          <w:highlight w:val="none"/>
          <w14:textFill>
            <w14:solidFill>
              <w14:schemeClr w14:val="tx1"/>
            </w14:solidFill>
          </w14:textFill>
        </w:rPr>
        <w:t>2.3  提供施工场地</w:t>
      </w:r>
      <w:bookmarkEnd w:id="778"/>
      <w:bookmarkEnd w:id="779"/>
    </w:p>
    <w:p w14:paraId="5F9C72B2">
      <w:pPr>
        <w:adjustRightInd w:val="0"/>
        <w:snapToGrid w:val="0"/>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bookmarkStart w:id="780" w:name="_Toc221951133"/>
      <w:r>
        <w:rPr>
          <w:rFonts w:hint="eastAsia" w:ascii="宋体" w:hAnsi="宋体" w:cs="宋体"/>
          <w:color w:val="000000" w:themeColor="text1"/>
          <w:szCs w:val="21"/>
          <w:highlight w:val="none"/>
          <w14:textFill>
            <w14:solidFill>
              <w14:schemeClr w14:val="tx1"/>
            </w14:solidFill>
          </w14:textFill>
        </w:rPr>
        <w:t>2.3.2发包人提供的施工场地范围为：</w:t>
      </w:r>
      <w:bookmarkEnd w:id="780"/>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施工场地的提供采用以下第</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种方式：</w:t>
      </w:r>
      <w:r>
        <w:rPr>
          <w:rFonts w:hint="eastAsia" w:ascii="宋体" w:hAnsi="宋体" w:cs="宋体"/>
          <w:b/>
          <w:bCs/>
          <w:color w:val="000000" w:themeColor="text1"/>
          <w:szCs w:val="21"/>
          <w:highlight w:val="none"/>
          <w14:textFill>
            <w14:solidFill>
              <w14:schemeClr w14:val="tx1"/>
            </w14:solidFill>
          </w14:textFill>
        </w:rPr>
        <w:t xml:space="preserve">  </w:t>
      </w:r>
    </w:p>
    <w:p w14:paraId="31F12D2F">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（1）一次提供全部施工场地：发包人于</w:t>
      </w:r>
      <w:r>
        <w:rPr>
          <w:rFonts w:hint="eastAsia" w:ascii="宋体" w:hAnsi="宋体" w:cs="宋体"/>
          <w:color w:val="000000" w:themeColor="text1"/>
          <w:kern w:val="0"/>
          <w:szCs w:val="21"/>
          <w:highlight w:val="none"/>
          <w:u w:val="single"/>
          <w14:textFill>
            <w14:solidFill>
              <w14:schemeClr w14:val="tx1"/>
            </w14:solidFill>
          </w14:textFill>
        </w:rPr>
        <w:t>开工</w:t>
      </w:r>
      <w:r>
        <w:rPr>
          <w:rFonts w:hint="eastAsia" w:ascii="宋体" w:hAnsi="宋体" w:cs="宋体"/>
          <w:color w:val="000000" w:themeColor="text1"/>
          <w:kern w:val="0"/>
          <w:szCs w:val="21"/>
          <w:highlight w:val="none"/>
          <w14:textFill>
            <w14:solidFill>
              <w14:schemeClr w14:val="tx1"/>
            </w14:solidFill>
          </w14:textFill>
        </w:rPr>
        <w:t>前向承包人提供合同工程用地范围内的施工场地。</w:t>
      </w:r>
    </w:p>
    <w:p w14:paraId="484412E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（2）分次提供全部施工场地：</w:t>
      </w:r>
      <w:r>
        <w:rPr>
          <w:rFonts w:hint="eastAsia" w:ascii="宋体" w:hAnsi="宋体" w:cs="宋体"/>
          <w:color w:val="000000" w:themeColor="text1"/>
          <w:kern w:val="0"/>
          <w:szCs w:val="21"/>
          <w:highlight w:val="none"/>
          <w:u w:val="single"/>
          <w14:textFill>
            <w14:solidFill>
              <w14:schemeClr w14:val="tx1"/>
            </w14:solidFill>
          </w14:textFill>
        </w:rPr>
        <w:t>发包人按约定的时间分次向承包人提供合同工程用地范围内的施工场地</w:t>
      </w:r>
      <w:r>
        <w:rPr>
          <w:rFonts w:hint="eastAsia" w:ascii="宋体" w:hAnsi="宋体" w:cs="宋体"/>
          <w:color w:val="000000" w:themeColor="text1"/>
          <w:kern w:val="0"/>
          <w:szCs w:val="21"/>
          <w:highlight w:val="none"/>
          <w14:textFill>
            <w14:solidFill>
              <w14:schemeClr w14:val="tx1"/>
            </w14:solidFill>
          </w14:textFill>
        </w:rPr>
        <w:t>。</w:t>
      </w:r>
    </w:p>
    <w:p w14:paraId="6AA1A01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承包人编制的施工组织计划已充分考虑了施工场地提供的因素</w:t>
      </w:r>
      <w:r>
        <w:rPr>
          <w:rFonts w:hint="eastAsia" w:ascii="宋体" w:hAnsi="宋体" w:cs="宋体"/>
          <w:color w:val="000000" w:themeColor="text1"/>
          <w:kern w:val="0"/>
          <w:szCs w:val="21"/>
          <w:highlight w:val="none"/>
          <w14:textFill>
            <w14:solidFill>
              <w14:schemeClr w14:val="tx1"/>
            </w14:solidFill>
          </w14:textFill>
        </w:rPr>
        <w:t>。</w:t>
      </w:r>
    </w:p>
    <w:p w14:paraId="13B1EBDE">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2.3.3承包人自行勘察的施工场地范围为：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5BE7E51">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本项补充2.3.4、2.3.5项如下：：</w:t>
      </w:r>
    </w:p>
    <w:p w14:paraId="00EC9B0A">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2.3.4关于发包人负责提供施工场地的要求：发包人负责办理施工场地的征用及与之有关的拆迁赔偿手续并承担相关费用。承包人在按10.1款规定提交施工进度计划的同时，应向监理人提交一份按施工先后次序所需的施工场地计划。监理人应在收到此计划后的</w:t>
      </w:r>
      <w:r>
        <w:rPr>
          <w:rFonts w:hint="eastAsia" w:ascii="宋体" w:hAnsi="宋体" w:cs="宋体"/>
          <w:color w:val="000000" w:themeColor="text1"/>
          <w:kern w:val="0"/>
          <w:szCs w:val="21"/>
          <w:highlight w:val="none"/>
          <w:u w:val="singl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天内审核并转报发包人核备。发包人应在监理人发出本工程或分部工程开工通知之前，对承包人开工所需的施工场地办妥征用手续和相关拆迁赔偿手续，移交承包人使用，以使承包人能够及时开工；此后按承包人提交并经监理人同意的合同进度计划的安排，分期（也可以一次）将施工所需的其余施工场地办妥征用以及拆迁赔偿手续，移交承包人使用，以使承包人能够连续不间断地施工。由于承包人施工考虑不周或措施不当等原因而造成的超计划占地或拆迁等所发生的征用和赔偿费用，应由承包人承担。</w:t>
      </w:r>
    </w:p>
    <w:p w14:paraId="0C637243">
      <w:pPr>
        <w:pStyle w:val="2"/>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2.3.5关于发包人应负责提供其他施工所需要条件的要求：</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D63F84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81" w:name="_Toc33183713"/>
      <w:bookmarkStart w:id="782" w:name="_Toc221951134"/>
      <w:r>
        <w:rPr>
          <w:rFonts w:hint="eastAsia" w:ascii="宋体" w:hAnsi="宋体" w:cs="宋体"/>
          <w:color w:val="000000" w:themeColor="text1"/>
          <w:szCs w:val="21"/>
          <w:highlight w:val="none"/>
          <w14:textFill>
            <w14:solidFill>
              <w14:schemeClr w14:val="tx1"/>
            </w14:solidFill>
          </w14:textFill>
        </w:rPr>
        <w:t>2.8  其它义务</w:t>
      </w:r>
      <w:bookmarkEnd w:id="781"/>
      <w:bookmarkEnd w:id="782"/>
      <w:r>
        <w:rPr>
          <w:rFonts w:hint="eastAsia" w:ascii="宋体" w:hAnsi="宋体" w:cs="宋体"/>
          <w:color w:val="000000" w:themeColor="text1"/>
          <w:szCs w:val="21"/>
          <w:highlight w:val="none"/>
          <w14:textFill>
            <w14:solidFill>
              <w14:schemeClr w14:val="tx1"/>
            </w14:solidFill>
          </w14:textFill>
        </w:rPr>
        <w:t xml:space="preserve">  </w:t>
      </w:r>
    </w:p>
    <w:p w14:paraId="5C7E77FC">
      <w:pPr>
        <w:snapToGrid w:val="0"/>
        <w:spacing w:line="360" w:lineRule="auto"/>
        <w:ind w:firstLine="480"/>
        <w:rPr>
          <w:rFonts w:ascii="宋体" w:hAnsi="宋体" w:cs="宋体"/>
          <w:color w:val="000000" w:themeColor="text1"/>
          <w:szCs w:val="21"/>
          <w:highlight w:val="none"/>
          <w14:textFill>
            <w14:solidFill>
              <w14:schemeClr w14:val="tx1"/>
            </w14:solidFill>
          </w14:textFill>
        </w:rPr>
      </w:pPr>
      <w:bookmarkStart w:id="783" w:name="_Toc221951135"/>
      <w:r>
        <w:rPr>
          <w:rFonts w:hint="eastAsia" w:ascii="宋体" w:hAnsi="宋体" w:cs="宋体"/>
          <w:color w:val="000000" w:themeColor="text1"/>
          <w:szCs w:val="21"/>
          <w:highlight w:val="none"/>
          <w14:textFill>
            <w14:solidFill>
              <w14:schemeClr w14:val="tx1"/>
            </w14:solidFill>
          </w14:textFill>
        </w:rPr>
        <w:t xml:space="preserve"> </w:t>
      </w:r>
      <w:bookmarkEnd w:id="783"/>
      <w:r>
        <w:rPr>
          <w:rFonts w:hint="eastAsia" w:ascii="宋体" w:hAnsi="宋体" w:cs="宋体"/>
          <w:color w:val="000000" w:themeColor="text1"/>
          <w:szCs w:val="21"/>
          <w:highlight w:val="none"/>
          <w14:textFill>
            <w14:solidFill>
              <w14:schemeClr w14:val="tx1"/>
            </w14:solidFill>
          </w14:textFill>
        </w:rPr>
        <w:t>本款补充2.8.1</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2.8.4项：</w:t>
      </w:r>
    </w:p>
    <w:p w14:paraId="5E358858">
      <w:pPr>
        <w:snapToGrid w:val="0"/>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w:t>
      </w:r>
      <w:r>
        <w:rPr>
          <w:rFonts w:hint="eastAsia" w:ascii="宋体" w:hAnsi="宋体" w:cs="宋体"/>
          <w:color w:val="000000" w:themeColor="text1"/>
          <w:kern w:val="0"/>
          <w:szCs w:val="21"/>
          <w:highlight w:val="none"/>
          <w14:textFill>
            <w14:solidFill>
              <w14:schemeClr w14:val="tx1"/>
            </w14:solidFill>
          </w14:textFill>
        </w:rPr>
        <w:t>发包人代表</w:t>
      </w:r>
    </w:p>
    <w:p w14:paraId="6C8A597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发包人代表：</w:t>
      </w:r>
    </w:p>
    <w:p w14:paraId="25FC55EE">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6772E3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C5EA4BD">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    务：</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B1B6C1E">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C7EB38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联系地址：</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A69414B">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    编：</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C3688D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发包人对发包人代表的授权范围如下：</w:t>
      </w:r>
      <w:r>
        <w:rPr>
          <w:rFonts w:hint="eastAsia" w:ascii="宋体" w:hAnsi="宋体" w:cs="宋体"/>
          <w:color w:val="000000" w:themeColor="text1"/>
          <w:kern w:val="0"/>
          <w:szCs w:val="21"/>
          <w:highlight w:val="none"/>
          <w:u w:val="single"/>
          <w14:textFill>
            <w14:solidFill>
              <w14:schemeClr w14:val="tx1"/>
            </w14:solidFill>
          </w14:textFill>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color w:val="000000" w:themeColor="text1"/>
          <w:kern w:val="0"/>
          <w:szCs w:val="21"/>
          <w:highlight w:val="none"/>
          <w14:textFill>
            <w14:solidFill>
              <w14:schemeClr w14:val="tx1"/>
            </w14:solidFill>
          </w14:textFill>
        </w:rPr>
        <w:t>。</w:t>
      </w:r>
    </w:p>
    <w:p w14:paraId="22AC870D">
      <w:pPr>
        <w:keepNext/>
        <w:keepLines/>
        <w:spacing w:line="360" w:lineRule="auto"/>
        <w:ind w:firstLine="420" w:firstLineChars="200"/>
        <w:outlineLvl w:val="4"/>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2.8.2 资金来源证明及支付担保</w:t>
      </w:r>
    </w:p>
    <w:p w14:paraId="63735F9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发包人提供资金来源证明的期限要求：</w:t>
      </w:r>
      <w:r>
        <w:rPr>
          <w:rFonts w:hint="eastAsia" w:ascii="宋体" w:hAnsi="宋体" w:cs="宋体"/>
          <w:color w:val="000000" w:themeColor="text1"/>
          <w:kern w:val="0"/>
          <w:szCs w:val="21"/>
          <w:highlight w:val="none"/>
          <w:u w:val="single"/>
          <w14:textFill>
            <w14:solidFill>
              <w14:schemeClr w14:val="tx1"/>
            </w14:solidFill>
          </w14:textFill>
        </w:rPr>
        <w:t>不采用</w:t>
      </w:r>
      <w:r>
        <w:rPr>
          <w:rFonts w:hint="eastAsia" w:ascii="宋体" w:hAnsi="宋体" w:cs="宋体"/>
          <w:color w:val="000000" w:themeColor="text1"/>
          <w:kern w:val="0"/>
          <w:szCs w:val="21"/>
          <w:highlight w:val="none"/>
          <w14:textFill>
            <w14:solidFill>
              <w14:schemeClr w14:val="tx1"/>
            </w14:solidFill>
          </w14:textFill>
        </w:rPr>
        <w:t>。</w:t>
      </w:r>
    </w:p>
    <w:p w14:paraId="3B6AD70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发包人是否提供支付担保：</w:t>
      </w:r>
      <w:r>
        <w:rPr>
          <w:rFonts w:hint="eastAsia" w:ascii="宋体" w:hAnsi="宋体" w:cs="宋体"/>
          <w:color w:val="000000" w:themeColor="text1"/>
          <w:kern w:val="0"/>
          <w:szCs w:val="21"/>
          <w:highlight w:val="none"/>
          <w:u w:val="single"/>
          <w14:textFill>
            <w14:solidFill>
              <w14:schemeClr w14:val="tx1"/>
            </w14:solidFill>
          </w14:textFill>
        </w:rPr>
        <w:t>不提供</w:t>
      </w:r>
      <w:r>
        <w:rPr>
          <w:rFonts w:hint="eastAsia" w:ascii="宋体" w:hAnsi="宋体" w:cs="宋体"/>
          <w:color w:val="000000" w:themeColor="text1"/>
          <w:kern w:val="0"/>
          <w:szCs w:val="21"/>
          <w:highlight w:val="none"/>
          <w14:textFill>
            <w14:solidFill>
              <w14:schemeClr w14:val="tx1"/>
            </w14:solidFill>
          </w14:textFill>
        </w:rPr>
        <w:t>。</w:t>
      </w:r>
    </w:p>
    <w:p w14:paraId="20CEFFA5">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发包人提供支付担保的形式：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6137F3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支付担保的金额：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3508E80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支付担保的时间：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546D2E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支付担保的期限：</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0A4979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支付担保的退还时间：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50E226C">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2.8.3组织竣工验收</w:t>
      </w:r>
    </w:p>
    <w:p w14:paraId="5342E4D1">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发包人应按合同约定及时组织法人验收，配合政府验收。</w:t>
      </w:r>
    </w:p>
    <w:p w14:paraId="7274D055">
      <w:pPr>
        <w:snapToGrid w:val="0"/>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2.8.4其他义务</w:t>
      </w:r>
    </w:p>
    <w:p w14:paraId="3B54B89F">
      <w:pPr>
        <w:pStyle w:val="2"/>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（1）与承包人签订《重庆市水利工程建设安全生产合同》、《重庆市水利工程建设廉政合同》、《按期支付农民工工资合同》。</w:t>
      </w:r>
    </w:p>
    <w:p w14:paraId="5CE505B7">
      <w:pPr>
        <w:pStyle w:val="2"/>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（2）施工场地征用、搬迁和移民安置由发包人负责。</w:t>
      </w:r>
    </w:p>
    <w:p w14:paraId="78CFAFF7">
      <w:pPr>
        <w:pStyle w:val="2"/>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由于发包人未能按照本项规定办妥永久征地征用手续，影响承包人及时使用施工场地造成的费用增加和（或）工期延误应由发包人承担。由于承包人未能按照本项规定提交施工场地计划，影响发包人办理施工场地征用手续造成的费用增加和（或）工期延误由承包人承担。</w:t>
      </w:r>
    </w:p>
    <w:p w14:paraId="4F9EFB2C">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784" w:name="_Toc222033880"/>
      <w:bookmarkStart w:id="785" w:name="_Toc222031031"/>
      <w:bookmarkStart w:id="786" w:name="_Toc8953"/>
      <w:bookmarkStart w:id="787" w:name="_Toc222029529"/>
      <w:bookmarkStart w:id="788" w:name="_Toc14140"/>
      <w:bookmarkStart w:id="789" w:name="_Toc221951140"/>
      <w:bookmarkStart w:id="790" w:name="_Toc59810406"/>
      <w:bookmarkStart w:id="791" w:name="_Toc229305389"/>
      <w:bookmarkStart w:id="792" w:name="_Toc33183714"/>
      <w:bookmarkStart w:id="793" w:name="_Toc222032698"/>
      <w:r>
        <w:rPr>
          <w:rFonts w:hint="eastAsia" w:ascii="宋体" w:hAnsi="宋体" w:cs="宋体"/>
          <w:color w:val="000000" w:themeColor="text1"/>
          <w:sz w:val="21"/>
          <w:szCs w:val="21"/>
          <w:highlight w:val="none"/>
          <w14:textFill>
            <w14:solidFill>
              <w14:schemeClr w14:val="tx1"/>
            </w14:solidFill>
          </w14:textFill>
        </w:rPr>
        <w:t>3.监理人</w:t>
      </w:r>
      <w:bookmarkEnd w:id="784"/>
      <w:bookmarkEnd w:id="785"/>
      <w:bookmarkEnd w:id="786"/>
      <w:bookmarkEnd w:id="787"/>
      <w:bookmarkEnd w:id="788"/>
      <w:bookmarkEnd w:id="789"/>
      <w:bookmarkEnd w:id="790"/>
      <w:bookmarkEnd w:id="791"/>
      <w:bookmarkEnd w:id="792"/>
      <w:bookmarkEnd w:id="793"/>
    </w:p>
    <w:p w14:paraId="085C8DDC">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94" w:name="_Toc33183715"/>
      <w:bookmarkStart w:id="795" w:name="_Toc221951141"/>
      <w:r>
        <w:rPr>
          <w:rFonts w:hint="eastAsia" w:ascii="宋体" w:hAnsi="宋体" w:cs="宋体"/>
          <w:color w:val="000000" w:themeColor="text1"/>
          <w:szCs w:val="21"/>
          <w:highlight w:val="none"/>
          <w14:textFill>
            <w14:solidFill>
              <w14:schemeClr w14:val="tx1"/>
            </w14:solidFill>
          </w14:textFill>
        </w:rPr>
        <w:t>3.1  监理人的职责和权力</w:t>
      </w:r>
      <w:bookmarkEnd w:id="794"/>
      <w:bookmarkEnd w:id="795"/>
    </w:p>
    <w:p w14:paraId="26E819BD">
      <w:pPr>
        <w:pStyle w:val="2"/>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bookmarkStart w:id="796" w:name="_Toc221951142"/>
      <w:r>
        <w:rPr>
          <w:rFonts w:hint="eastAsia" w:ascii="宋体" w:hAnsi="宋体" w:cs="宋体"/>
          <w:color w:val="000000" w:themeColor="text1"/>
          <w:kern w:val="0"/>
          <w:szCs w:val="21"/>
          <w:highlight w:val="none"/>
          <w14:textFill>
            <w14:solidFill>
              <w14:schemeClr w14:val="tx1"/>
            </w14:solidFill>
          </w14:textFill>
        </w:rPr>
        <w:t>3.1.1</w:t>
      </w:r>
      <w:bookmarkEnd w:id="796"/>
      <w:r>
        <w:rPr>
          <w:rFonts w:hint="eastAsia" w:ascii="宋体" w:hAnsi="宋体" w:cs="宋体"/>
          <w:color w:val="000000" w:themeColor="text1"/>
          <w:kern w:val="0"/>
          <w:szCs w:val="21"/>
          <w:highlight w:val="none"/>
          <w14:textFill>
            <w14:solidFill>
              <w14:schemeClr w14:val="tx1"/>
            </w14:solidFill>
          </w14:textFill>
        </w:rPr>
        <w:t>　</w:t>
      </w:r>
      <w:bookmarkStart w:id="797" w:name="_Toc221951143"/>
      <w:r>
        <w:rPr>
          <w:rFonts w:hint="eastAsia" w:ascii="宋体" w:hAnsi="宋体" w:cs="宋体"/>
          <w:color w:val="000000" w:themeColor="text1"/>
          <w:kern w:val="0"/>
          <w:szCs w:val="21"/>
          <w:highlight w:val="none"/>
          <w14:textFill>
            <w14:solidFill>
              <w14:schemeClr w14:val="tx1"/>
            </w14:solidFill>
          </w14:textFill>
        </w:rPr>
        <w:t>监理人须根据发包人事先批准的权力范围行使权力，发包人批准的权力范围：</w:t>
      </w:r>
      <w:bookmarkEnd w:id="797"/>
      <w:bookmarkStart w:id="798" w:name="_Toc221951144"/>
      <w:r>
        <w:rPr>
          <w:rFonts w:hint="eastAsia" w:ascii="宋体" w:hAnsi="宋体" w:cs="宋体"/>
          <w:color w:val="000000" w:themeColor="text1"/>
          <w:kern w:val="0"/>
          <w:szCs w:val="21"/>
          <w:highlight w:val="none"/>
          <w:u w:val="single"/>
          <w14:textFill>
            <w14:solidFill>
              <w14:schemeClr w14:val="tx1"/>
            </w14:solidFill>
          </w14:textFill>
        </w:rPr>
        <w:t>见发包人与监理人就本工程签订的监理合同；任何涉及费用确定和（或）工期调整，或者设计变更，或者变更估价，或者涉及经济责任的事项，监理工程师在发出指令或通知前，须征得发包人同意。</w:t>
      </w:r>
    </w:p>
    <w:p w14:paraId="17A794F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关于监理人的监理内容：</w:t>
      </w:r>
      <w:r>
        <w:rPr>
          <w:rFonts w:hint="eastAsia" w:ascii="宋体" w:hAnsi="宋体" w:cs="宋体"/>
          <w:color w:val="000000" w:themeColor="text1"/>
          <w:kern w:val="0"/>
          <w:szCs w:val="21"/>
          <w:highlight w:val="none"/>
          <w:u w:val="single"/>
          <w14:textFill>
            <w14:solidFill>
              <w14:schemeClr w14:val="tx1"/>
            </w14:solidFill>
          </w14:textFill>
        </w:rPr>
        <w:t>见发包人与监理人就本工程签订的监理合同</w:t>
      </w:r>
      <w:r>
        <w:rPr>
          <w:rFonts w:hint="eastAsia" w:ascii="宋体" w:hAnsi="宋体" w:cs="宋体"/>
          <w:color w:val="000000" w:themeColor="text1"/>
          <w:kern w:val="0"/>
          <w:szCs w:val="21"/>
          <w:highlight w:val="none"/>
          <w14:textFill>
            <w14:solidFill>
              <w14:schemeClr w14:val="tx1"/>
            </w14:solidFill>
          </w14:textFill>
        </w:rPr>
        <w:t>。</w:t>
      </w:r>
    </w:p>
    <w:p w14:paraId="7DFD1730">
      <w:pPr>
        <w:pStyle w:val="2"/>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kern w:val="0"/>
          <w:szCs w:val="21"/>
          <w:highlight w:val="none"/>
          <w:u w:val="single"/>
          <w14:textFill>
            <w14:solidFill>
              <w14:schemeClr w14:val="tx1"/>
            </w14:solidFill>
          </w14:textFill>
        </w:rPr>
        <w:t xml:space="preserve">                          </w:t>
      </w:r>
      <w:r>
        <w:rPr>
          <w:rFonts w:hint="eastAsia" w:ascii="宋体" w:hAnsi="宋体" w:cs="宋体"/>
          <w:color w:val="000000" w:themeColor="text1"/>
          <w:kern w:val="0"/>
          <w:szCs w:val="21"/>
          <w:highlight w:val="none"/>
          <w14:textFill>
            <w14:solidFill>
              <w14:schemeClr w14:val="tx1"/>
            </w14:solidFill>
          </w14:textFill>
        </w:rPr>
        <w:t>。</w:t>
      </w:r>
    </w:p>
    <w:bookmarkEnd w:id="798"/>
    <w:p w14:paraId="29DFCEB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799" w:name="_Toc33183716"/>
      <w:r>
        <w:rPr>
          <w:rFonts w:hint="eastAsia" w:ascii="宋体" w:hAnsi="宋体" w:cs="宋体"/>
          <w:color w:val="000000" w:themeColor="text1"/>
          <w:kern w:val="0"/>
          <w:szCs w:val="21"/>
          <w:highlight w:val="none"/>
          <w14:textFill>
            <w14:solidFill>
              <w14:schemeClr w14:val="tx1"/>
            </w14:solidFill>
          </w14:textFill>
        </w:rPr>
        <w:t>3.2总</w:t>
      </w:r>
      <w:r>
        <w:rPr>
          <w:rFonts w:hint="eastAsia" w:ascii="宋体" w:hAnsi="宋体" w:cs="宋体"/>
          <w:color w:val="000000" w:themeColor="text1"/>
          <w:szCs w:val="21"/>
          <w:highlight w:val="none"/>
          <w14:textFill>
            <w14:solidFill>
              <w14:schemeClr w14:val="tx1"/>
            </w14:solidFill>
          </w14:textFill>
        </w:rPr>
        <w:t>监理工程师</w:t>
      </w:r>
      <w:bookmarkEnd w:id="799"/>
    </w:p>
    <w:p w14:paraId="17E05E4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总监理工程师：</w:t>
      </w:r>
    </w:p>
    <w:p w14:paraId="399DDD1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0D8874B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43DCEED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监理工程师执业资格证书号：</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3736CB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kern w:val="0"/>
          <w:szCs w:val="21"/>
          <w:highlight w:val="none"/>
          <w14:textFill>
            <w14:solidFill>
              <w14:schemeClr w14:val="tx1"/>
            </w14:solidFill>
          </w14:textFill>
        </w:rPr>
        <w:t>；</w:t>
      </w:r>
    </w:p>
    <w:p w14:paraId="5443AFB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关于监理人的其他约定：</w:t>
      </w:r>
      <w:r>
        <w:rPr>
          <w:rFonts w:hint="eastAsia" w:ascii="宋体" w:hAnsi="宋体" w:cs="宋体"/>
          <w:color w:val="000000" w:themeColor="text1"/>
          <w:kern w:val="0"/>
          <w:szCs w:val="21"/>
          <w:highlight w:val="none"/>
          <w:u w:val="single"/>
          <w14:textFill>
            <w14:solidFill>
              <w14:schemeClr w14:val="tx1"/>
            </w14:solidFill>
          </w14:textFill>
        </w:rPr>
        <w:t>见发包人与监理人就本工程签订的监理合同</w:t>
      </w:r>
      <w:r>
        <w:rPr>
          <w:rFonts w:hint="eastAsia" w:ascii="宋体" w:hAnsi="宋体" w:cs="宋体"/>
          <w:color w:val="000000" w:themeColor="text1"/>
          <w:kern w:val="0"/>
          <w:szCs w:val="21"/>
          <w:highlight w:val="none"/>
          <w14:textFill>
            <w14:solidFill>
              <w14:schemeClr w14:val="tx1"/>
            </w14:solidFill>
          </w14:textFill>
        </w:rPr>
        <w:t>。</w:t>
      </w:r>
    </w:p>
    <w:p w14:paraId="43362F9A">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 商定或确定</w:t>
      </w:r>
    </w:p>
    <w:p w14:paraId="5E17DDF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在发包人和承包人不能通过协商达成一致意见时，发包人授权监理人对以下事项进行确定：</w:t>
      </w:r>
    </w:p>
    <w:p w14:paraId="38C26748">
      <w:pPr>
        <w:pStyle w:val="2"/>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 xml:space="preserve">                          </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 xml:space="preserve">                          </w:t>
      </w:r>
      <w:r>
        <w:rPr>
          <w:rFonts w:hint="eastAsia" w:ascii="宋体" w:hAnsi="宋体" w:cs="宋体"/>
          <w:color w:val="000000" w:themeColor="text1"/>
          <w:kern w:val="0"/>
          <w:szCs w:val="21"/>
          <w:highlight w:val="none"/>
          <w14:textFill>
            <w14:solidFill>
              <w14:schemeClr w14:val="tx1"/>
            </w14:solidFill>
          </w14:textFill>
        </w:rPr>
        <w:t>。</w:t>
      </w:r>
    </w:p>
    <w:p w14:paraId="794A0DCD">
      <w:pPr>
        <w:pStyle w:val="2"/>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7657F9A5">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00" w:name="_Toc221951150"/>
      <w:bookmarkStart w:id="801" w:name="_Toc29115"/>
      <w:bookmarkStart w:id="802" w:name="_Toc222031032"/>
      <w:bookmarkStart w:id="803" w:name="_Toc222033881"/>
      <w:bookmarkStart w:id="804" w:name="_Toc229305390"/>
      <w:bookmarkStart w:id="805" w:name="_Toc30620"/>
      <w:bookmarkStart w:id="806" w:name="_Toc222032699"/>
      <w:bookmarkStart w:id="807" w:name="_Toc222029530"/>
      <w:bookmarkStart w:id="808" w:name="_Toc33183717"/>
      <w:bookmarkStart w:id="809" w:name="_Toc59810407"/>
      <w:r>
        <w:rPr>
          <w:rFonts w:hint="eastAsia" w:ascii="宋体" w:hAnsi="宋体" w:cs="宋体"/>
          <w:color w:val="000000" w:themeColor="text1"/>
          <w:sz w:val="21"/>
          <w:szCs w:val="21"/>
          <w:highlight w:val="none"/>
          <w14:textFill>
            <w14:solidFill>
              <w14:schemeClr w14:val="tx1"/>
            </w14:solidFill>
          </w14:textFill>
        </w:rPr>
        <w:t>4.承包人</w:t>
      </w:r>
      <w:bookmarkEnd w:id="800"/>
      <w:bookmarkEnd w:id="801"/>
      <w:bookmarkEnd w:id="802"/>
      <w:bookmarkEnd w:id="803"/>
      <w:bookmarkEnd w:id="804"/>
      <w:bookmarkEnd w:id="805"/>
      <w:bookmarkEnd w:id="806"/>
      <w:bookmarkEnd w:id="807"/>
      <w:bookmarkEnd w:id="808"/>
      <w:bookmarkEnd w:id="809"/>
    </w:p>
    <w:p w14:paraId="0D1B7998">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10" w:name="_Toc221951151"/>
      <w:bookmarkStart w:id="811" w:name="_Toc33183718"/>
      <w:r>
        <w:rPr>
          <w:rFonts w:hint="eastAsia" w:ascii="宋体" w:hAnsi="宋体" w:cs="宋体"/>
          <w:color w:val="000000" w:themeColor="text1"/>
          <w:szCs w:val="21"/>
          <w:highlight w:val="none"/>
          <w14:textFill>
            <w14:solidFill>
              <w14:schemeClr w14:val="tx1"/>
            </w14:solidFill>
          </w14:textFill>
        </w:rPr>
        <w:t>4.1  承包人的一般义务</w:t>
      </w:r>
      <w:bookmarkEnd w:id="810"/>
      <w:bookmarkEnd w:id="811"/>
    </w:p>
    <w:p w14:paraId="2390D175">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812" w:name="_Toc221951152"/>
      <w:r>
        <w:rPr>
          <w:rFonts w:hint="eastAsia" w:ascii="宋体" w:hAnsi="宋体" w:cs="宋体"/>
          <w:color w:val="000000" w:themeColor="text1"/>
          <w:kern w:val="0"/>
          <w:szCs w:val="21"/>
          <w:highlight w:val="none"/>
          <w14:textFill>
            <w14:solidFill>
              <w14:schemeClr w14:val="tx1"/>
            </w14:solidFill>
          </w14:textFill>
        </w:rPr>
        <w:t>4.1.3完成各项承包工作</w:t>
      </w:r>
    </w:p>
    <w:p w14:paraId="60E7EF4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(1)办理法律规定和合同约定应由承包人办理的许可和批准，并将办理结果书面报送发包人留存；协助发包人办理施工所需的相关证件及手续。  </w:t>
      </w:r>
    </w:p>
    <w:p w14:paraId="04EA285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6C5DBF3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(3)按法律规定和合同约定采取施工安全和环境保护措施，办理工伤保险，确保工程及人员、材料、设备和设施的安全。</w:t>
      </w:r>
    </w:p>
    <w:p w14:paraId="7D916D9D">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 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143BAD1D">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按照约定采取施工安全措施，确保工程及其人员、材料、设备和设施的安全，防止因工程施工造成的人身伤害和财产损失。</w:t>
      </w:r>
    </w:p>
    <w:p w14:paraId="64AB8650">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将发包人按合同约定支付的各项价款专用于合同工程，且应及时支付其雇用人员工资，并及时向分包人支付合同价款。</w:t>
      </w:r>
    </w:p>
    <w:p w14:paraId="11687F8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承包人提交的竣工资料的内容：</w:t>
      </w:r>
      <w:r>
        <w:rPr>
          <w:rFonts w:hint="eastAsia" w:ascii="宋体" w:hAnsi="宋体" w:cs="宋体"/>
          <w:color w:val="000000" w:themeColor="text1"/>
          <w:kern w:val="0"/>
          <w:szCs w:val="21"/>
          <w:highlight w:val="none"/>
          <w:u w:val="single"/>
          <w14:textFill>
            <w14:solidFill>
              <w14:schemeClr w14:val="tx1"/>
            </w14:solidFill>
          </w14:textFill>
        </w:rPr>
        <w:t>按《重庆市水利工程建设项目竣工档案编制办法》（渝水【2011】39号）规定执行</w:t>
      </w:r>
      <w:r>
        <w:rPr>
          <w:rFonts w:hint="eastAsia" w:ascii="宋体" w:hAnsi="宋体" w:cs="宋体"/>
          <w:color w:val="000000" w:themeColor="text1"/>
          <w:kern w:val="0"/>
          <w:szCs w:val="21"/>
          <w:highlight w:val="none"/>
          <w14:textFill>
            <w14:solidFill>
              <w14:schemeClr w14:val="tx1"/>
            </w14:solidFill>
          </w14:textFill>
        </w:rPr>
        <w:t>。</w:t>
      </w:r>
    </w:p>
    <w:p w14:paraId="7E3F2137">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承包人需要提交的竣工资料套数：</w:t>
      </w:r>
      <w:r>
        <w:rPr>
          <w:rFonts w:hint="eastAsia" w:ascii="宋体" w:hAnsi="宋体" w:cs="宋体"/>
          <w:color w:val="000000" w:themeColor="text1"/>
          <w:kern w:val="0"/>
          <w:szCs w:val="21"/>
          <w:highlight w:val="none"/>
          <w:u w:val="single"/>
          <w14:textFill>
            <w14:solidFill>
              <w14:schemeClr w14:val="tx1"/>
            </w14:solidFill>
          </w14:textFill>
        </w:rPr>
        <w:t>完整竣工资料一式     套（含电子文档）</w:t>
      </w:r>
      <w:r>
        <w:rPr>
          <w:rFonts w:hint="eastAsia" w:ascii="宋体" w:hAnsi="宋体" w:cs="宋体"/>
          <w:color w:val="000000" w:themeColor="text1"/>
          <w:kern w:val="0"/>
          <w:szCs w:val="21"/>
          <w:highlight w:val="none"/>
          <w14:textFill>
            <w14:solidFill>
              <w14:schemeClr w14:val="tx1"/>
            </w14:solidFill>
          </w14:textFill>
        </w:rPr>
        <w:t>。</w:t>
      </w:r>
    </w:p>
    <w:p w14:paraId="04BBBCB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承包人提交的竣工资料的费用承担：</w:t>
      </w:r>
      <w:r>
        <w:rPr>
          <w:rFonts w:hint="eastAsia" w:ascii="宋体" w:hAnsi="宋体" w:cs="宋体"/>
          <w:color w:val="000000" w:themeColor="text1"/>
          <w:kern w:val="0"/>
          <w:szCs w:val="21"/>
          <w:highlight w:val="none"/>
          <w:u w:val="single"/>
          <w14:textFill>
            <w14:solidFill>
              <w14:schemeClr w14:val="tx1"/>
            </w14:solidFill>
          </w14:textFill>
        </w:rPr>
        <w:t>由承包人承担</w:t>
      </w:r>
      <w:r>
        <w:rPr>
          <w:rFonts w:hint="eastAsia" w:ascii="宋体" w:hAnsi="宋体" w:cs="宋体"/>
          <w:color w:val="000000" w:themeColor="text1"/>
          <w:kern w:val="0"/>
          <w:szCs w:val="21"/>
          <w:highlight w:val="none"/>
          <w14:textFill>
            <w14:solidFill>
              <w14:schemeClr w14:val="tx1"/>
            </w14:solidFill>
          </w14:textFill>
        </w:rPr>
        <w:t>。</w:t>
      </w:r>
    </w:p>
    <w:p w14:paraId="04A156B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承包人提交的竣工资料移交时间：</w:t>
      </w:r>
      <w:r>
        <w:rPr>
          <w:rFonts w:hint="eastAsia" w:ascii="宋体" w:hAnsi="宋体" w:cs="宋体"/>
          <w:color w:val="000000" w:themeColor="text1"/>
          <w:kern w:val="0"/>
          <w:szCs w:val="21"/>
          <w:highlight w:val="none"/>
          <w:u w:val="single"/>
          <w14:textFill>
            <w14:solidFill>
              <w14:schemeClr w14:val="tx1"/>
            </w14:solidFill>
          </w14:textFill>
        </w:rPr>
        <w:t>工程完工验收合格后     个月内移交给发包人</w:t>
      </w:r>
      <w:r>
        <w:rPr>
          <w:rFonts w:hint="eastAsia" w:ascii="宋体" w:hAnsi="宋体" w:cs="宋体"/>
          <w:color w:val="000000" w:themeColor="text1"/>
          <w:kern w:val="0"/>
          <w:szCs w:val="21"/>
          <w:highlight w:val="none"/>
          <w14:textFill>
            <w14:solidFill>
              <w14:schemeClr w14:val="tx1"/>
            </w14:solidFill>
          </w14:textFill>
        </w:rPr>
        <w:t>。</w:t>
      </w:r>
    </w:p>
    <w:p w14:paraId="66F83E3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承包人提交的竣工资料形式要求：</w:t>
      </w:r>
      <w:r>
        <w:rPr>
          <w:rFonts w:hint="eastAsia" w:ascii="宋体" w:hAnsi="宋体" w:cs="宋体"/>
          <w:color w:val="000000" w:themeColor="text1"/>
          <w:kern w:val="0"/>
          <w:szCs w:val="21"/>
          <w:highlight w:val="none"/>
          <w:u w:val="single"/>
          <w14:textFill>
            <w14:solidFill>
              <w14:schemeClr w14:val="tx1"/>
            </w14:solidFill>
          </w14:textFill>
        </w:rPr>
        <w:t>完整的书面文件及电子文档</w:t>
      </w:r>
      <w:r>
        <w:rPr>
          <w:rFonts w:hint="eastAsia" w:ascii="宋体" w:hAnsi="宋体" w:cs="宋体"/>
          <w:color w:val="000000" w:themeColor="text1"/>
          <w:kern w:val="0"/>
          <w:szCs w:val="21"/>
          <w:highlight w:val="none"/>
          <w14:textFill>
            <w14:solidFill>
              <w14:schemeClr w14:val="tx1"/>
            </w14:solidFill>
          </w14:textFill>
        </w:rPr>
        <w:t>。</w:t>
      </w:r>
    </w:p>
    <w:p w14:paraId="0A5E582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4.1.4对施工作业和施工方法的完备性负责</w:t>
      </w:r>
    </w:p>
    <w:p w14:paraId="6EBD2F27">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本项补充4.1.4.1目如下：</w:t>
      </w:r>
    </w:p>
    <w:p w14:paraId="30D0C47F">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4.1.4.1施工组织设计的提交和修改</w:t>
      </w:r>
    </w:p>
    <w:p w14:paraId="2CBF54D1">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（1）承包人提交详细施工组织设计的期限的约定：</w:t>
      </w:r>
      <w:r>
        <w:rPr>
          <w:rFonts w:hint="eastAsia" w:ascii="宋体" w:hAnsi="宋体" w:cs="宋体"/>
          <w:color w:val="000000" w:themeColor="text1"/>
          <w:kern w:val="0"/>
          <w:szCs w:val="21"/>
          <w:highlight w:val="none"/>
          <w:u w:val="single"/>
          <w14:textFill>
            <w14:solidFill>
              <w14:schemeClr w14:val="tx1"/>
            </w14:solidFill>
          </w14:textFill>
        </w:rPr>
        <w:t>合同签订后14天内，但最迟不得晚于开工通知载明的开工日期前7天</w:t>
      </w:r>
      <w:r>
        <w:rPr>
          <w:rFonts w:hint="eastAsia" w:ascii="宋体" w:hAnsi="宋体" w:cs="宋体"/>
          <w:color w:val="000000" w:themeColor="text1"/>
          <w:kern w:val="0"/>
          <w:szCs w:val="21"/>
          <w:highlight w:val="none"/>
          <w14:textFill>
            <w14:solidFill>
              <w14:schemeClr w14:val="tx1"/>
            </w14:solidFill>
          </w14:textFill>
        </w:rPr>
        <w:t>。</w:t>
      </w:r>
    </w:p>
    <w:p w14:paraId="77483EEA">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（2）承包人编制施工组织设计的内容：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96960AE">
      <w:pPr>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（3）发包人和监理人在收到详细的施工组织设计后确认或提出修改意见的期限：</w:t>
      </w:r>
      <w:r>
        <w:rPr>
          <w:rFonts w:hint="eastAsia" w:ascii="宋体" w:hAnsi="宋体" w:cs="宋体"/>
          <w:color w:val="000000" w:themeColor="text1"/>
          <w:kern w:val="0"/>
          <w:szCs w:val="21"/>
          <w:highlight w:val="none"/>
          <w:u w:val="single"/>
          <w14:textFill>
            <w14:solidFill>
              <w14:schemeClr w14:val="tx1"/>
            </w14:solidFill>
          </w14:textFill>
        </w:rPr>
        <w:t>收到施工组织设计后     天内</w:t>
      </w:r>
      <w:r>
        <w:rPr>
          <w:rFonts w:hint="eastAsia" w:ascii="宋体" w:hAnsi="宋体" w:cs="宋体"/>
          <w:color w:val="000000" w:themeColor="text1"/>
          <w:kern w:val="0"/>
          <w:szCs w:val="21"/>
          <w:highlight w:val="none"/>
          <w14:textFill>
            <w14:solidFill>
              <w14:schemeClr w14:val="tx1"/>
            </w14:solidFill>
          </w14:textFill>
        </w:rPr>
        <w:t>。</w:t>
      </w:r>
    </w:p>
    <w:p w14:paraId="23FB7A1F">
      <w:pPr>
        <w:pStyle w:val="2"/>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本款补充细化4.1.9、4.1.10项如下：</w:t>
      </w:r>
    </w:p>
    <w:p w14:paraId="6579D32F">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4.1.9工程的维护和照管</w:t>
      </w:r>
    </w:p>
    <w:p w14:paraId="568DF73A">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完工验收证书颁发前，承包人应负责照管和维护工程及将用于或安装在本工程中的材料、设备。完工验收证书颁发时尚有部分未完工工程的，承包人还应负责该未完工工程、材料、设备的照管和维护工作，直至完工后移交给发包人为止。</w:t>
      </w:r>
    </w:p>
    <w:p w14:paraId="2228CA11">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23项（索赔）规定而实施作业过程中由承包人造成的对工程的任何损失或损害负责。</w:t>
      </w:r>
    </w:p>
    <w:p w14:paraId="164EADB9">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4.1.10其他义务</w:t>
      </w:r>
    </w:p>
    <w:p w14:paraId="474FCAD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（1）在开始施工之前，承包人应核查、复测本工程的各种基准标志。承包人应及时将上述基准标志中存在的错误、不完整或其他缺陷通知发包人，以便发包人核实后重新确认。</w:t>
      </w:r>
    </w:p>
    <w:p w14:paraId="12A9808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B78EA6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746B34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（4）承包人应服从发包人要求的管理模式、工作方式和工作要求，同时接受监理人、跟审单位（如有）的管理和全程监督，配合项目结、决算的办理。</w:t>
      </w:r>
    </w:p>
    <w:p w14:paraId="37B0436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重庆市水利建设市场主体信用信息平台。工资支付表应如实记录支付单位、支付时间、支付对象、支付数额、支付对象的身份证号和</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等信息。民工花名册和工资支付表应报监理人备查。</w:t>
      </w:r>
    </w:p>
    <w:p w14:paraId="7CADC69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（6）承包人应严格执行</w:t>
      </w:r>
      <w:r>
        <w:rPr>
          <w:rFonts w:hint="eastAsia" w:ascii="宋体" w:hAnsi="宋体" w:cs="宋体"/>
          <w:color w:val="000000" w:themeColor="text1"/>
          <w:kern w:val="0"/>
          <w:szCs w:val="21"/>
          <w:highlight w:val="none"/>
          <w:lang w:eastAsia="zh-CN"/>
          <w14:textFill>
            <w14:solidFill>
              <w14:schemeClr w14:val="tx1"/>
            </w14:solidFill>
          </w14:textFill>
        </w:rPr>
        <w:t>比选文件</w:t>
      </w:r>
      <w:r>
        <w:rPr>
          <w:rFonts w:hint="eastAsia" w:ascii="宋体" w:hAnsi="宋体" w:cs="宋体"/>
          <w:color w:val="000000" w:themeColor="text1"/>
          <w:kern w:val="0"/>
          <w:szCs w:val="21"/>
          <w:highlight w:val="none"/>
          <w14:textFill>
            <w14:solidFill>
              <w14:schemeClr w14:val="tx1"/>
            </w14:solidFill>
          </w14:textFill>
        </w:rPr>
        <w:t>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47D0ACF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61F2DB0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（8）承包人应履行的其他义务：</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3B05973E">
      <w:pPr>
        <w:snapToGrid w:val="0"/>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履约担保</w:t>
      </w:r>
      <w:bookmarkEnd w:id="812"/>
      <w:bookmarkStart w:id="813" w:name="_Toc33183719"/>
      <w:bookmarkStart w:id="814" w:name="_Toc221951153"/>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无</w:t>
      </w:r>
    </w:p>
    <w:p w14:paraId="6BCC9CFE">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分包</w:t>
      </w:r>
      <w:bookmarkEnd w:id="813"/>
      <w:bookmarkEnd w:id="814"/>
    </w:p>
    <w:p w14:paraId="57512B3A">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bookmarkStart w:id="815" w:name="_Toc221951154"/>
      <w:r>
        <w:rPr>
          <w:rFonts w:hint="eastAsia" w:ascii="宋体" w:hAnsi="宋体" w:cs="宋体"/>
          <w:bCs/>
          <w:color w:val="000000" w:themeColor="text1"/>
          <w:szCs w:val="21"/>
          <w:highlight w:val="none"/>
          <w14:textFill>
            <w14:solidFill>
              <w14:schemeClr w14:val="tx1"/>
            </w14:solidFill>
          </w14:textFill>
        </w:rPr>
        <w:t>本款补充细化4.3.1、4.3.2项如下：</w:t>
      </w:r>
    </w:p>
    <w:p w14:paraId="34BDC5B5">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4.3.1  分包的一般约定</w:t>
      </w:r>
    </w:p>
    <w:p w14:paraId="57616C0C">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分包分为：工程分包和劳务作业分包。分包人应自行完成所承包的任务。</w:t>
      </w:r>
    </w:p>
    <w:p w14:paraId="495640CD">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禁止分包的工程包括：《水利建设工程施工分包管理规定》、《水利工程施工转包违法分包等违法行为认定查处管理暂行办法》等国家法律、法规禁止分包的工程。</w:t>
      </w:r>
    </w:p>
    <w:p w14:paraId="2AA5A4BA">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主体结构、关键性工作的范围：国家法律、法规、规范、标准等所约束的范围。</w:t>
      </w:r>
    </w:p>
    <w:p w14:paraId="0B48D0DA">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6D061DAB">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4.3.2  允许承包人分包的工程项目、工作内容与</w:t>
      </w:r>
      <w:r>
        <w:rPr>
          <w:rFonts w:hint="eastAsia" w:ascii="宋体" w:hAnsi="宋体" w:cs="宋体"/>
          <w:color w:val="000000" w:themeColor="text1"/>
          <w:szCs w:val="21"/>
          <w:highlight w:val="none"/>
          <w:lang w:val="zh-CN"/>
          <w14:textFill>
            <w14:solidFill>
              <w14:schemeClr w14:val="tx1"/>
            </w14:solidFill>
          </w14:textFill>
        </w:rPr>
        <w:t>分包金额</w:t>
      </w:r>
      <w:r>
        <w:rPr>
          <w:rFonts w:hint="eastAsia" w:ascii="宋体" w:hAnsi="宋体" w:cs="宋体"/>
          <w:bCs/>
          <w:color w:val="000000" w:themeColor="text1"/>
          <w:szCs w:val="21"/>
          <w:highlight w:val="none"/>
          <w14:textFill>
            <w14:solidFill>
              <w14:schemeClr w14:val="tx1"/>
            </w14:solidFill>
          </w14:textFill>
        </w:rPr>
        <w:t>限额</w:t>
      </w:r>
      <w:bookmarkEnd w:id="815"/>
    </w:p>
    <w:p w14:paraId="0F2B5C46">
      <w:pPr>
        <w:pStyle w:val="26"/>
        <w:spacing w:line="360" w:lineRule="auto"/>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允许分包的专业工程包括：符合《中华人民共和国建筑法》、《中华人民共和国招标投标法》、《水利建设工程施工分包管理规定》和《水利工程施工转包违法分包等违法行为认定查处管理暂行办法》的相关规定。如承包人违法分包一经查实，承包人的履约担保不予退还，发包人有权终止合同，同时发包人有权向相关行政监管部门举报。</w:t>
      </w:r>
    </w:p>
    <w:p w14:paraId="1760C62A">
      <w:pPr>
        <w:pStyle w:val="26"/>
        <w:spacing w:line="360" w:lineRule="auto"/>
        <w:ind w:right="248" w:firstLine="630" w:firstLineChars="300"/>
        <w:rPr>
          <w:rFonts w:ascii="宋体" w:hAnsi="宋体" w:cs="宋体"/>
          <w:bCs/>
          <w:color w:val="000000" w:themeColor="text1"/>
          <w:sz w:val="21"/>
          <w:szCs w:val="21"/>
          <w:highlight w:val="none"/>
          <w14:textFill>
            <w14:solidFill>
              <w14:schemeClr w14:val="tx1"/>
            </w14:solidFill>
          </w14:textFill>
        </w:rPr>
      </w:pPr>
      <w:bookmarkStart w:id="816" w:name="_Toc221951155"/>
      <w:r>
        <w:rPr>
          <w:rFonts w:hint="eastAsia" w:ascii="宋体" w:hAnsi="宋体" w:cs="宋体"/>
          <w:bCs/>
          <w:color w:val="000000" w:themeColor="text1"/>
          <w:sz w:val="21"/>
          <w:szCs w:val="21"/>
          <w:highlight w:val="none"/>
          <w14:textFill>
            <w14:solidFill>
              <w14:schemeClr w14:val="tx1"/>
            </w14:solidFill>
          </w14:textFill>
        </w:rPr>
        <w:t>1）工程项目：</w:t>
      </w:r>
      <w:r>
        <w:rPr>
          <w:rFonts w:hint="eastAsia" w:ascii="宋体" w:hAnsi="宋体" w:cs="宋体"/>
          <w:bCs/>
          <w:color w:val="000000" w:themeColor="text1"/>
          <w:sz w:val="21"/>
          <w:szCs w:val="21"/>
          <w:highlight w:val="none"/>
          <w:u w:val="single"/>
          <w14:textFill>
            <w14:solidFill>
              <w14:schemeClr w14:val="tx1"/>
            </w14:solidFill>
          </w14:textFill>
        </w:rPr>
        <w:t xml:space="preserve">                                              </w:t>
      </w:r>
      <w:r>
        <w:rPr>
          <w:rFonts w:hint="eastAsia" w:ascii="宋体" w:hAnsi="宋体" w:cs="宋体"/>
          <w:bCs/>
          <w:color w:val="000000" w:themeColor="text1"/>
          <w:sz w:val="21"/>
          <w:szCs w:val="21"/>
          <w:highlight w:val="none"/>
          <w14:textFill>
            <w14:solidFill>
              <w14:schemeClr w14:val="tx1"/>
            </w14:solidFill>
          </w14:textFill>
        </w:rPr>
        <w:t>。</w:t>
      </w:r>
      <w:bookmarkEnd w:id="816"/>
    </w:p>
    <w:p w14:paraId="11B601DB">
      <w:pPr>
        <w:pStyle w:val="26"/>
        <w:spacing w:line="360" w:lineRule="auto"/>
        <w:ind w:left="105" w:leftChars="50" w:right="248" w:firstLine="552" w:firstLineChars="263"/>
        <w:rPr>
          <w:rFonts w:ascii="宋体" w:hAnsi="宋体" w:cs="宋体"/>
          <w:bCs/>
          <w:color w:val="000000" w:themeColor="text1"/>
          <w:sz w:val="21"/>
          <w:szCs w:val="21"/>
          <w:highlight w:val="none"/>
          <w14:textFill>
            <w14:solidFill>
              <w14:schemeClr w14:val="tx1"/>
            </w14:solidFill>
          </w14:textFill>
        </w:rPr>
      </w:pPr>
      <w:bookmarkStart w:id="817" w:name="_Toc221951156"/>
      <w:r>
        <w:rPr>
          <w:rFonts w:hint="eastAsia" w:ascii="宋体" w:hAnsi="宋体" w:cs="宋体"/>
          <w:bCs/>
          <w:color w:val="000000" w:themeColor="text1"/>
          <w:sz w:val="21"/>
          <w:szCs w:val="21"/>
          <w:highlight w:val="none"/>
          <w14:textFill>
            <w14:solidFill>
              <w14:schemeClr w14:val="tx1"/>
            </w14:solidFill>
          </w14:textFill>
        </w:rPr>
        <w:t>2）工作内容：</w:t>
      </w:r>
      <w:r>
        <w:rPr>
          <w:rFonts w:hint="eastAsia" w:ascii="宋体" w:hAnsi="宋体" w:cs="宋体"/>
          <w:bCs/>
          <w:color w:val="000000" w:themeColor="text1"/>
          <w:sz w:val="21"/>
          <w:szCs w:val="21"/>
          <w:highlight w:val="none"/>
          <w:u w:val="single"/>
          <w14:textFill>
            <w14:solidFill>
              <w14:schemeClr w14:val="tx1"/>
            </w14:solidFill>
          </w14:textFill>
        </w:rPr>
        <w:t xml:space="preserve">                                               </w:t>
      </w:r>
      <w:r>
        <w:rPr>
          <w:rFonts w:hint="eastAsia" w:ascii="宋体" w:hAnsi="宋体" w:cs="宋体"/>
          <w:bCs/>
          <w:color w:val="000000" w:themeColor="text1"/>
          <w:sz w:val="21"/>
          <w:szCs w:val="21"/>
          <w:highlight w:val="none"/>
          <w14:textFill>
            <w14:solidFill>
              <w14:schemeClr w14:val="tx1"/>
            </w14:solidFill>
          </w14:textFill>
        </w:rPr>
        <w:t>。</w:t>
      </w:r>
      <w:bookmarkEnd w:id="817"/>
    </w:p>
    <w:p w14:paraId="1A19A8D6">
      <w:pPr>
        <w:pStyle w:val="26"/>
        <w:spacing w:line="360" w:lineRule="auto"/>
        <w:ind w:left="105" w:leftChars="50" w:right="248" w:firstLine="552" w:firstLineChars="263"/>
        <w:rPr>
          <w:rFonts w:ascii="宋体" w:hAnsi="宋体" w:cs="宋体"/>
          <w:color w:val="000000" w:themeColor="text1"/>
          <w:sz w:val="21"/>
          <w:szCs w:val="21"/>
          <w:highlight w:val="none"/>
          <w14:textFill>
            <w14:solidFill>
              <w14:schemeClr w14:val="tx1"/>
            </w14:solidFill>
          </w14:textFill>
        </w:rPr>
      </w:pPr>
      <w:bookmarkStart w:id="818" w:name="_Toc221951157"/>
      <w:r>
        <w:rPr>
          <w:rFonts w:hint="eastAsia" w:ascii="宋体" w:hAnsi="宋体" w:cs="宋体"/>
          <w:color w:val="000000" w:themeColor="text1"/>
          <w:sz w:val="21"/>
          <w:szCs w:val="21"/>
          <w:highlight w:val="none"/>
          <w14:textFill>
            <w14:solidFill>
              <w14:schemeClr w14:val="tx1"/>
            </w14:solidFill>
          </w14:textFill>
        </w:rPr>
        <w:t>3）分包金额限额：</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bookmarkEnd w:id="818"/>
      <w:r>
        <w:rPr>
          <w:rFonts w:hint="eastAsia" w:ascii="宋体" w:hAnsi="宋体" w:cs="宋体"/>
          <w:color w:val="000000" w:themeColor="text1"/>
          <w:sz w:val="21"/>
          <w:szCs w:val="21"/>
          <w:highlight w:val="none"/>
          <w14:textFill>
            <w14:solidFill>
              <w14:schemeClr w14:val="tx1"/>
            </w14:solidFill>
          </w14:textFill>
        </w:rPr>
        <w:t xml:space="preserve"> </w:t>
      </w:r>
    </w:p>
    <w:p w14:paraId="58874883">
      <w:pPr>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关于分包合同价款支付的约定：</w:t>
      </w:r>
      <w:r>
        <w:rPr>
          <w:rFonts w:hint="eastAsia" w:ascii="宋体" w:hAnsi="宋体"/>
          <w:color w:val="000000" w:themeColor="text1"/>
          <w:szCs w:val="21"/>
          <w:highlight w:val="none"/>
          <w:u w:val="single"/>
          <w14:textFill>
            <w14:solidFill>
              <w14:schemeClr w14:val="tx1"/>
            </w14:solidFill>
          </w14:textFill>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000000" w:themeColor="text1"/>
          <w:szCs w:val="21"/>
          <w:highlight w:val="none"/>
          <w14:textFill>
            <w14:solidFill>
              <w14:schemeClr w14:val="tx1"/>
            </w14:solidFill>
          </w14:textFill>
        </w:rPr>
        <w:t>。</w:t>
      </w:r>
    </w:p>
    <w:p w14:paraId="24DCCD4A">
      <w:pPr>
        <w:pStyle w:val="26"/>
        <w:spacing w:line="360" w:lineRule="auto"/>
        <w:ind w:right="248"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其他关于分包的约定：</w:t>
      </w:r>
    </w:p>
    <w:p w14:paraId="1AE29CA3">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（1）因工程变更增加了有特殊性技术要求、特殊工艺或者涉及专利保护等的专项工程，且按规定无须再进行招标的，由承包人提出书面申请，经发包人书面同意，可以分包。</w:t>
      </w:r>
    </w:p>
    <w:p w14:paraId="0BA5819D">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（2）专业分包人的资格能力（含安全生产能力）应与其分包工程的标准和规模相适应，且应当具备如下条件：</w:t>
      </w:r>
    </w:p>
    <w:p w14:paraId="3816141B">
      <w:pPr>
        <w:pStyle w:val="26"/>
        <w:spacing w:line="360" w:lineRule="auto"/>
        <w:ind w:left="105" w:leftChars="50" w:right="248" w:firstLine="342" w:firstLineChars="163"/>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 具有经工商登记的法人资格；</w:t>
      </w:r>
    </w:p>
    <w:p w14:paraId="675825E7">
      <w:pPr>
        <w:pStyle w:val="26"/>
        <w:spacing w:line="360" w:lineRule="auto"/>
        <w:ind w:left="105" w:leftChars="50" w:right="248" w:firstLine="342" w:firstLineChars="163"/>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 具有从事类似工程经验的管理与技术人员；</w:t>
      </w:r>
    </w:p>
    <w:p w14:paraId="1CEC0370">
      <w:pPr>
        <w:pStyle w:val="26"/>
        <w:spacing w:line="360" w:lineRule="auto"/>
        <w:ind w:left="105" w:leftChars="50" w:right="248" w:firstLine="342" w:firstLineChars="163"/>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 具有（自有或租赁）分包工程所需的施工设备。</w:t>
      </w:r>
    </w:p>
    <w:p w14:paraId="3AFBFEBA">
      <w:pPr>
        <w:pStyle w:val="26"/>
        <w:spacing w:line="360" w:lineRule="auto"/>
        <w:ind w:right="248"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承包人应向监理人提交专业分包人的资格能力证明材料，经监理人审查并报发包人批准后，可以将相应专业工程分包给该专业分包人。</w:t>
      </w:r>
    </w:p>
    <w:p w14:paraId="2D48246C">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（3）专业分包工程不得再次分包。</w:t>
      </w:r>
    </w:p>
    <w:p w14:paraId="4C53AA77">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承包人和专业分包人应当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599E5584">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48E09598">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承包人应当建立健全相关分包管理制度和台账，对专业分包工程的质量、安全、进度和专业分包人的行为等实施全过程管理，按照合同约定对专业分包工程的实施向发包人负责，并承担连带责任。专业分包合同不免除承包合同中规定的承包人的责任或者义务。</w:t>
      </w:r>
    </w:p>
    <w:p w14:paraId="15516DC5">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3FFF8464">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F8F8DBF">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4FD9E3ED">
      <w:pPr>
        <w:pStyle w:val="26"/>
        <w:spacing w:line="360" w:lineRule="auto"/>
        <w:ind w:right="248"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（10）发包人对承包人与分包人之间的法律与经济纠纷不承担任何责任和义务。</w:t>
      </w:r>
    </w:p>
    <w:p w14:paraId="7DE4FD42">
      <w:pPr>
        <w:pStyle w:val="26"/>
        <w:spacing w:line="360" w:lineRule="auto"/>
        <w:ind w:left="6" w:leftChars="3" w:right="248" w:firstLine="336" w:firstLineChars="16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（11）项目的各项分包工作均应遵守《水利建设工程施工分包管理规定》和《水利工程施工转包违法分包等违法行为认定查处管理暂行办法》的有关规定。</w:t>
      </w:r>
    </w:p>
    <w:p w14:paraId="13BF24E4">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4.3.10 分包人项目管理机构的设立：</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14:paraId="7DE31528">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4.5  承包人项目经理</w:t>
      </w:r>
    </w:p>
    <w:p w14:paraId="3A8C90A4">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w:t>
      </w:r>
    </w:p>
    <w:p w14:paraId="3937ABC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1B8D841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36E1135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建造师执业资格等级：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260874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建造师注册证书号：</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212EB9C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建造师执业印章号：</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5ACBD3C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安全生产考核合格证书号：</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44A4E0BB">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346E780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承包人对项目经理的授权范围如下：</w:t>
      </w:r>
      <w:r>
        <w:rPr>
          <w:rFonts w:hint="eastAsia" w:ascii="宋体" w:hAnsi="宋体" w:cs="宋体"/>
          <w:color w:val="000000" w:themeColor="text1"/>
          <w:kern w:val="0"/>
          <w:szCs w:val="21"/>
          <w:highlight w:val="none"/>
          <w:u w:val="single"/>
          <w14:textFill>
            <w14:solidFill>
              <w14:schemeClr w14:val="tx1"/>
            </w14:solidFill>
          </w14:textFill>
        </w:rPr>
        <w:t>严格按设计图纸、现行国家施工规范及验收规范组织施工，保证工程质量、进度、安全；及时向监理人、发包人报告现场情况（以承包人书面授权范围为准）</w:t>
      </w:r>
      <w:r>
        <w:rPr>
          <w:rFonts w:hint="eastAsia" w:ascii="宋体" w:hAnsi="宋体" w:cs="宋体"/>
          <w:color w:val="000000" w:themeColor="text1"/>
          <w:kern w:val="0"/>
          <w:szCs w:val="21"/>
          <w:highlight w:val="none"/>
          <w14:textFill>
            <w14:solidFill>
              <w14:schemeClr w14:val="tx1"/>
            </w14:solidFill>
          </w14:textFill>
        </w:rPr>
        <w:t>。</w:t>
      </w:r>
    </w:p>
    <w:p w14:paraId="29A9374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kern w:val="0"/>
          <w:szCs w:val="21"/>
          <w:highlight w:val="none"/>
          <w:u w:val="single"/>
          <w14:textFill>
            <w14:solidFill>
              <w14:schemeClr w14:val="tx1"/>
            </w14:solidFill>
          </w14:textFill>
        </w:rPr>
        <w:t>不少于22天，由监理人负责项目经理的考勤</w:t>
      </w:r>
      <w:r>
        <w:rPr>
          <w:rFonts w:hint="eastAsia" w:ascii="宋体" w:hAnsi="宋体" w:cs="宋体"/>
          <w:color w:val="000000" w:themeColor="text1"/>
          <w:kern w:val="0"/>
          <w:szCs w:val="21"/>
          <w:highlight w:val="none"/>
          <w14:textFill>
            <w14:solidFill>
              <w14:schemeClr w14:val="tx1"/>
            </w14:solidFill>
          </w14:textFill>
        </w:rPr>
        <w:t>。</w:t>
      </w:r>
    </w:p>
    <w:p w14:paraId="123E6E3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承包人应在合同签订前提交与项目经理签订的劳动合同及为项目经理缴纳社会保险的证明，承包人未在限期内提交的，项目经理无权履行职责，发包人有权要求更换项目经理</w:t>
      </w:r>
      <w:r>
        <w:rPr>
          <w:rFonts w:hint="eastAsia" w:ascii="宋体" w:hAnsi="宋体" w:cs="宋体"/>
          <w:color w:val="000000" w:themeColor="text1"/>
          <w:kern w:val="0"/>
          <w:szCs w:val="21"/>
          <w:highlight w:val="none"/>
          <w14:textFill>
            <w14:solidFill>
              <w14:schemeClr w14:val="tx1"/>
            </w14:solidFill>
          </w14:textFill>
        </w:rPr>
        <w:t>。</w:t>
      </w:r>
    </w:p>
    <w:p w14:paraId="1A3ECA41">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4.6承包人人员的管理</w:t>
      </w:r>
    </w:p>
    <w:p w14:paraId="2114631B">
      <w:pPr>
        <w:snapToGrid w:val="0"/>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本款补充4.6.5项如下：</w:t>
      </w:r>
    </w:p>
    <w:p w14:paraId="245F7A7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4.6.5</w:t>
      </w:r>
      <w:r>
        <w:rPr>
          <w:rFonts w:hint="eastAsia" w:ascii="宋体" w:hAnsi="宋体" w:cs="宋体"/>
          <w:color w:val="000000" w:themeColor="text1"/>
          <w:kern w:val="0"/>
          <w:szCs w:val="21"/>
          <w:highlight w:val="none"/>
          <w14:textFill>
            <w14:solidFill>
              <w14:schemeClr w14:val="tx1"/>
            </w14:solidFill>
          </w14:textFill>
        </w:rPr>
        <w:t>技术负责人</w:t>
      </w:r>
    </w:p>
    <w:p w14:paraId="4B903EE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                     </w:t>
      </w:r>
      <w:r>
        <w:rPr>
          <w:rFonts w:hint="eastAsia" w:ascii="宋体" w:hAnsi="宋体" w:cs="宋体"/>
          <w:color w:val="000000" w:themeColor="text1"/>
          <w:szCs w:val="21"/>
          <w:highlight w:val="none"/>
          <w14:textFill>
            <w14:solidFill>
              <w14:schemeClr w14:val="tx1"/>
            </w14:solidFill>
          </w14:textFill>
        </w:rPr>
        <w:t>；</w:t>
      </w:r>
    </w:p>
    <w:p w14:paraId="4215CEA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B40BE7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职称等级：</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0C237CB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    业：</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56FF5D1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证书编号：</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00ED1EF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52C825B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关于技术负责人每月在施工现场的时间要求：</w:t>
      </w:r>
      <w:r>
        <w:rPr>
          <w:rFonts w:hint="eastAsia" w:ascii="宋体" w:hAnsi="宋体" w:cs="宋体"/>
          <w:color w:val="000000" w:themeColor="text1"/>
          <w:kern w:val="0"/>
          <w:szCs w:val="21"/>
          <w:highlight w:val="none"/>
          <w:u w:val="single"/>
          <w14:textFill>
            <w14:solidFill>
              <w14:schemeClr w14:val="tx1"/>
            </w14:solidFill>
          </w14:textFill>
        </w:rPr>
        <w:t>不少于22天，由监理人负责技术负责人的考勤</w:t>
      </w:r>
      <w:r>
        <w:rPr>
          <w:rFonts w:hint="eastAsia" w:ascii="宋体" w:hAnsi="宋体" w:cs="宋体"/>
          <w:color w:val="000000" w:themeColor="text1"/>
          <w:kern w:val="0"/>
          <w:szCs w:val="21"/>
          <w:highlight w:val="none"/>
          <w14:textFill>
            <w14:solidFill>
              <w14:schemeClr w14:val="tx1"/>
            </w14:solidFill>
          </w14:textFill>
        </w:rPr>
        <w:t>。</w:t>
      </w:r>
    </w:p>
    <w:p w14:paraId="4E1F1F6F">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宋体"/>
          <w:color w:val="000000" w:themeColor="text1"/>
          <w:kern w:val="0"/>
          <w:szCs w:val="21"/>
          <w:highlight w:val="none"/>
          <w14:textFill>
            <w14:solidFill>
              <w14:schemeClr w14:val="tx1"/>
            </w14:solidFill>
          </w14:textFill>
        </w:rPr>
        <w:t>。</w:t>
      </w:r>
    </w:p>
    <w:p w14:paraId="2E75E6A2">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4.6.6</w:t>
      </w:r>
      <w:r>
        <w:rPr>
          <w:rFonts w:hint="eastAsia" w:ascii="宋体" w:hAnsi="宋体" w:cs="宋体"/>
          <w:color w:val="000000" w:themeColor="text1"/>
          <w:kern w:val="0"/>
          <w:szCs w:val="21"/>
          <w:highlight w:val="none"/>
          <w14:textFill>
            <w14:solidFill>
              <w14:schemeClr w14:val="tx1"/>
            </w14:solidFill>
          </w14:textFill>
        </w:rPr>
        <w:t>承包人主要施工管理人员离开施工现场的批准要求：</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F379B90">
      <w:pPr>
        <w:snapToGrid w:val="0"/>
        <w:spacing w:line="360" w:lineRule="auto"/>
        <w:ind w:firstLine="48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4.7撤换承包人项目经理和其他人员</w:t>
      </w:r>
    </w:p>
    <w:p w14:paraId="5B28CF26">
      <w:pPr>
        <w:pStyle w:val="2"/>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本款补充4.7.1、4.7.2项如下：</w:t>
      </w:r>
    </w:p>
    <w:p w14:paraId="4938F40A">
      <w:pPr>
        <w:snapToGrid w:val="0"/>
        <w:spacing w:line="360" w:lineRule="auto"/>
        <w:ind w:firstLine="48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4.7.1撤换承包人项目经理</w:t>
      </w:r>
      <w:r>
        <w:rPr>
          <w:rFonts w:hint="eastAsia" w:ascii="宋体" w:hAnsi="宋体" w:cs="宋体"/>
          <w:color w:val="000000" w:themeColor="text1"/>
          <w:kern w:val="0"/>
          <w:szCs w:val="21"/>
          <w:highlight w:val="none"/>
          <w14:textFill>
            <w14:solidFill>
              <w14:schemeClr w14:val="tx1"/>
            </w14:solidFill>
          </w14:textFill>
        </w:rPr>
        <w:t>（或）技术负责人</w:t>
      </w:r>
    </w:p>
    <w:p w14:paraId="6A4D9650">
      <w:pPr>
        <w:snapToGrid w:val="0"/>
        <w:spacing w:line="360" w:lineRule="auto"/>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继任项目经理和（或）技术负责人继续履行合同约定的职责。</w:t>
      </w:r>
    </w:p>
    <w:p w14:paraId="4B2A90D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若项目经理和</w:t>
      </w:r>
      <w:r>
        <w:rPr>
          <w:rFonts w:hint="eastAsia" w:ascii="宋体" w:hAnsi="宋体" w:cs="宋体"/>
          <w:color w:val="000000" w:themeColor="text1"/>
          <w:kern w:val="0"/>
          <w:szCs w:val="21"/>
          <w:highlight w:val="none"/>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技术负责人出现下列情形需更换的，承包人应在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天前书面通知发包人和监理人，</w:t>
      </w:r>
      <w:r>
        <w:rPr>
          <w:rFonts w:hint="eastAsia" w:ascii="宋体" w:hAnsi="宋体"/>
          <w:color w:val="000000" w:themeColor="text1"/>
          <w:szCs w:val="21"/>
          <w:highlight w:val="none"/>
          <w14:textFill>
            <w14:solidFill>
              <w14:schemeClr w14:val="tx1"/>
            </w14:solidFill>
          </w14:textFill>
        </w:rPr>
        <w:t>经发包人领导班子集体决策同意后予以批准，并将变更信息推送给行业主管部门：</w:t>
      </w:r>
    </w:p>
    <w:p w14:paraId="750F675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（1）死亡；</w:t>
      </w:r>
    </w:p>
    <w:p w14:paraId="6BD6AA1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（2）非承包人原因导致工期延长，而致使项目经理和技术负责人达到法定退休年龄且确需退休；</w:t>
      </w:r>
    </w:p>
    <w:p w14:paraId="20128085">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（3）按《职工非因工伤残或因病丧失劳动能力程度鉴定标准（试行）》规定鉴定为完全丧失劳动能力和大部分丧失劳动能力；</w:t>
      </w:r>
    </w:p>
    <w:p w14:paraId="2466C78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（4）非承包人原因导致中标3个月不能开工；</w:t>
      </w:r>
    </w:p>
    <w:p w14:paraId="6B41C27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（5）被公安或者司法机关限制人身自由；</w:t>
      </w:r>
    </w:p>
    <w:p w14:paraId="1B4BF76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（6）被取消职称或者执业资格，不满足项目管理要求；</w:t>
      </w:r>
    </w:p>
    <w:p w14:paraId="75C76D9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u w:val="single"/>
          <w14:textFill>
            <w14:solidFill>
              <w14:schemeClr w14:val="tx1"/>
            </w14:solidFill>
          </w14:textFill>
        </w:rPr>
        <w:t>非承包人原因导致确需变更的其它情形</w:t>
      </w:r>
      <w:r>
        <w:rPr>
          <w:rFonts w:hint="eastAsia" w:ascii="宋体" w:hAnsi="宋体"/>
          <w:color w:val="000000" w:themeColor="text1"/>
          <w:szCs w:val="21"/>
          <w:highlight w:val="none"/>
          <w14:textFill>
            <w14:solidFill>
              <w14:schemeClr w14:val="tx1"/>
            </w14:solidFill>
          </w14:textFill>
        </w:rPr>
        <w:t>。</w:t>
      </w:r>
    </w:p>
    <w:p w14:paraId="049BD2A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4.7.2撤换承包人其他人员</w:t>
      </w:r>
    </w:p>
    <w:p w14:paraId="304E80B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承包人应按</w:t>
      </w:r>
      <w:r>
        <w:rPr>
          <w:rFonts w:hint="eastAsia" w:ascii="宋体" w:hAnsi="宋体"/>
          <w:color w:val="000000" w:themeColor="text1"/>
          <w:szCs w:val="21"/>
          <w:highlight w:val="none"/>
          <w:lang w:eastAsia="zh-CN"/>
          <w14:textFill>
            <w14:solidFill>
              <w14:schemeClr w14:val="tx1"/>
            </w14:solidFill>
          </w14:textFill>
        </w:rPr>
        <w:t>比选人比选文件</w:t>
      </w:r>
      <w:r>
        <w:rPr>
          <w:rFonts w:hint="eastAsia" w:ascii="宋体" w:hAnsi="宋体"/>
          <w:color w:val="000000" w:themeColor="text1"/>
          <w:szCs w:val="21"/>
          <w:highlight w:val="none"/>
          <w14:textFill>
            <w14:solidFill>
              <w14:schemeClr w14:val="tx1"/>
            </w14:solidFill>
          </w14:textFill>
        </w:rPr>
        <w:t>规定配备现场施工从业人员，具体人员配备如下：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。若国有资金投资项目其他主要人员变更的，参照《重庆市政府投资项目合同变更管理暂行办法》的规定。</w:t>
      </w:r>
    </w:p>
    <w:p w14:paraId="2DB05C9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C8581EE">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olor w:val="000000" w:themeColor="text1"/>
          <w:szCs w:val="21"/>
          <w:highlight w:val="none"/>
          <w14:textFill>
            <w14:solidFill>
              <w14:schemeClr w14:val="tx1"/>
            </w14:solidFill>
          </w14:textFill>
        </w:rPr>
        <w:t>审核批准</w:t>
      </w:r>
      <w:r>
        <w:rPr>
          <w:rFonts w:hint="eastAsia" w:ascii="宋体" w:hAnsi="宋体" w:cs="宋体"/>
          <w:color w:val="000000" w:themeColor="text1"/>
          <w:kern w:val="0"/>
          <w:szCs w:val="21"/>
          <w:highlight w:val="none"/>
          <w14:textFill>
            <w14:solidFill>
              <w14:schemeClr w14:val="tx1"/>
            </w14:solidFill>
          </w14:textFill>
        </w:rPr>
        <w:t>。</w:t>
      </w:r>
    </w:p>
    <w:p w14:paraId="3F92AB1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19" w:name="_Toc33183720"/>
      <w:bookmarkStart w:id="820" w:name="_Toc221951158"/>
      <w:r>
        <w:rPr>
          <w:rFonts w:hint="eastAsia" w:ascii="宋体" w:hAnsi="宋体" w:cs="宋体"/>
          <w:color w:val="000000" w:themeColor="text1"/>
          <w:szCs w:val="21"/>
          <w:highlight w:val="none"/>
          <w14:textFill>
            <w14:solidFill>
              <w14:schemeClr w14:val="tx1"/>
            </w14:solidFill>
          </w14:textFill>
        </w:rPr>
        <w:t>4.11  不利物质条件</w:t>
      </w:r>
      <w:bookmarkEnd w:id="819"/>
      <w:bookmarkEnd w:id="820"/>
    </w:p>
    <w:p w14:paraId="13FA45BC">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bookmarkStart w:id="821" w:name="_Toc221951159"/>
      <w:r>
        <w:rPr>
          <w:rFonts w:hint="eastAsia" w:ascii="宋体" w:hAnsi="宋体" w:cs="宋体"/>
          <w:color w:val="000000" w:themeColor="text1"/>
          <w:szCs w:val="21"/>
          <w:highlight w:val="none"/>
          <w14:textFill>
            <w14:solidFill>
              <w14:schemeClr w14:val="tx1"/>
            </w14:solidFill>
          </w14:textFill>
        </w:rPr>
        <w:t>4.11.1不利物质条件的范围：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821"/>
    </w:p>
    <w:p w14:paraId="1376F6B8">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22" w:name="_Toc7480"/>
      <w:bookmarkStart w:id="823" w:name="_Toc222031033"/>
      <w:bookmarkStart w:id="824" w:name="_Toc222033882"/>
      <w:bookmarkStart w:id="825" w:name="_Toc30241"/>
      <w:bookmarkStart w:id="826" w:name="_Toc59810408"/>
      <w:bookmarkStart w:id="827" w:name="_Toc229305391"/>
      <w:bookmarkStart w:id="828" w:name="_Toc33183721"/>
      <w:bookmarkStart w:id="829" w:name="_Toc222029531"/>
      <w:bookmarkStart w:id="830" w:name="_Toc222032700"/>
      <w:bookmarkStart w:id="831" w:name="_Toc221951160"/>
      <w:r>
        <w:rPr>
          <w:rFonts w:hint="eastAsia" w:ascii="宋体" w:hAnsi="宋体" w:cs="宋体"/>
          <w:color w:val="000000" w:themeColor="text1"/>
          <w:sz w:val="21"/>
          <w:szCs w:val="21"/>
          <w:highlight w:val="none"/>
          <w14:textFill>
            <w14:solidFill>
              <w14:schemeClr w14:val="tx1"/>
            </w14:solidFill>
          </w14:textFill>
        </w:rPr>
        <w:t>5.材料和工程设备</w:t>
      </w:r>
      <w:bookmarkEnd w:id="822"/>
      <w:bookmarkEnd w:id="823"/>
      <w:bookmarkEnd w:id="824"/>
      <w:bookmarkEnd w:id="825"/>
      <w:bookmarkEnd w:id="826"/>
      <w:bookmarkEnd w:id="827"/>
      <w:bookmarkEnd w:id="828"/>
      <w:bookmarkEnd w:id="829"/>
      <w:bookmarkEnd w:id="830"/>
      <w:bookmarkEnd w:id="831"/>
    </w:p>
    <w:p w14:paraId="09FDAAC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32" w:name="_Toc33183722"/>
      <w:bookmarkStart w:id="833" w:name="_Toc221951163"/>
      <w:r>
        <w:rPr>
          <w:rFonts w:hint="eastAsia" w:ascii="宋体" w:hAnsi="宋体" w:cs="宋体"/>
          <w:color w:val="000000" w:themeColor="text1"/>
          <w:szCs w:val="21"/>
          <w:highlight w:val="none"/>
          <w14:textFill>
            <w14:solidFill>
              <w14:schemeClr w14:val="tx1"/>
            </w14:solidFill>
          </w14:textFill>
        </w:rPr>
        <w:t>5.1承包人提供的材料和工程设备</w:t>
      </w:r>
      <w:bookmarkEnd w:id="832"/>
    </w:p>
    <w:p w14:paraId="4A3CC8D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本款补充细化如下：</w:t>
      </w:r>
    </w:p>
    <w:p w14:paraId="7774FDA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（1）承包人负责采购、运输和保管的材料、工程设备：</w:t>
      </w:r>
      <w:r>
        <w:rPr>
          <w:rFonts w:hint="eastAsia" w:ascii="宋体" w:hAnsi="宋体" w:cs="宋体"/>
          <w:color w:val="000000" w:themeColor="text1"/>
          <w:kern w:val="0"/>
          <w:szCs w:val="21"/>
          <w:highlight w:val="none"/>
          <w:u w:val="single"/>
          <w14:textFill>
            <w14:solidFill>
              <w14:schemeClr w14:val="tx1"/>
            </w14:solidFill>
          </w14:textFill>
        </w:rPr>
        <w:t>由承包人自行采购。承包人采购材料设备必须经监理人和发包人批准，结算时由监理人和发包人按</w:t>
      </w:r>
      <w:r>
        <w:rPr>
          <w:rFonts w:hint="eastAsia" w:ascii="宋体" w:hAnsi="宋体" w:cs="宋体"/>
          <w:color w:val="000000" w:themeColor="text1"/>
          <w:kern w:val="0"/>
          <w:szCs w:val="21"/>
          <w:highlight w:val="none"/>
          <w:u w:val="single"/>
          <w:lang w:eastAsia="zh-CN"/>
          <w14:textFill>
            <w14:solidFill>
              <w14:schemeClr w14:val="tx1"/>
            </w14:solidFill>
          </w14:textFill>
        </w:rPr>
        <w:t>比选文件</w:t>
      </w:r>
      <w:r>
        <w:rPr>
          <w:rFonts w:hint="eastAsia" w:ascii="宋体" w:hAnsi="宋体" w:cs="宋体"/>
          <w:color w:val="000000" w:themeColor="text1"/>
          <w:kern w:val="0"/>
          <w:szCs w:val="21"/>
          <w:highlight w:val="none"/>
          <w:u w:val="single"/>
          <w14:textFill>
            <w14:solidFill>
              <w14:schemeClr w14:val="tx1"/>
            </w14:solidFill>
          </w14:textFill>
        </w:rPr>
        <w:t>规定审核的数量和合同约定价格价格计算</w:t>
      </w:r>
      <w:r>
        <w:rPr>
          <w:rFonts w:hint="eastAsia" w:ascii="宋体" w:hAnsi="宋体" w:cs="宋体"/>
          <w:color w:val="000000" w:themeColor="text1"/>
          <w:kern w:val="0"/>
          <w:szCs w:val="21"/>
          <w:highlight w:val="none"/>
          <w14:textFill>
            <w14:solidFill>
              <w14:schemeClr w14:val="tx1"/>
            </w14:solidFill>
          </w14:textFill>
        </w:rPr>
        <w:t>。</w:t>
      </w:r>
    </w:p>
    <w:p w14:paraId="0B7799C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（2）承包人报送监理人审批的时间：</w:t>
      </w:r>
      <w:r>
        <w:rPr>
          <w:rFonts w:hint="eastAsia" w:ascii="宋体" w:hAnsi="宋体" w:cs="宋体"/>
          <w:color w:val="000000" w:themeColor="text1"/>
          <w:kern w:val="0"/>
          <w:szCs w:val="21"/>
          <w:highlight w:val="none"/>
          <w:u w:val="single"/>
          <w14:textFill>
            <w14:solidFill>
              <w14:schemeClr w14:val="tx1"/>
            </w14:solidFill>
          </w14:textFill>
        </w:rPr>
        <w:t>按发包人及监理单位的相关规定执行</w:t>
      </w:r>
      <w:r>
        <w:rPr>
          <w:rFonts w:hint="eastAsia" w:ascii="宋体" w:hAnsi="宋体" w:cs="宋体"/>
          <w:color w:val="000000" w:themeColor="text1"/>
          <w:kern w:val="0"/>
          <w:szCs w:val="21"/>
          <w:highlight w:val="none"/>
          <w14:textFill>
            <w14:solidFill>
              <w14:schemeClr w14:val="tx1"/>
            </w14:solidFill>
          </w14:textFill>
        </w:rPr>
        <w:t>。</w:t>
      </w:r>
    </w:p>
    <w:p w14:paraId="534021F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承包人选择的生产厂家或供应商满足下列条件：</w:t>
      </w:r>
    </w:p>
    <w:p w14:paraId="7812A02F">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A.承包人选择的混凝土供应商应满足下列条件：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6AFB5A9D">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B.承包人选择的钢材供应商应满足下列条件：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D742828">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C.承包人选择的水泥供应商应满足下列条件：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18B1757">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D.承包人采购的材料与设计或标准要求不符时，承包人应按发包人和监理人要求的时间运出施工场地，并重新采购符合要求的产品，并承担由此发生的费用，因此延误的工期不予顺延。</w:t>
      </w:r>
    </w:p>
    <w:p w14:paraId="53EB7E7B">
      <w:pPr>
        <w:spacing w:line="360" w:lineRule="auto"/>
        <w:ind w:firstLine="840" w:firstLineChars="4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E.承包人采购的材料在使用前，应按发包人和监理人的要求进行检验或试验，不合格的不得使用。</w:t>
      </w:r>
    </w:p>
    <w:p w14:paraId="77A25671">
      <w:pPr>
        <w:spacing w:line="360" w:lineRule="auto"/>
        <w:ind w:firstLine="840" w:firstLine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F.</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0FF8F2B">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34" w:name="_Toc33183723"/>
      <w:r>
        <w:rPr>
          <w:rFonts w:hint="eastAsia" w:ascii="宋体" w:hAnsi="宋体" w:cs="宋体"/>
          <w:color w:val="000000" w:themeColor="text1"/>
          <w:szCs w:val="21"/>
          <w:highlight w:val="none"/>
          <w14:textFill>
            <w14:solidFill>
              <w14:schemeClr w14:val="tx1"/>
            </w14:solidFill>
          </w14:textFill>
        </w:rPr>
        <w:t>5.2  发包人提供的材料和工程设备</w:t>
      </w:r>
      <w:bookmarkEnd w:id="833"/>
      <w:bookmarkEnd w:id="834"/>
    </w:p>
    <w:p w14:paraId="73500AF7">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5.2.1发包人提供的材料和工程设备见下表：</w:t>
      </w:r>
    </w:p>
    <w:p w14:paraId="3B39CB4A">
      <w:pPr>
        <w:spacing w:line="360" w:lineRule="auto"/>
        <w:ind w:right="2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发包人提供的主要材料表(</w:t>
      </w:r>
      <w:r>
        <w:rPr>
          <w:rFonts w:hint="eastAsia" w:ascii="宋体" w:hAnsi="宋体" w:cs="宋体"/>
          <w:color w:val="000000" w:themeColor="text1"/>
          <w:szCs w:val="21"/>
          <w:highlight w:val="none"/>
          <w14:textFill>
            <w14:solidFill>
              <w14:schemeClr w14:val="tx1"/>
            </w14:solidFill>
          </w14:textFill>
        </w:rPr>
        <w:t>参考格式</w:t>
      </w:r>
      <w:r>
        <w:rPr>
          <w:rFonts w:hint="eastAsia" w:ascii="宋体" w:hAnsi="宋体" w:cs="宋体"/>
          <w:b/>
          <w:color w:val="000000" w:themeColor="text1"/>
          <w:szCs w:val="21"/>
          <w:highlight w:val="none"/>
          <w14:textFill>
            <w14:solidFill>
              <w14:schemeClr w14:val="tx1"/>
            </w14:solidFill>
          </w14:textFill>
        </w:rPr>
        <w:t>)</w:t>
      </w:r>
    </w:p>
    <w:tbl>
      <w:tblPr>
        <w:tblStyle w:val="47"/>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701"/>
        <w:gridCol w:w="1134"/>
        <w:gridCol w:w="1134"/>
        <w:gridCol w:w="1559"/>
        <w:gridCol w:w="992"/>
      </w:tblGrid>
      <w:tr w14:paraId="21475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8240EC8">
            <w:pPr>
              <w:spacing w:line="360" w:lineRule="auto"/>
              <w:ind w:right="-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Align w:val="center"/>
          </w:tcPr>
          <w:p w14:paraId="050D75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701" w:type="dxa"/>
            <w:vAlign w:val="center"/>
          </w:tcPr>
          <w:p w14:paraId="66FC31E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材料规格</w:t>
            </w:r>
          </w:p>
        </w:tc>
        <w:tc>
          <w:tcPr>
            <w:tcW w:w="1134" w:type="dxa"/>
            <w:vAlign w:val="center"/>
          </w:tcPr>
          <w:p w14:paraId="207501DC">
            <w:pPr>
              <w:spacing w:line="360" w:lineRule="auto"/>
              <w:ind w:right="-3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34" w:type="dxa"/>
            <w:vAlign w:val="center"/>
          </w:tcPr>
          <w:p w14:paraId="784A7E2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交货地点</w:t>
            </w:r>
          </w:p>
        </w:tc>
        <w:tc>
          <w:tcPr>
            <w:tcW w:w="1559" w:type="dxa"/>
            <w:vAlign w:val="center"/>
          </w:tcPr>
          <w:p w14:paraId="39BB735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计划交货日期</w:t>
            </w:r>
          </w:p>
        </w:tc>
        <w:tc>
          <w:tcPr>
            <w:tcW w:w="992" w:type="dxa"/>
            <w:vAlign w:val="center"/>
          </w:tcPr>
          <w:p w14:paraId="14884F2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153D4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2BD3846">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4104AA5C">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1359393A">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3C19205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7C163052">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59" w:type="dxa"/>
            <w:vAlign w:val="center"/>
          </w:tcPr>
          <w:p w14:paraId="694868E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3B0AF34B">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35364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A74EA9B">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6693531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7C713A9C">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4D65BC53">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4E645920">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59" w:type="dxa"/>
            <w:vAlign w:val="center"/>
          </w:tcPr>
          <w:p w14:paraId="552ACCC9">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38B8AB6B">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04A20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116243">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7CB5C06A">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2D7685E2">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6B92A66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63E0B92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59" w:type="dxa"/>
            <w:vAlign w:val="center"/>
          </w:tcPr>
          <w:p w14:paraId="5200A57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0E62CB98">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bl>
    <w:p w14:paraId="2F2CD60F">
      <w:pPr>
        <w:spacing w:line="360" w:lineRule="auto"/>
        <w:ind w:right="248" w:firstLine="1136" w:firstLineChars="539"/>
        <w:rPr>
          <w:rFonts w:ascii="宋体" w:hAnsi="宋体" w:cs="宋体"/>
          <w:b/>
          <w:color w:val="000000" w:themeColor="text1"/>
          <w:szCs w:val="21"/>
          <w:highlight w:val="none"/>
          <w14:textFill>
            <w14:solidFill>
              <w14:schemeClr w14:val="tx1"/>
            </w14:solidFill>
          </w14:textFill>
        </w:rPr>
      </w:pPr>
    </w:p>
    <w:p w14:paraId="60C57976">
      <w:pPr>
        <w:spacing w:line="360" w:lineRule="auto"/>
        <w:ind w:right="2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发包人提供的主要设备表(</w:t>
      </w:r>
      <w:r>
        <w:rPr>
          <w:rFonts w:hint="eastAsia" w:ascii="宋体" w:hAnsi="宋体" w:cs="宋体"/>
          <w:color w:val="000000" w:themeColor="text1"/>
          <w:szCs w:val="21"/>
          <w:highlight w:val="none"/>
          <w14:textFill>
            <w14:solidFill>
              <w14:schemeClr w14:val="tx1"/>
            </w14:solidFill>
          </w14:textFill>
        </w:rPr>
        <w:t>参考格式</w:t>
      </w:r>
      <w:r>
        <w:rPr>
          <w:rFonts w:hint="eastAsia" w:ascii="宋体" w:hAnsi="宋体" w:cs="宋体"/>
          <w:b/>
          <w:color w:val="000000" w:themeColor="text1"/>
          <w:szCs w:val="21"/>
          <w:highlight w:val="none"/>
          <w14:textFill>
            <w14:solidFill>
              <w14:schemeClr w14:val="tx1"/>
            </w14:solidFill>
          </w14:textFill>
        </w:rPr>
        <w:t>)</w:t>
      </w:r>
    </w:p>
    <w:tbl>
      <w:tblPr>
        <w:tblStyle w:val="47"/>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7D10D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0A0FCAD">
            <w:pPr>
              <w:spacing w:line="360" w:lineRule="auto"/>
              <w:ind w:right="-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842" w:type="dxa"/>
            <w:vAlign w:val="center"/>
          </w:tcPr>
          <w:p w14:paraId="14C7D7D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工程设备名称</w:t>
            </w:r>
          </w:p>
        </w:tc>
        <w:tc>
          <w:tcPr>
            <w:tcW w:w="1560" w:type="dxa"/>
            <w:vAlign w:val="center"/>
          </w:tcPr>
          <w:p w14:paraId="508069C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型号及规格</w:t>
            </w:r>
          </w:p>
        </w:tc>
        <w:tc>
          <w:tcPr>
            <w:tcW w:w="992" w:type="dxa"/>
            <w:vAlign w:val="center"/>
          </w:tcPr>
          <w:p w14:paraId="318D8150">
            <w:pPr>
              <w:spacing w:line="360" w:lineRule="auto"/>
              <w:ind w:right="-3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34" w:type="dxa"/>
            <w:vAlign w:val="center"/>
          </w:tcPr>
          <w:p w14:paraId="5A5EC4C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交货地点</w:t>
            </w:r>
          </w:p>
        </w:tc>
        <w:tc>
          <w:tcPr>
            <w:tcW w:w="1701" w:type="dxa"/>
            <w:vAlign w:val="center"/>
          </w:tcPr>
          <w:p w14:paraId="685F610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计划交货日期</w:t>
            </w:r>
          </w:p>
        </w:tc>
        <w:tc>
          <w:tcPr>
            <w:tcW w:w="850" w:type="dxa"/>
            <w:vAlign w:val="center"/>
          </w:tcPr>
          <w:p w14:paraId="5D85AFD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012CB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5E4CE6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6792E7C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429E829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296EF96D">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1B859113">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2684908B">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2A673BF4">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72221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8D0C8AC">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3F0A8467">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7352CB9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16D843BA">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0CB2CE87">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32CDA2F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554644A2">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23356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56FD2D7">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7874A1B2">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43502A69">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4DA42A31">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767472E7">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63DACB60">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6834F4D4">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bl>
    <w:p w14:paraId="77B4EC0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835" w:name="_Toc222033883"/>
      <w:bookmarkStart w:id="836" w:name="_Toc222032701"/>
      <w:bookmarkStart w:id="837" w:name="_Toc222031034"/>
      <w:bookmarkStart w:id="838" w:name="_Toc222029532"/>
      <w:bookmarkStart w:id="839" w:name="_Toc221951166"/>
      <w:bookmarkStart w:id="840" w:name="_Toc229305392"/>
      <w:r>
        <w:rPr>
          <w:rFonts w:hint="eastAsia" w:ascii="宋体" w:hAnsi="宋体"/>
          <w:color w:val="000000" w:themeColor="text1"/>
          <w:szCs w:val="21"/>
          <w:highlight w:val="none"/>
          <w14:textFill>
            <w14:solidFill>
              <w14:schemeClr w14:val="tx1"/>
            </w14:solidFill>
          </w14:textFill>
        </w:rPr>
        <w:t>材料（设备）的名称、规格、数量和价格：</w:t>
      </w:r>
      <w:r>
        <w:rPr>
          <w:rFonts w:hint="eastAsia" w:ascii="宋体" w:hAnsi="宋体"/>
          <w:color w:val="000000" w:themeColor="text1"/>
          <w:szCs w:val="21"/>
          <w:highlight w:val="none"/>
          <w:u w:val="single"/>
          <w14:textFill>
            <w14:solidFill>
              <w14:schemeClr w14:val="tx1"/>
            </w14:solidFill>
          </w14:textFill>
        </w:rPr>
        <w:t>发包人应提供甲供材料（设备）的明细表，结算时按经监理人、承包人共同确认的供应数量乘以招标时甲供材料暂定价格，在支付工程款时扣除</w:t>
      </w:r>
      <w:r>
        <w:rPr>
          <w:rFonts w:hint="eastAsia" w:ascii="宋体" w:hAnsi="宋体"/>
          <w:color w:val="000000" w:themeColor="text1"/>
          <w:szCs w:val="21"/>
          <w:highlight w:val="none"/>
          <w14:textFill>
            <w14:solidFill>
              <w14:schemeClr w14:val="tx1"/>
            </w14:solidFill>
          </w14:textFill>
        </w:rPr>
        <w:t>。</w:t>
      </w:r>
    </w:p>
    <w:p w14:paraId="1A7B1B7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 禁止使用不合格的材料和工程设备</w:t>
      </w:r>
    </w:p>
    <w:p w14:paraId="2148A48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本款补充细化如下：</w:t>
      </w:r>
      <w:r>
        <w:rPr>
          <w:rFonts w:hint="eastAsia" w:ascii="宋体" w:hAnsi="宋体" w:cs="宋体"/>
          <w:color w:val="000000" w:themeColor="text1"/>
          <w:kern w:val="0"/>
          <w:szCs w:val="21"/>
          <w:highlight w:val="none"/>
          <w:u w:val="single"/>
          <w14:textFill>
            <w14:solidFill>
              <w14:schemeClr w14:val="tx1"/>
            </w14:solidFill>
          </w14:textFill>
        </w:rPr>
        <w:t>发包人按约定的内容提供材料设备，承包人按施工规范和检测规范对一切进场材料进行质量检验，承包人有权退回检验不合格的材料；承包人对投入使用的材料质量负责，并对工程质量全面负责。</w:t>
      </w:r>
    </w:p>
    <w:p w14:paraId="2D12E339">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本条补充5.5、5.6款如下：</w:t>
      </w:r>
    </w:p>
    <w:p w14:paraId="73F717C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 材料与工程设备的保管与使用</w:t>
      </w:r>
    </w:p>
    <w:p w14:paraId="189DF54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发包人供应的材料设备的保管费用的承担：</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D78B4C5">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 样品</w:t>
      </w:r>
    </w:p>
    <w:p w14:paraId="63A14248">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需要承包人报送样品的材料或工程设备，样品的种类、名称、规格、数量要求：</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7DC0C3B">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41" w:name="_Toc33183724"/>
      <w:bookmarkStart w:id="842" w:name="_Toc28776"/>
      <w:bookmarkStart w:id="843" w:name="_Toc20051"/>
      <w:bookmarkStart w:id="844" w:name="_Toc59810409"/>
      <w:r>
        <w:rPr>
          <w:rFonts w:hint="eastAsia" w:ascii="宋体" w:hAnsi="宋体" w:cs="宋体"/>
          <w:color w:val="000000" w:themeColor="text1"/>
          <w:sz w:val="21"/>
          <w:szCs w:val="21"/>
          <w:highlight w:val="none"/>
          <w14:textFill>
            <w14:solidFill>
              <w14:schemeClr w14:val="tx1"/>
            </w14:solidFill>
          </w14:textFill>
        </w:rPr>
        <w:t>6.施工设备和临时设施</w:t>
      </w:r>
      <w:bookmarkEnd w:id="835"/>
      <w:bookmarkEnd w:id="836"/>
      <w:bookmarkEnd w:id="837"/>
      <w:bookmarkEnd w:id="838"/>
      <w:bookmarkEnd w:id="839"/>
      <w:bookmarkEnd w:id="840"/>
      <w:bookmarkEnd w:id="841"/>
      <w:bookmarkEnd w:id="842"/>
      <w:bookmarkEnd w:id="843"/>
      <w:bookmarkEnd w:id="844"/>
      <w:r>
        <w:rPr>
          <w:rFonts w:hint="eastAsia" w:ascii="宋体" w:hAnsi="宋体" w:cs="宋体"/>
          <w:color w:val="000000" w:themeColor="text1"/>
          <w:sz w:val="21"/>
          <w:szCs w:val="21"/>
          <w:highlight w:val="none"/>
          <w14:textFill>
            <w14:solidFill>
              <w14:schemeClr w14:val="tx1"/>
            </w14:solidFill>
          </w14:textFill>
        </w:rPr>
        <w:t xml:space="preserve"> </w:t>
      </w:r>
    </w:p>
    <w:p w14:paraId="3F8F24BF">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45" w:name="_Toc33183725"/>
      <w:bookmarkStart w:id="846" w:name="_Toc221951167"/>
      <w:r>
        <w:rPr>
          <w:rFonts w:hint="eastAsia" w:ascii="宋体" w:hAnsi="宋体" w:cs="宋体"/>
          <w:color w:val="000000" w:themeColor="text1"/>
          <w:szCs w:val="21"/>
          <w:highlight w:val="none"/>
          <w14:textFill>
            <w14:solidFill>
              <w14:schemeClr w14:val="tx1"/>
            </w14:solidFill>
          </w14:textFill>
        </w:rPr>
        <w:t>6.1  承包人提供的施工设备和临时设施</w:t>
      </w:r>
      <w:bookmarkEnd w:id="845"/>
    </w:p>
    <w:p w14:paraId="7FF097BF">
      <w:pPr>
        <w:autoSpaceDE w:val="0"/>
        <w:autoSpaceDN w:val="0"/>
        <w:adjustRightInd w:val="0"/>
        <w:spacing w:line="360" w:lineRule="auto"/>
        <w:ind w:firstLine="48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关于修建临时设施费用承担的约定：</w:t>
      </w:r>
      <w:r>
        <w:rPr>
          <w:rFonts w:hint="eastAsia" w:ascii="宋体" w:hAnsi="宋体" w:cs="宋体"/>
          <w:color w:val="000000" w:themeColor="text1"/>
          <w:kern w:val="0"/>
          <w:szCs w:val="21"/>
          <w:highlight w:val="none"/>
          <w:u w:val="single"/>
          <w14:textFill>
            <w14:solidFill>
              <w14:schemeClr w14:val="tx1"/>
            </w14:solidFill>
          </w14:textFill>
        </w:rPr>
        <w:t>由承包人承担</w:t>
      </w:r>
      <w:r>
        <w:rPr>
          <w:rFonts w:hint="eastAsia" w:ascii="宋体" w:hAnsi="宋体" w:cs="宋体"/>
          <w:color w:val="000000" w:themeColor="text1"/>
          <w:kern w:val="0"/>
          <w:szCs w:val="21"/>
          <w:highlight w:val="none"/>
          <w14:textFill>
            <w14:solidFill>
              <w14:schemeClr w14:val="tx1"/>
            </w14:solidFill>
          </w14:textFill>
        </w:rPr>
        <w:t>。</w:t>
      </w:r>
    </w:p>
    <w:p w14:paraId="453EF56C">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47" w:name="_Toc33183726"/>
      <w:r>
        <w:rPr>
          <w:rFonts w:hint="eastAsia" w:ascii="宋体" w:hAnsi="宋体" w:cs="宋体"/>
          <w:color w:val="000000" w:themeColor="text1"/>
          <w:szCs w:val="21"/>
          <w:highlight w:val="none"/>
          <w14:textFill>
            <w14:solidFill>
              <w14:schemeClr w14:val="tx1"/>
            </w14:solidFill>
          </w14:textFill>
        </w:rPr>
        <w:t>6.2  发包人提供的施工设备和临时设施</w:t>
      </w:r>
      <w:bookmarkEnd w:id="846"/>
      <w:bookmarkEnd w:id="847"/>
    </w:p>
    <w:p w14:paraId="61ED8701">
      <w:pPr>
        <w:spacing w:line="360" w:lineRule="auto"/>
        <w:ind w:right="248" w:firstLine="424" w:firstLineChars="202"/>
        <w:rPr>
          <w:rFonts w:ascii="宋体" w:hAnsi="宋体" w:cs="宋体"/>
          <w:color w:val="000000" w:themeColor="text1"/>
          <w:szCs w:val="21"/>
          <w:highlight w:val="none"/>
          <w14:textFill>
            <w14:solidFill>
              <w14:schemeClr w14:val="tx1"/>
            </w14:solidFill>
          </w14:textFill>
        </w:rPr>
      </w:pPr>
      <w:bookmarkStart w:id="848" w:name="_Toc221951169"/>
      <w:r>
        <w:rPr>
          <w:rFonts w:hint="eastAsia" w:ascii="宋体" w:hAnsi="宋体" w:cs="宋体"/>
          <w:color w:val="000000" w:themeColor="text1"/>
          <w:szCs w:val="21"/>
          <w:highlight w:val="none"/>
          <w14:textFill>
            <w14:solidFill>
              <w14:schemeClr w14:val="tx1"/>
            </w14:solidFill>
          </w14:textFill>
        </w:rPr>
        <w:t>（1）发包人提供的的施工设备见下表</w:t>
      </w:r>
      <w:bookmarkEnd w:id="848"/>
      <w:r>
        <w:rPr>
          <w:rFonts w:hint="eastAsia" w:ascii="宋体" w:hAnsi="宋体" w:cs="宋体"/>
          <w:color w:val="000000" w:themeColor="text1"/>
          <w:szCs w:val="21"/>
          <w:highlight w:val="none"/>
          <w14:textFill>
            <w14:solidFill>
              <w14:schemeClr w14:val="tx1"/>
            </w14:solidFill>
          </w14:textFill>
        </w:rPr>
        <w:t>：</w:t>
      </w:r>
    </w:p>
    <w:p w14:paraId="270821B7">
      <w:pPr>
        <w:spacing w:line="360" w:lineRule="auto"/>
        <w:ind w:right="248"/>
        <w:jc w:val="center"/>
        <w:rPr>
          <w:rFonts w:ascii="宋体" w:hAnsi="宋体" w:cs="宋体"/>
          <w:color w:val="000000" w:themeColor="text1"/>
          <w:szCs w:val="21"/>
          <w:highlight w:val="none"/>
          <w14:textFill>
            <w14:solidFill>
              <w14:schemeClr w14:val="tx1"/>
            </w14:solidFill>
          </w14:textFill>
        </w:rPr>
      </w:pPr>
      <w:bookmarkStart w:id="849" w:name="_Toc221951170"/>
      <w:r>
        <w:rPr>
          <w:rFonts w:hint="eastAsia" w:ascii="宋体" w:hAnsi="宋体" w:cs="宋体"/>
          <w:b/>
          <w:color w:val="000000" w:themeColor="text1"/>
          <w:szCs w:val="21"/>
          <w:highlight w:val="none"/>
          <w14:textFill>
            <w14:solidFill>
              <w14:schemeClr w14:val="tx1"/>
            </w14:solidFill>
          </w14:textFill>
        </w:rPr>
        <w:t>发包人提供的施工设备表(</w:t>
      </w:r>
      <w:r>
        <w:rPr>
          <w:rFonts w:hint="eastAsia" w:ascii="宋体" w:hAnsi="宋体" w:cs="宋体"/>
          <w:color w:val="000000" w:themeColor="text1"/>
          <w:szCs w:val="21"/>
          <w:highlight w:val="none"/>
          <w14:textFill>
            <w14:solidFill>
              <w14:schemeClr w14:val="tx1"/>
            </w14:solidFill>
          </w14:textFill>
        </w:rPr>
        <w:t>参考格式</w:t>
      </w:r>
      <w:r>
        <w:rPr>
          <w:rFonts w:hint="eastAsia" w:ascii="宋体" w:hAnsi="宋体" w:cs="宋体"/>
          <w:b/>
          <w:color w:val="000000" w:themeColor="text1"/>
          <w:szCs w:val="21"/>
          <w:highlight w:val="none"/>
          <w14:textFill>
            <w14:solidFill>
              <w14:schemeClr w14:val="tx1"/>
            </w14:solidFill>
          </w14:textFill>
        </w:rPr>
        <w:t>)</w:t>
      </w:r>
      <w:bookmarkEnd w:id="849"/>
    </w:p>
    <w:tbl>
      <w:tblPr>
        <w:tblStyle w:val="47"/>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70510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C3F3C65">
            <w:pPr>
              <w:spacing w:line="360" w:lineRule="auto"/>
              <w:ind w:right="-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842" w:type="dxa"/>
            <w:vAlign w:val="center"/>
          </w:tcPr>
          <w:p w14:paraId="145646F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施工设备名称</w:t>
            </w:r>
          </w:p>
        </w:tc>
        <w:tc>
          <w:tcPr>
            <w:tcW w:w="1560" w:type="dxa"/>
            <w:vAlign w:val="center"/>
          </w:tcPr>
          <w:p w14:paraId="21FB314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型号及规格</w:t>
            </w:r>
          </w:p>
        </w:tc>
        <w:tc>
          <w:tcPr>
            <w:tcW w:w="992" w:type="dxa"/>
            <w:vAlign w:val="center"/>
          </w:tcPr>
          <w:p w14:paraId="2FD1A8CA">
            <w:pPr>
              <w:spacing w:line="360" w:lineRule="auto"/>
              <w:ind w:right="-3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34" w:type="dxa"/>
            <w:vAlign w:val="center"/>
          </w:tcPr>
          <w:p w14:paraId="5B5356B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交货地点</w:t>
            </w:r>
          </w:p>
        </w:tc>
        <w:tc>
          <w:tcPr>
            <w:tcW w:w="1701" w:type="dxa"/>
            <w:vAlign w:val="center"/>
          </w:tcPr>
          <w:p w14:paraId="61A03FE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计划交货日期</w:t>
            </w:r>
          </w:p>
        </w:tc>
        <w:tc>
          <w:tcPr>
            <w:tcW w:w="850" w:type="dxa"/>
            <w:vAlign w:val="center"/>
          </w:tcPr>
          <w:p w14:paraId="4ECC4D0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515FD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EB85DD9">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0169F59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5BB4BD57">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3CD6E57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3BD7BD2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3E07E3F6">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22EE37EB">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59C1A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7CEC42F">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005194B9">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4837C15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43769B5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291E0982">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019A6A33">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5B6BA571">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541A6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48EE64B">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842" w:type="dxa"/>
            <w:vAlign w:val="center"/>
          </w:tcPr>
          <w:p w14:paraId="09C0C55D">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560" w:type="dxa"/>
            <w:vAlign w:val="center"/>
          </w:tcPr>
          <w:p w14:paraId="20CAB55D">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992" w:type="dxa"/>
            <w:vAlign w:val="center"/>
          </w:tcPr>
          <w:p w14:paraId="1CCE06D5">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134" w:type="dxa"/>
            <w:vAlign w:val="center"/>
          </w:tcPr>
          <w:p w14:paraId="3E03FCB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0B44324C">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850" w:type="dxa"/>
            <w:vAlign w:val="center"/>
          </w:tcPr>
          <w:p w14:paraId="2D1E8D07">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bl>
    <w:p w14:paraId="2BB56CB6">
      <w:pPr>
        <w:pStyle w:val="39"/>
        <w:spacing w:line="360" w:lineRule="auto"/>
        <w:rPr>
          <w:rFonts w:ascii="宋体" w:hAnsi="宋体" w:cs="宋体"/>
          <w:color w:val="000000" w:themeColor="text1"/>
          <w:sz w:val="21"/>
          <w:szCs w:val="21"/>
          <w:highlight w:val="none"/>
          <w14:textFill>
            <w14:solidFill>
              <w14:schemeClr w14:val="tx1"/>
            </w14:solidFill>
          </w14:textFill>
        </w:rPr>
      </w:pPr>
      <w:bookmarkStart w:id="850" w:name="_Toc221951177"/>
      <w:r>
        <w:rPr>
          <w:rFonts w:hint="eastAsia" w:ascii="宋体" w:hAnsi="宋体" w:cs="宋体"/>
          <w:color w:val="000000" w:themeColor="text1"/>
          <w:sz w:val="21"/>
          <w:szCs w:val="21"/>
          <w:highlight w:val="none"/>
          <w14:textFill>
            <w14:solidFill>
              <w14:schemeClr w14:val="tx1"/>
            </w14:solidFill>
          </w14:textFill>
        </w:rPr>
        <w:t>注：设备状况栏内填写该设备的新旧程度、购进时间、已使用小时数和最近一次的大修时间。</w:t>
      </w:r>
      <w:bookmarkEnd w:id="850"/>
    </w:p>
    <w:p w14:paraId="09C6F70E">
      <w:pPr>
        <w:spacing w:line="360" w:lineRule="auto"/>
        <w:ind w:right="248"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（2）发包人提供的临时设施：</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EE94700">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51" w:name="_Toc222033884"/>
      <w:bookmarkStart w:id="852" w:name="_Toc33183727"/>
      <w:bookmarkStart w:id="853" w:name="_Toc222031035"/>
      <w:bookmarkStart w:id="854" w:name="_Toc222032702"/>
      <w:bookmarkStart w:id="855" w:name="_Toc222029533"/>
      <w:bookmarkStart w:id="856" w:name="_Toc21098"/>
      <w:bookmarkStart w:id="857" w:name="_Toc24333"/>
      <w:bookmarkStart w:id="858" w:name="_Toc59810410"/>
      <w:bookmarkStart w:id="859" w:name="_Toc221951178"/>
      <w:r>
        <w:rPr>
          <w:rFonts w:hint="eastAsia" w:ascii="宋体" w:hAnsi="宋体" w:cs="宋体"/>
          <w:color w:val="000000" w:themeColor="text1"/>
          <w:sz w:val="21"/>
          <w:szCs w:val="21"/>
          <w:highlight w:val="none"/>
          <w14:textFill>
            <w14:solidFill>
              <w14:schemeClr w14:val="tx1"/>
            </w14:solidFill>
          </w14:textFill>
        </w:rPr>
        <w:t>7.交通运输</w:t>
      </w:r>
      <w:bookmarkEnd w:id="851"/>
      <w:bookmarkEnd w:id="852"/>
      <w:bookmarkEnd w:id="853"/>
      <w:bookmarkEnd w:id="854"/>
      <w:bookmarkEnd w:id="855"/>
      <w:bookmarkEnd w:id="856"/>
      <w:bookmarkEnd w:id="857"/>
      <w:bookmarkEnd w:id="858"/>
      <w:bookmarkEnd w:id="859"/>
    </w:p>
    <w:p w14:paraId="5289E08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60" w:name="_Toc221951179"/>
      <w:bookmarkStart w:id="861" w:name="_Toc33183728"/>
      <w:r>
        <w:rPr>
          <w:rFonts w:hint="eastAsia" w:ascii="宋体" w:hAnsi="宋体" w:cs="宋体"/>
          <w:color w:val="000000" w:themeColor="text1"/>
          <w:szCs w:val="21"/>
          <w:highlight w:val="none"/>
          <w14:textFill>
            <w14:solidFill>
              <w14:schemeClr w14:val="tx1"/>
            </w14:solidFill>
          </w14:textFill>
        </w:rPr>
        <w:t>7.1  道路通行权和场外设施</w:t>
      </w:r>
      <w:bookmarkEnd w:id="860"/>
      <w:bookmarkEnd w:id="861"/>
    </w:p>
    <w:p w14:paraId="704DC23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862" w:name="_Toc33183729"/>
      <w:r>
        <w:rPr>
          <w:rFonts w:hint="eastAsia" w:ascii="宋体" w:hAnsi="宋体" w:cs="宋体"/>
          <w:color w:val="000000" w:themeColor="text1"/>
          <w:szCs w:val="21"/>
          <w:highlight w:val="none"/>
          <w14:textFill>
            <w14:solidFill>
              <w14:schemeClr w14:val="tx1"/>
            </w14:solidFill>
          </w14:textFill>
        </w:rPr>
        <w:t>道路通行权及场外设施的约定：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862"/>
    </w:p>
    <w:p w14:paraId="10716243">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7.2  </w:t>
      </w:r>
      <w:r>
        <w:rPr>
          <w:rFonts w:hint="eastAsia" w:ascii="宋体" w:hAnsi="宋体" w:cs="宋体"/>
          <w:color w:val="000000" w:themeColor="text1"/>
          <w:kern w:val="0"/>
          <w:szCs w:val="21"/>
          <w:highlight w:val="none"/>
          <w14:textFill>
            <w14:solidFill>
              <w14:schemeClr w14:val="tx1"/>
            </w14:solidFill>
          </w14:textFill>
        </w:rPr>
        <w:t>场内施工道路</w:t>
      </w:r>
    </w:p>
    <w:p w14:paraId="662F3D5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由发包人提供的部分道路和交通设施维修、养护和管理的约定：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382F6CA">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color w:val="000000" w:themeColor="text1"/>
          <w:szCs w:val="21"/>
          <w:highlight w:val="none"/>
          <w:u w:val="single"/>
          <w14:textFill>
            <w14:solidFill>
              <w14:schemeClr w14:val="tx1"/>
            </w14:solidFill>
          </w14:textFill>
        </w:rPr>
        <w:t>以合同工程用地红线为界，用地红线外为场外交通，用地红线范围内为场内交通（场外道路穿越场内的除外）</w:t>
      </w:r>
      <w:r>
        <w:rPr>
          <w:rFonts w:hint="eastAsia" w:ascii="宋体" w:hAnsi="宋体"/>
          <w:color w:val="000000" w:themeColor="text1"/>
          <w:szCs w:val="21"/>
          <w:highlight w:val="none"/>
          <w14:textFill>
            <w14:solidFill>
              <w14:schemeClr w14:val="tx1"/>
            </w14:solidFill>
          </w14:textFill>
        </w:rPr>
        <w:t>。</w:t>
      </w:r>
    </w:p>
    <w:p w14:paraId="2431CBC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kern w:val="0"/>
          <w:szCs w:val="21"/>
          <w:highlight w:val="none"/>
          <w:u w:val="single"/>
          <w14:textFill>
            <w14:solidFill>
              <w14:schemeClr w14:val="tx1"/>
            </w14:solidFill>
          </w14:textFill>
        </w:rPr>
        <w:t>以施工场地移交时的现状为准</w:t>
      </w:r>
      <w:r>
        <w:rPr>
          <w:rFonts w:hint="eastAsia" w:ascii="宋体" w:hAnsi="宋体"/>
          <w:color w:val="000000" w:themeColor="text1"/>
          <w:szCs w:val="21"/>
          <w:highlight w:val="none"/>
          <w14:textFill>
            <w14:solidFill>
              <w14:schemeClr w14:val="tx1"/>
            </w14:solidFill>
          </w14:textFill>
        </w:rPr>
        <w:t>。</w:t>
      </w:r>
    </w:p>
    <w:p w14:paraId="2F1AD57D">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63" w:name="_Toc33183731"/>
      <w:r>
        <w:rPr>
          <w:rFonts w:hint="eastAsia" w:ascii="宋体" w:hAnsi="宋体" w:cs="宋体"/>
          <w:color w:val="000000" w:themeColor="text1"/>
          <w:szCs w:val="21"/>
          <w:highlight w:val="none"/>
          <w14:textFill>
            <w14:solidFill>
              <w14:schemeClr w14:val="tx1"/>
            </w14:solidFill>
          </w14:textFill>
        </w:rPr>
        <w:t>7.3  场外交通</w:t>
      </w:r>
      <w:bookmarkEnd w:id="863"/>
    </w:p>
    <w:p w14:paraId="0F264462">
      <w:pPr>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承包人应遵守有关交通法规，执行有关道路限速、限行、禁止超载的规定，并配合交通管理部门的监督和检查。场外交通以施工场地移交时的现状为准。</w:t>
      </w:r>
    </w:p>
    <w:p w14:paraId="69B354F4">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64" w:name="_Toc33183732"/>
      <w:r>
        <w:rPr>
          <w:rFonts w:hint="eastAsia" w:ascii="宋体" w:hAnsi="宋体" w:cs="宋体"/>
          <w:color w:val="000000" w:themeColor="text1"/>
          <w:szCs w:val="21"/>
          <w:highlight w:val="none"/>
          <w14:textFill>
            <w14:solidFill>
              <w14:schemeClr w14:val="tx1"/>
            </w14:solidFill>
          </w14:textFill>
        </w:rPr>
        <w:t>7.4  超大件和超重件的运输</w:t>
      </w:r>
      <w:bookmarkEnd w:id="864"/>
    </w:p>
    <w:p w14:paraId="41F600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运输超大件或超重件所需的道路和桥梁临时加固改造费用和其他有关费用由</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承担。</w:t>
      </w:r>
    </w:p>
    <w:p w14:paraId="6AC3DAF9">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65" w:name="_Toc18512"/>
      <w:bookmarkStart w:id="866" w:name="_Toc24300"/>
      <w:bookmarkStart w:id="867" w:name="_Toc33183733"/>
      <w:bookmarkStart w:id="868" w:name="_Toc59810411"/>
      <w:r>
        <w:rPr>
          <w:rFonts w:hint="eastAsia" w:ascii="宋体" w:hAnsi="宋体" w:cs="宋体"/>
          <w:color w:val="000000" w:themeColor="text1"/>
          <w:sz w:val="21"/>
          <w:szCs w:val="21"/>
          <w:highlight w:val="none"/>
          <w14:textFill>
            <w14:solidFill>
              <w14:schemeClr w14:val="tx1"/>
            </w14:solidFill>
          </w14:textFill>
        </w:rPr>
        <w:t>8.测量放线</w:t>
      </w:r>
      <w:bookmarkEnd w:id="865"/>
      <w:bookmarkEnd w:id="866"/>
      <w:bookmarkEnd w:id="867"/>
      <w:bookmarkEnd w:id="868"/>
      <w:r>
        <w:rPr>
          <w:rFonts w:hint="eastAsia" w:ascii="宋体" w:hAnsi="宋体" w:cs="宋体"/>
          <w:color w:val="000000" w:themeColor="text1"/>
          <w:sz w:val="21"/>
          <w:szCs w:val="21"/>
          <w:highlight w:val="none"/>
          <w14:textFill>
            <w14:solidFill>
              <w14:schemeClr w14:val="tx1"/>
            </w14:solidFill>
          </w14:textFill>
        </w:rPr>
        <w:t xml:space="preserve"> </w:t>
      </w:r>
    </w:p>
    <w:p w14:paraId="7355B5E4">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69" w:name="_Toc33183734"/>
      <w:r>
        <w:rPr>
          <w:rFonts w:hint="eastAsia" w:ascii="宋体" w:hAnsi="宋体" w:cs="宋体"/>
          <w:color w:val="000000" w:themeColor="text1"/>
          <w:szCs w:val="21"/>
          <w:highlight w:val="none"/>
          <w14:textFill>
            <w14:solidFill>
              <w14:schemeClr w14:val="tx1"/>
            </w14:solidFill>
          </w14:textFill>
        </w:rPr>
        <w:t>8.1施工控制网</w:t>
      </w:r>
      <w:bookmarkEnd w:id="869"/>
    </w:p>
    <w:p w14:paraId="48D04D4F">
      <w:pPr>
        <w:spacing w:line="360" w:lineRule="auto"/>
        <w:ind w:right="248"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8.1.1施工控制网的约定：</w:t>
      </w:r>
      <w:r>
        <w:rPr>
          <w:rFonts w:hint="eastAsia" w:ascii="宋体" w:hAnsi="宋体" w:cs="宋体"/>
          <w:color w:val="000000" w:themeColor="text1"/>
          <w:kern w:val="0"/>
          <w:szCs w:val="21"/>
          <w:highlight w:val="none"/>
          <w:u w:val="single"/>
          <w14:textFill>
            <w14:solidFill>
              <w14:schemeClr w14:val="tx1"/>
            </w14:solidFill>
          </w14:textFill>
        </w:rPr>
        <w:t>发包人通过监理人向承包人提供测量基准点、基准线和水准点及其书面资料的期限：不晚于开工前    天</w:t>
      </w:r>
      <w:r>
        <w:rPr>
          <w:rFonts w:hint="eastAsia" w:ascii="宋体" w:hAnsi="宋体" w:cs="宋体"/>
          <w:color w:val="000000" w:themeColor="text1"/>
          <w:kern w:val="0"/>
          <w:szCs w:val="21"/>
          <w:highlight w:val="none"/>
          <w14:textFill>
            <w14:solidFill>
              <w14:schemeClr w14:val="tx1"/>
            </w14:solidFill>
          </w14:textFill>
        </w:rPr>
        <w:t>。</w:t>
      </w:r>
    </w:p>
    <w:p w14:paraId="11C5F769">
      <w:pPr>
        <w:spacing w:line="360" w:lineRule="auto"/>
        <w:ind w:right="248"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承包人报监理人审批施工控制网资料的期限：</w:t>
      </w:r>
      <w:r>
        <w:rPr>
          <w:rFonts w:hint="eastAsia" w:ascii="宋体" w:hAnsi="宋体" w:cs="宋体"/>
          <w:color w:val="000000" w:themeColor="text1"/>
          <w:kern w:val="0"/>
          <w:szCs w:val="21"/>
          <w:highlight w:val="none"/>
          <w:u w:val="single"/>
          <w14:textFill>
            <w14:solidFill>
              <w14:schemeClr w14:val="tx1"/>
            </w14:solidFill>
          </w14:textFill>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宋体"/>
          <w:color w:val="000000" w:themeColor="text1"/>
          <w:kern w:val="0"/>
          <w:szCs w:val="21"/>
          <w:highlight w:val="none"/>
          <w14:textFill>
            <w14:solidFill>
              <w14:schemeClr w14:val="tx1"/>
            </w14:solidFill>
          </w14:textFill>
        </w:rPr>
        <w:t>。</w:t>
      </w:r>
    </w:p>
    <w:p w14:paraId="45BF6FE8">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70" w:name="_Toc10124"/>
      <w:bookmarkStart w:id="871" w:name="_Toc33183735"/>
      <w:bookmarkStart w:id="872" w:name="_Toc59810412"/>
      <w:bookmarkStart w:id="873" w:name="_Toc11930"/>
      <w:r>
        <w:rPr>
          <w:rFonts w:hint="eastAsia" w:ascii="宋体" w:hAnsi="宋体" w:cs="宋体"/>
          <w:color w:val="000000" w:themeColor="text1"/>
          <w:sz w:val="21"/>
          <w:szCs w:val="21"/>
          <w:highlight w:val="none"/>
          <w14:textFill>
            <w14:solidFill>
              <w14:schemeClr w14:val="tx1"/>
            </w14:solidFill>
          </w14:textFill>
        </w:rPr>
        <w:t>9.施工安全、治安保卫和环境保护</w:t>
      </w:r>
      <w:bookmarkEnd w:id="870"/>
      <w:bookmarkEnd w:id="871"/>
      <w:bookmarkEnd w:id="872"/>
      <w:bookmarkEnd w:id="873"/>
    </w:p>
    <w:p w14:paraId="468C9C3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74" w:name="_Toc33183736"/>
      <w:r>
        <w:rPr>
          <w:rFonts w:hint="eastAsia" w:ascii="宋体" w:hAnsi="宋体" w:cs="宋体"/>
          <w:color w:val="000000" w:themeColor="text1"/>
          <w:szCs w:val="21"/>
          <w:highlight w:val="none"/>
          <w14:textFill>
            <w14:solidFill>
              <w14:schemeClr w14:val="tx1"/>
            </w14:solidFill>
          </w14:textFill>
        </w:rPr>
        <w:t>9.1  发包人的施工安全责任</w:t>
      </w:r>
      <w:bookmarkEnd w:id="874"/>
    </w:p>
    <w:p w14:paraId="3DBBC36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9.1.4发包人负责提供的地下管线资料有：</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，其余可能影响相邻建筑物地下工程的有关资料由承包人负责收集，并保证有关资料的真实、准确、完整，满足有关技术规程的要求。</w:t>
      </w:r>
    </w:p>
    <w:p w14:paraId="7B20179A">
      <w:pPr>
        <w:pStyle w:val="2"/>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本款补充9.1.8项如下：</w:t>
      </w:r>
    </w:p>
    <w:p w14:paraId="75D3BC5B">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9.1.8发包人安全监督部门应当按照现行标准规范对施工现场安全生产措施落实情况进行监督检查，对安全生产状况进行综合评定，并将评定结果纳入安全档案。</w:t>
      </w:r>
    </w:p>
    <w:p w14:paraId="754DA62A">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75" w:name="_Toc33183737"/>
      <w:r>
        <w:rPr>
          <w:rFonts w:hint="eastAsia" w:ascii="宋体" w:hAnsi="宋体" w:cs="宋体"/>
          <w:color w:val="000000" w:themeColor="text1"/>
          <w:szCs w:val="21"/>
          <w:highlight w:val="none"/>
          <w14:textFill>
            <w14:solidFill>
              <w14:schemeClr w14:val="tx1"/>
            </w14:solidFill>
          </w14:textFill>
        </w:rPr>
        <w:t>9.2  承包人的施工安全责任</w:t>
      </w:r>
      <w:bookmarkEnd w:id="875"/>
    </w:p>
    <w:p w14:paraId="25031352">
      <w:pPr>
        <w:snapToGrid w:val="0"/>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9.2.5</w:t>
      </w:r>
      <w:r>
        <w:rPr>
          <w:rFonts w:hint="eastAsia" w:ascii="宋体" w:hAnsi="宋体" w:cs="宋体"/>
          <w:color w:val="000000" w:themeColor="text1"/>
          <w:kern w:val="0"/>
          <w:szCs w:val="21"/>
          <w:highlight w:val="none"/>
          <w14:textFill>
            <w14:solidFill>
              <w14:schemeClr w14:val="tx1"/>
            </w14:solidFill>
          </w14:textFill>
        </w:rPr>
        <w:t>关于安全生产费支付比例和支付期限的约定：</w:t>
      </w:r>
      <w:r>
        <w:rPr>
          <w:rFonts w:hint="eastAsia" w:ascii="宋体" w:hAnsi="宋体" w:cs="宋体"/>
          <w:color w:val="000000" w:themeColor="text1"/>
          <w:kern w:val="0"/>
          <w:szCs w:val="21"/>
          <w:highlight w:val="none"/>
          <w:u w:val="single"/>
          <w14:textFill>
            <w14:solidFill>
              <w14:schemeClr w14:val="tx1"/>
            </w14:solidFill>
          </w14:textFill>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p>
    <w:p w14:paraId="0BA5F55A">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安全生产费的要求与内容、提取支付方法以及违反约定造成损失的赔偿等条款，按照现行规范要求执行，做到专款专用。</w:t>
      </w:r>
    </w:p>
    <w:p w14:paraId="261EEE19">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9.2.12下列工程应编制专项施工方案：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。其中</w:t>
      </w:r>
      <w:r>
        <w:rPr>
          <w:rFonts w:hint="eastAsia" w:ascii="宋体" w:hAnsi="宋体" w:cs="宋体"/>
          <w:color w:val="000000" w:themeColor="text1"/>
          <w:szCs w:val="21"/>
          <w:highlight w:val="none"/>
          <w:u w:val="single"/>
          <w14:textFill>
            <w14:solidFill>
              <w14:schemeClr w14:val="tx1"/>
            </w14:solidFill>
          </w14:textFill>
        </w:rPr>
        <w:t xml:space="preserve">  按渝水基〔2010〕15号文定义属于危险性较大的单项工程，应编制专项施工方案，并按文件要求组织专家论证和审查，其中专家1/2人员应经发包人同意              </w:t>
      </w:r>
      <w:r>
        <w:rPr>
          <w:rFonts w:hint="eastAsia" w:ascii="宋体" w:hAnsi="宋体" w:cs="宋体"/>
          <w:color w:val="000000" w:themeColor="text1"/>
          <w:szCs w:val="21"/>
          <w:highlight w:val="none"/>
          <w14:textFill>
            <w14:solidFill>
              <w14:schemeClr w14:val="tx1"/>
            </w14:solidFill>
          </w14:textFill>
        </w:rPr>
        <w:t>。</w:t>
      </w:r>
    </w:p>
    <w:p w14:paraId="59795B3A">
      <w:pPr>
        <w:pStyle w:val="2"/>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本款补充9.2.14项如下：</w:t>
      </w:r>
    </w:p>
    <w:p w14:paraId="63E59E4B">
      <w:pPr>
        <w:pStyle w:val="2"/>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9.2.14承包人施工安全责任承担</w:t>
      </w:r>
    </w:p>
    <w:p w14:paraId="36D5235A">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（1）承包人的原因造成事故，由此产生的法律责任和事故责任及费用由承包人全部承担。</w:t>
      </w:r>
    </w:p>
    <w:p w14:paraId="2F94D2B7">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（2）承包人在施工过程中，必须严格执行安全生产法的相关规定，制定切实可靠的安全技术措施。</w:t>
      </w:r>
    </w:p>
    <w:p w14:paraId="7DB498BD">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（3）接受发包人安全监督和管理，在施工中违反安全管理规定和操作规程、违章作业的，承担违约责任。</w:t>
      </w:r>
    </w:p>
    <w:p w14:paraId="5EAF11A0">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承包人应当按照重庆市水利局、市财政局、市发改委和市安监局《关于落实水利工程建设安全生产费用及使用管理问题的通知》（渝水基〔2009〕28号）的规定，在财务管理中单独列出安全生产费，按规定范围安排使用，不得挤占、挪用，并建立健全安全生产费用使用台帐。承包人专职管理人员负责对本工程安全生产措施的组织实施进行现场监督检查，并有权向水行政主管部门反映情况。</w:t>
      </w:r>
    </w:p>
    <w:p w14:paraId="1CBD3F7C">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（5）承包人对工程安全生产费用的使用负总责。承包人挪用安全生产费用的，发包人有权责令限期整改，逾期未改正的，可以责令其暂停施工；造成损失的，依法承担赔偿责任。</w:t>
      </w:r>
    </w:p>
    <w:p w14:paraId="787DB834">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（6）为保护本合同工程免遭损坏，或为了现场附近和过往群众的安全与方便，在确有必要的时候和地方，或当监理人或有关主管部门要求时，承包人应自费提供照明、警卫、护栅、警告标志等安全防护设施。</w:t>
      </w:r>
    </w:p>
    <w:p w14:paraId="6B4482DF">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（7）在通航水域施工时，承包人应与当地主管部门取得联系，设置必要的导航标志，及时发布航行通告，确保施工水域安全。</w:t>
      </w:r>
    </w:p>
    <w:p w14:paraId="0AF6D6ED">
      <w:pPr>
        <w:spacing w:line="360" w:lineRule="auto"/>
        <w:ind w:right="248" w:firstLine="48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8）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6038452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76" w:name="_Toc33183738"/>
      <w:r>
        <w:rPr>
          <w:rFonts w:hint="eastAsia" w:ascii="宋体" w:hAnsi="宋体" w:cs="宋体"/>
          <w:color w:val="000000" w:themeColor="text1"/>
          <w:szCs w:val="21"/>
          <w:highlight w:val="none"/>
          <w14:textFill>
            <w14:solidFill>
              <w14:schemeClr w14:val="tx1"/>
            </w14:solidFill>
          </w14:textFill>
        </w:rPr>
        <w:t>9.7文明工地</w:t>
      </w:r>
      <w:bookmarkEnd w:id="876"/>
    </w:p>
    <w:p w14:paraId="5009D780">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9.7.1 本合同文明工地的约定：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33561453">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77" w:name="_Toc12476"/>
      <w:bookmarkStart w:id="878" w:name="_Toc59810413"/>
      <w:bookmarkStart w:id="879" w:name="_Toc31140"/>
      <w:bookmarkStart w:id="880" w:name="_Toc221951188"/>
      <w:bookmarkStart w:id="881" w:name="_Toc222031038"/>
      <w:bookmarkStart w:id="882" w:name="_Toc229305394"/>
      <w:bookmarkStart w:id="883" w:name="_Toc222033887"/>
      <w:bookmarkStart w:id="884" w:name="_Toc222029536"/>
      <w:bookmarkStart w:id="885" w:name="_Toc222032705"/>
      <w:r>
        <w:rPr>
          <w:rFonts w:hint="eastAsia" w:ascii="宋体" w:hAnsi="宋体" w:cs="宋体"/>
          <w:color w:val="000000" w:themeColor="text1"/>
          <w:sz w:val="21"/>
          <w:szCs w:val="21"/>
          <w:highlight w:val="none"/>
          <w14:textFill>
            <w14:solidFill>
              <w14:schemeClr w14:val="tx1"/>
            </w14:solidFill>
          </w14:textFill>
        </w:rPr>
        <w:t>10.进度计划</w:t>
      </w:r>
      <w:bookmarkEnd w:id="877"/>
      <w:bookmarkEnd w:id="878"/>
      <w:bookmarkEnd w:id="879"/>
    </w:p>
    <w:p w14:paraId="3699CFF9">
      <w:pPr>
        <w:snapToGrid w:val="0"/>
        <w:spacing w:before="72" w:beforeLines="3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10.2合同进度计划的修订</w:t>
      </w:r>
    </w:p>
    <w:p w14:paraId="25E01432">
      <w:pPr>
        <w:snapToGrid w:val="0"/>
        <w:spacing w:before="72" w:beforeLines="3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发包人和监理人在收到修订的施工进度计划后确认或提出修改意见的期限：</w:t>
      </w:r>
      <w:r>
        <w:rPr>
          <w:rFonts w:hint="eastAsia" w:ascii="宋体" w:hAnsi="宋体" w:cs="宋体"/>
          <w:color w:val="000000" w:themeColor="text1"/>
          <w:kern w:val="0"/>
          <w:szCs w:val="21"/>
          <w:highlight w:val="none"/>
          <w:u w:val="single"/>
          <w14:textFill>
            <w14:solidFill>
              <w14:schemeClr w14:val="tx1"/>
            </w14:solidFill>
          </w14:textFill>
        </w:rPr>
        <w:t>收到修订的施工进度计划后   天内</w:t>
      </w:r>
      <w:r>
        <w:rPr>
          <w:rFonts w:hint="eastAsia" w:ascii="宋体" w:hAnsi="宋体" w:cs="宋体"/>
          <w:color w:val="000000" w:themeColor="text1"/>
          <w:kern w:val="0"/>
          <w:szCs w:val="21"/>
          <w:highlight w:val="none"/>
          <w14:textFill>
            <w14:solidFill>
              <w14:schemeClr w14:val="tx1"/>
            </w14:solidFill>
          </w14:textFill>
        </w:rPr>
        <w:t>。</w:t>
      </w:r>
    </w:p>
    <w:p w14:paraId="363DC301">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886" w:name="_Toc9073"/>
      <w:bookmarkStart w:id="887" w:name="_Toc12920"/>
      <w:bookmarkStart w:id="888" w:name="_Toc33183739"/>
      <w:bookmarkStart w:id="889" w:name="_Toc59810414"/>
      <w:r>
        <w:rPr>
          <w:rFonts w:hint="eastAsia" w:ascii="宋体" w:hAnsi="宋体" w:cs="宋体"/>
          <w:color w:val="000000" w:themeColor="text1"/>
          <w:sz w:val="21"/>
          <w:szCs w:val="21"/>
          <w:highlight w:val="none"/>
          <w14:textFill>
            <w14:solidFill>
              <w14:schemeClr w14:val="tx1"/>
            </w14:solidFill>
          </w14:textFill>
        </w:rPr>
        <w:t>11.开工和竣工</w:t>
      </w:r>
      <w:bookmarkEnd w:id="880"/>
      <w:bookmarkEnd w:id="881"/>
      <w:bookmarkEnd w:id="882"/>
      <w:bookmarkEnd w:id="883"/>
      <w:bookmarkEnd w:id="884"/>
      <w:bookmarkEnd w:id="885"/>
      <w:r>
        <w:rPr>
          <w:rFonts w:hint="eastAsia" w:ascii="宋体" w:hAnsi="宋体" w:cs="宋体"/>
          <w:color w:val="000000" w:themeColor="text1"/>
          <w:sz w:val="21"/>
          <w:szCs w:val="21"/>
          <w:highlight w:val="none"/>
          <w14:textFill>
            <w14:solidFill>
              <w14:schemeClr w14:val="tx1"/>
            </w14:solidFill>
          </w14:textFill>
        </w:rPr>
        <w:t>（完工）</w:t>
      </w:r>
      <w:bookmarkEnd w:id="886"/>
      <w:bookmarkEnd w:id="887"/>
      <w:bookmarkEnd w:id="888"/>
      <w:bookmarkEnd w:id="889"/>
    </w:p>
    <w:p w14:paraId="5737EAA5">
      <w:pPr>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11.1开工</w:t>
      </w:r>
    </w:p>
    <w:p w14:paraId="7F5AF94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关于承包人提交工程开工报审表的期限：</w:t>
      </w:r>
      <w:r>
        <w:rPr>
          <w:rFonts w:hint="eastAsia" w:ascii="宋体" w:hAnsi="宋体" w:cs="宋体"/>
          <w:color w:val="000000" w:themeColor="text1"/>
          <w:kern w:val="0"/>
          <w:szCs w:val="21"/>
          <w:highlight w:val="none"/>
          <w:u w:val="single"/>
          <w14:textFill>
            <w14:solidFill>
              <w14:schemeClr w14:val="tx1"/>
            </w14:solidFill>
          </w14:textFill>
        </w:rPr>
        <w:t>不晚于开工前     天</w:t>
      </w:r>
      <w:r>
        <w:rPr>
          <w:rFonts w:hint="eastAsia" w:ascii="宋体" w:hAnsi="宋体" w:cs="宋体"/>
          <w:color w:val="000000" w:themeColor="text1"/>
          <w:kern w:val="0"/>
          <w:szCs w:val="21"/>
          <w:highlight w:val="none"/>
          <w14:textFill>
            <w14:solidFill>
              <w14:schemeClr w14:val="tx1"/>
            </w14:solidFill>
          </w14:textFill>
        </w:rPr>
        <w:t>。</w:t>
      </w:r>
    </w:p>
    <w:p w14:paraId="34F529F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关于发包人应完成的其他开工准备工作及期限：</w:t>
      </w:r>
      <w:r>
        <w:rPr>
          <w:rFonts w:hint="eastAsia" w:ascii="宋体" w:hAnsi="宋体" w:cs="宋体"/>
          <w:color w:val="000000" w:themeColor="text1"/>
          <w:kern w:val="0"/>
          <w:szCs w:val="21"/>
          <w:highlight w:val="none"/>
          <w:u w:val="single"/>
          <w14:textFill>
            <w14:solidFill>
              <w14:schemeClr w14:val="tx1"/>
            </w14:solidFill>
          </w14:textFill>
        </w:rPr>
        <w:t>不晚于开工前     天</w:t>
      </w:r>
      <w:r>
        <w:rPr>
          <w:rFonts w:hint="eastAsia" w:ascii="宋体" w:hAnsi="宋体" w:cs="宋体"/>
          <w:color w:val="000000" w:themeColor="text1"/>
          <w:kern w:val="0"/>
          <w:szCs w:val="21"/>
          <w:highlight w:val="none"/>
          <w14:textFill>
            <w14:solidFill>
              <w14:schemeClr w14:val="tx1"/>
            </w14:solidFill>
          </w14:textFill>
        </w:rPr>
        <w:t>。</w:t>
      </w:r>
    </w:p>
    <w:p w14:paraId="03B3688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关于承包人应完成的其他开工准备工作及期限：</w:t>
      </w:r>
      <w:r>
        <w:rPr>
          <w:rFonts w:hint="eastAsia" w:ascii="宋体" w:hAnsi="宋体" w:cs="宋体"/>
          <w:color w:val="000000" w:themeColor="text1"/>
          <w:kern w:val="0"/>
          <w:szCs w:val="21"/>
          <w:highlight w:val="none"/>
          <w:u w:val="single"/>
          <w14:textFill>
            <w14:solidFill>
              <w14:schemeClr w14:val="tx1"/>
            </w14:solidFill>
          </w14:textFill>
        </w:rPr>
        <w:t>不晚于开工前     天</w:t>
      </w:r>
      <w:r>
        <w:rPr>
          <w:rFonts w:hint="eastAsia" w:ascii="宋体" w:hAnsi="宋体" w:cs="宋体"/>
          <w:color w:val="000000" w:themeColor="text1"/>
          <w:kern w:val="0"/>
          <w:szCs w:val="21"/>
          <w:highlight w:val="none"/>
          <w14:textFill>
            <w14:solidFill>
              <w14:schemeClr w14:val="tx1"/>
            </w14:solidFill>
          </w14:textFill>
        </w:rPr>
        <w:t>。</w:t>
      </w:r>
    </w:p>
    <w:p w14:paraId="114A682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11.3  发包人的工期延误</w:t>
      </w:r>
    </w:p>
    <w:p w14:paraId="1A64CB9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在合同履行过程中，因下列情况导致工期延误和（或）费用增加的，由发包人承担由此延误的工期和（或）增加的费用：</w:t>
      </w:r>
    </w:p>
    <w:p w14:paraId="05C8095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（1）发包人未能按合同约定提供施工场地，且该未能提供上述开工条件直接影响项目关键线路的；</w:t>
      </w:r>
    </w:p>
    <w:p w14:paraId="0CA99F1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（2）发包人提供的测量基准点、基准线和水准点及其书面资料存在错误或疏漏，且该错误或疏漏直接影响项目关键线路的；</w:t>
      </w:r>
    </w:p>
    <w:p w14:paraId="1C3F8D7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（3）监理人未按合同约定发出指示、批准等文件，且该未按合同约定发出指示、批准直接影响项目关键线路的；</w:t>
      </w:r>
    </w:p>
    <w:p w14:paraId="001D467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（4）变更未及时审批，直接影响项目关键线路的；</w:t>
      </w:r>
    </w:p>
    <w:p w14:paraId="1CF9D81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（5）实施变更直接影响项目关键线路的；</w:t>
      </w:r>
    </w:p>
    <w:p w14:paraId="57E840E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（6）因发包人原因导致工程暂停施工、停建、缓建的；</w:t>
      </w:r>
    </w:p>
    <w:p w14:paraId="743F419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（7）因征地拆迁、群众阻工等情形导致工期延误累计超过</w:t>
      </w:r>
      <w:r>
        <w:rPr>
          <w:rFonts w:hint="eastAsia" w:ascii="宋体" w:hAnsi="宋体" w:cs="宋体"/>
          <w:color w:val="000000" w:themeColor="text1"/>
          <w:kern w:val="0"/>
          <w:szCs w:val="21"/>
          <w:highlight w:val="none"/>
          <w:lang w:val="en-US" w:eastAsia="zh-CN"/>
          <w14:textFill>
            <w14:solidFill>
              <w14:schemeClr w14:val="tx1"/>
            </w14:solidFill>
          </w14:textFill>
        </w:rPr>
        <w:t>30</w:t>
      </w:r>
      <w:r>
        <w:rPr>
          <w:rFonts w:hint="eastAsia" w:ascii="宋体" w:hAnsi="宋体" w:cs="宋体"/>
          <w:color w:val="000000" w:themeColor="text1"/>
          <w:kern w:val="0"/>
          <w:szCs w:val="21"/>
          <w:highlight w:val="none"/>
          <w14:textFill>
            <w14:solidFill>
              <w14:schemeClr w14:val="tx1"/>
            </w14:solidFill>
          </w14:textFill>
        </w:rPr>
        <w:t>天的；</w:t>
      </w:r>
    </w:p>
    <w:p w14:paraId="6D6DEAE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u w:val="single"/>
          <w14:textFill>
            <w14:solidFill>
              <w14:schemeClr w14:val="tx1"/>
            </w14:solidFill>
          </w14:textFill>
        </w:rPr>
        <w:t>合同约定的其他情形</w:t>
      </w:r>
      <w:r>
        <w:rPr>
          <w:rFonts w:hint="eastAsia" w:ascii="宋体" w:hAnsi="宋体" w:cs="宋体"/>
          <w:color w:val="000000" w:themeColor="text1"/>
          <w:kern w:val="0"/>
          <w:szCs w:val="21"/>
          <w:highlight w:val="none"/>
          <w14:textFill>
            <w14:solidFill>
              <w14:schemeClr w14:val="tx1"/>
            </w14:solidFill>
          </w14:textFill>
        </w:rPr>
        <w:t>。</w:t>
      </w:r>
    </w:p>
    <w:p w14:paraId="6AFB0853">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因发包人原因未按计划开工日期开工的，发包人应按实际开工日期顺延完工日期。因发包人原因导致工期延误需要修订施工进度计划的，按照第10.2合同进度计划的修订执行。</w:t>
      </w:r>
    </w:p>
    <w:p w14:paraId="4C5B9A12">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90" w:name="_Toc33183740"/>
      <w:bookmarkStart w:id="891" w:name="_Toc221951189"/>
      <w:r>
        <w:rPr>
          <w:rFonts w:hint="eastAsia" w:ascii="宋体" w:hAnsi="宋体" w:cs="宋体"/>
          <w:color w:val="000000" w:themeColor="text1"/>
          <w:szCs w:val="21"/>
          <w:highlight w:val="none"/>
          <w14:textFill>
            <w14:solidFill>
              <w14:schemeClr w14:val="tx1"/>
            </w14:solidFill>
          </w14:textFill>
        </w:rPr>
        <w:t>11.4  异常恶劣的气候条件</w:t>
      </w:r>
      <w:bookmarkEnd w:id="890"/>
      <w:bookmarkEnd w:id="891"/>
      <w:r>
        <w:rPr>
          <w:rFonts w:hint="eastAsia" w:ascii="宋体" w:hAnsi="宋体" w:cs="宋体"/>
          <w:color w:val="000000" w:themeColor="text1"/>
          <w:szCs w:val="21"/>
          <w:highlight w:val="none"/>
          <w14:textFill>
            <w14:solidFill>
              <w14:schemeClr w14:val="tx1"/>
            </w14:solidFill>
          </w14:textFill>
        </w:rPr>
        <w:t xml:space="preserve"> </w:t>
      </w:r>
    </w:p>
    <w:p w14:paraId="6A5266B3">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2" w:name="_Toc221951191"/>
      <w:r>
        <w:rPr>
          <w:rFonts w:hint="eastAsia" w:ascii="宋体" w:hAnsi="宋体" w:cs="宋体"/>
          <w:color w:val="000000" w:themeColor="text1"/>
          <w:szCs w:val="21"/>
          <w:highlight w:val="none"/>
          <w14:textFill>
            <w14:solidFill>
              <w14:schemeClr w14:val="tx1"/>
            </w14:solidFill>
          </w14:textFill>
        </w:rPr>
        <w:t>11.4.3 本合同工程界定异常恶劣气候条件（</w:t>
      </w:r>
      <w:r>
        <w:rPr>
          <w:rFonts w:hint="eastAsia" w:ascii="宋体" w:hAnsi="宋体" w:cs="宋体"/>
          <w:color w:val="000000" w:themeColor="text1"/>
          <w:kern w:val="0"/>
          <w:szCs w:val="21"/>
          <w:highlight w:val="none"/>
          <w14:textFill>
            <w14:solidFill>
              <w14:schemeClr w14:val="tx1"/>
            </w14:solidFill>
          </w14:textFill>
        </w:rPr>
        <w:t>异常恶劣气候是指项目所在地50年以上一遇的罕见气候现象</w:t>
      </w:r>
      <w:r>
        <w:rPr>
          <w:rFonts w:hint="eastAsia" w:ascii="宋体" w:hAnsi="宋体" w:cs="宋体"/>
          <w:color w:val="000000" w:themeColor="text1"/>
          <w:szCs w:val="21"/>
          <w:highlight w:val="none"/>
          <w14:textFill>
            <w14:solidFill>
              <w14:schemeClr w14:val="tx1"/>
            </w14:solidFill>
          </w14:textFill>
        </w:rPr>
        <w:t>）的范围为：</w:t>
      </w:r>
      <w:bookmarkEnd w:id="892"/>
    </w:p>
    <w:p w14:paraId="33264EEF">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3" w:name="_Toc221951192"/>
      <w:r>
        <w:rPr>
          <w:rFonts w:hint="eastAsia" w:ascii="宋体" w:hAnsi="宋体" w:cs="宋体"/>
          <w:color w:val="000000" w:themeColor="text1"/>
          <w:szCs w:val="21"/>
          <w:highlight w:val="none"/>
          <w14:textFill>
            <w14:solidFill>
              <w14:schemeClr w14:val="tx1"/>
            </w14:solidFill>
          </w14:textFill>
        </w:rPr>
        <w:t>（1）日降雨量大于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㎜的雨日超过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 `</w:t>
      </w:r>
      <w:bookmarkEnd w:id="893"/>
    </w:p>
    <w:p w14:paraId="6008E0A6">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4" w:name="_Toc221951193"/>
      <w:r>
        <w:rPr>
          <w:rFonts w:hint="eastAsia" w:ascii="宋体" w:hAnsi="宋体" w:cs="宋体"/>
          <w:color w:val="000000" w:themeColor="text1"/>
          <w:szCs w:val="21"/>
          <w:highlight w:val="none"/>
          <w14:textFill>
            <w14:solidFill>
              <w14:schemeClr w14:val="tx1"/>
            </w14:solidFill>
          </w14:textFill>
        </w:rPr>
        <w:t>（2）风速大于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m/s的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级以上台风灾害；</w:t>
      </w:r>
      <w:bookmarkEnd w:id="894"/>
    </w:p>
    <w:p w14:paraId="177C6256">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5" w:name="_Toc221951194"/>
      <w:r>
        <w:rPr>
          <w:rFonts w:hint="eastAsia" w:ascii="宋体" w:hAnsi="宋体" w:cs="宋体"/>
          <w:color w:val="000000" w:themeColor="text1"/>
          <w:szCs w:val="21"/>
          <w:highlight w:val="none"/>
          <w14:textFill>
            <w14:solidFill>
              <w14:schemeClr w14:val="tx1"/>
            </w14:solidFill>
          </w14:textFill>
        </w:rPr>
        <w:t>（3）</w:t>
      </w:r>
      <w:bookmarkEnd w:id="895"/>
      <w:r>
        <w:rPr>
          <w:rFonts w:hint="eastAsia" w:ascii="宋体" w:hAnsi="宋体" w:cs="宋体"/>
          <w:color w:val="000000" w:themeColor="text1"/>
          <w:szCs w:val="21"/>
          <w:highlight w:val="none"/>
          <w14:textFill>
            <w14:solidFill>
              <w14:schemeClr w14:val="tx1"/>
            </w14:solidFill>
          </w14:textFill>
        </w:rPr>
        <w:t>日气温超过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℃的高温大于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w:t>
      </w:r>
    </w:p>
    <w:p w14:paraId="1BDD67E4">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6" w:name="_Toc221951195"/>
      <w:r>
        <w:rPr>
          <w:rFonts w:hint="eastAsia" w:ascii="宋体" w:hAnsi="宋体" w:cs="宋体"/>
          <w:color w:val="000000" w:themeColor="text1"/>
          <w:szCs w:val="21"/>
          <w:highlight w:val="none"/>
          <w14:textFill>
            <w14:solidFill>
              <w14:schemeClr w14:val="tx1"/>
            </w14:solidFill>
          </w14:textFill>
        </w:rPr>
        <w:t>（4）</w:t>
      </w:r>
      <w:bookmarkEnd w:id="896"/>
      <w:r>
        <w:rPr>
          <w:rFonts w:hint="eastAsia" w:ascii="宋体" w:hAnsi="宋体" w:cs="宋体"/>
          <w:color w:val="000000" w:themeColor="text1"/>
          <w:szCs w:val="21"/>
          <w:highlight w:val="none"/>
          <w14:textFill>
            <w14:solidFill>
              <w14:schemeClr w14:val="tx1"/>
            </w14:solidFill>
          </w14:textFill>
        </w:rPr>
        <w:t>日气温低于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℃的严寒大于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w:t>
      </w:r>
    </w:p>
    <w:p w14:paraId="221A060A">
      <w:pPr>
        <w:spacing w:line="360" w:lineRule="auto"/>
        <w:ind w:right="248" w:firstLine="480"/>
        <w:rPr>
          <w:rFonts w:ascii="宋体" w:hAnsi="宋体" w:cs="宋体"/>
          <w:color w:val="000000" w:themeColor="text1"/>
          <w:szCs w:val="21"/>
          <w:highlight w:val="none"/>
          <w:u w:val="single"/>
          <w14:textFill>
            <w14:solidFill>
              <w14:schemeClr w14:val="tx1"/>
            </w14:solidFill>
          </w14:textFill>
        </w:rPr>
      </w:pPr>
      <w:bookmarkStart w:id="897" w:name="_Toc221951196"/>
      <w:r>
        <w:rPr>
          <w:rFonts w:hint="eastAsia" w:ascii="宋体" w:hAnsi="宋体" w:cs="宋体"/>
          <w:color w:val="000000" w:themeColor="text1"/>
          <w:szCs w:val="21"/>
          <w:highlight w:val="none"/>
          <w14:textFill>
            <w14:solidFill>
              <w14:schemeClr w14:val="tx1"/>
            </w14:solidFill>
          </w14:textFill>
        </w:rPr>
        <w:t>（5）</w:t>
      </w:r>
      <w:bookmarkEnd w:id="897"/>
      <w:r>
        <w:rPr>
          <w:rFonts w:hint="eastAsia" w:ascii="宋体" w:hAnsi="宋体" w:cs="宋体"/>
          <w:color w:val="000000" w:themeColor="text1"/>
          <w:szCs w:val="21"/>
          <w:highlight w:val="none"/>
          <w14:textFill>
            <w14:solidFill>
              <w14:schemeClr w14:val="tx1"/>
            </w14:solidFill>
          </w14:textFill>
        </w:rPr>
        <w:t>造成工程损坏的冰雹和大雪灾害：</w:t>
      </w:r>
      <w:r>
        <w:rPr>
          <w:rFonts w:hint="eastAsia" w:ascii="宋体" w:hAnsi="宋体" w:cs="宋体"/>
          <w:color w:val="000000" w:themeColor="text1"/>
          <w:szCs w:val="21"/>
          <w:highlight w:val="none"/>
          <w:u w:val="single"/>
          <w14:textFill>
            <w14:solidFill>
              <w14:schemeClr w14:val="tx1"/>
            </w14:solidFill>
          </w14:textFill>
        </w:rPr>
        <w:t xml:space="preserve">                。</w:t>
      </w:r>
    </w:p>
    <w:p w14:paraId="6A67AD28">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898" w:name="_Toc221951197"/>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898"/>
    </w:p>
    <w:p w14:paraId="65469A1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899" w:name="_Toc221951198"/>
      <w:bookmarkStart w:id="900" w:name="_Toc33183741"/>
      <w:r>
        <w:rPr>
          <w:rFonts w:hint="eastAsia" w:ascii="宋体" w:hAnsi="宋体" w:cs="宋体"/>
          <w:color w:val="000000" w:themeColor="text1"/>
          <w:szCs w:val="21"/>
          <w:highlight w:val="none"/>
          <w14:textFill>
            <w14:solidFill>
              <w14:schemeClr w14:val="tx1"/>
            </w14:solidFill>
          </w14:textFill>
        </w:rPr>
        <w:t>11.5  承包人工期延误</w:t>
      </w:r>
      <w:bookmarkEnd w:id="899"/>
      <w:bookmarkEnd w:id="900"/>
      <w:r>
        <w:rPr>
          <w:rFonts w:hint="eastAsia" w:ascii="宋体" w:hAnsi="宋体" w:cs="宋体"/>
          <w:color w:val="000000" w:themeColor="text1"/>
          <w:szCs w:val="21"/>
          <w:highlight w:val="none"/>
          <w14:textFill>
            <w14:solidFill>
              <w14:schemeClr w14:val="tx1"/>
            </w14:solidFill>
          </w14:textFill>
        </w:rPr>
        <w:t xml:space="preserve"> </w:t>
      </w:r>
    </w:p>
    <w:p w14:paraId="5B5442EA">
      <w:pPr>
        <w:spacing w:line="360" w:lineRule="auto"/>
        <w:ind w:right="248" w:firstLine="420" w:firstLineChars="200"/>
        <w:rPr>
          <w:rFonts w:ascii="宋体" w:hAnsi="宋体" w:cs="宋体"/>
          <w:bCs/>
          <w:color w:val="000000" w:themeColor="text1"/>
          <w:szCs w:val="21"/>
          <w:highlight w:val="none"/>
          <w14:textFill>
            <w14:solidFill>
              <w14:schemeClr w14:val="tx1"/>
            </w14:solidFill>
          </w14:textFill>
        </w:rPr>
      </w:pPr>
      <w:bookmarkStart w:id="901" w:name="_Toc221951200"/>
      <w:r>
        <w:rPr>
          <w:rFonts w:hint="eastAsia" w:ascii="宋体" w:hAnsi="宋体" w:cs="宋体"/>
          <w:bCs/>
          <w:color w:val="000000" w:themeColor="text1"/>
          <w:szCs w:val="21"/>
          <w:highlight w:val="none"/>
          <w14:textFill>
            <w14:solidFill>
              <w14:schemeClr w14:val="tx1"/>
            </w14:solidFill>
          </w14:textFill>
        </w:rPr>
        <w:t>（1）逾期完工违约金表(参考格式)</w:t>
      </w:r>
      <w:bookmarkEnd w:id="901"/>
    </w:p>
    <w:tbl>
      <w:tblPr>
        <w:tblStyle w:val="47"/>
        <w:tblW w:w="85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75"/>
        <w:gridCol w:w="1995"/>
        <w:gridCol w:w="1995"/>
      </w:tblGrid>
      <w:tr w14:paraId="4D31D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003E17D7">
            <w:pPr>
              <w:spacing w:line="360" w:lineRule="auto"/>
              <w:ind w:right="-3"/>
              <w:jc w:val="center"/>
              <w:rPr>
                <w:rFonts w:ascii="宋体" w:hAnsi="宋体" w:cs="宋体"/>
                <w:color w:val="000000" w:themeColor="text1"/>
                <w:szCs w:val="21"/>
                <w:highlight w:val="none"/>
                <w14:textFill>
                  <w14:solidFill>
                    <w14:schemeClr w14:val="tx1"/>
                  </w14:solidFill>
                </w14:textFill>
              </w:rPr>
            </w:pPr>
            <w:bookmarkStart w:id="902" w:name="_Toc221951201"/>
            <w:r>
              <w:rPr>
                <w:rFonts w:hint="eastAsia" w:ascii="宋体" w:hAnsi="宋体" w:cs="宋体"/>
                <w:color w:val="000000" w:themeColor="text1"/>
                <w:szCs w:val="21"/>
                <w:highlight w:val="none"/>
                <w14:textFill>
                  <w14:solidFill>
                    <w14:schemeClr w14:val="tx1"/>
                  </w14:solidFill>
                </w14:textFill>
              </w:rPr>
              <w:t>序号</w:t>
            </w:r>
            <w:bookmarkEnd w:id="902"/>
          </w:p>
        </w:tc>
        <w:tc>
          <w:tcPr>
            <w:tcW w:w="3675" w:type="dxa"/>
            <w:vAlign w:val="center"/>
          </w:tcPr>
          <w:p w14:paraId="1D2320AD">
            <w:pPr>
              <w:spacing w:line="360" w:lineRule="auto"/>
              <w:ind w:right="3"/>
              <w:jc w:val="center"/>
              <w:rPr>
                <w:rFonts w:ascii="宋体" w:hAnsi="宋体" w:cs="宋体"/>
                <w:color w:val="000000" w:themeColor="text1"/>
                <w:szCs w:val="21"/>
                <w:highlight w:val="none"/>
                <w14:textFill>
                  <w14:solidFill>
                    <w14:schemeClr w14:val="tx1"/>
                  </w14:solidFill>
                </w14:textFill>
              </w:rPr>
            </w:pPr>
            <w:bookmarkStart w:id="903" w:name="_Toc221951202"/>
            <w:r>
              <w:rPr>
                <w:rFonts w:hint="eastAsia" w:ascii="宋体" w:hAnsi="宋体" w:cs="宋体"/>
                <w:color w:val="000000" w:themeColor="text1"/>
                <w:szCs w:val="21"/>
                <w:highlight w:val="none"/>
                <w14:textFill>
                  <w14:solidFill>
                    <w14:schemeClr w14:val="tx1"/>
                  </w14:solidFill>
                </w14:textFill>
              </w:rPr>
              <w:t>项目及其说明</w:t>
            </w:r>
            <w:bookmarkEnd w:id="903"/>
          </w:p>
        </w:tc>
        <w:tc>
          <w:tcPr>
            <w:tcW w:w="1995" w:type="dxa"/>
            <w:vAlign w:val="center"/>
          </w:tcPr>
          <w:p w14:paraId="5EF8046A">
            <w:pPr>
              <w:spacing w:line="360" w:lineRule="auto"/>
              <w:ind w:right="9"/>
              <w:jc w:val="center"/>
              <w:rPr>
                <w:rFonts w:ascii="宋体" w:hAnsi="宋体" w:cs="宋体"/>
                <w:color w:val="000000" w:themeColor="text1"/>
                <w:szCs w:val="21"/>
                <w:highlight w:val="none"/>
                <w14:textFill>
                  <w14:solidFill>
                    <w14:schemeClr w14:val="tx1"/>
                  </w14:solidFill>
                </w14:textFill>
              </w:rPr>
            </w:pPr>
            <w:bookmarkStart w:id="904" w:name="_Toc221951203"/>
            <w:r>
              <w:rPr>
                <w:rFonts w:hint="eastAsia" w:ascii="宋体" w:hAnsi="宋体" w:cs="宋体"/>
                <w:color w:val="000000" w:themeColor="text1"/>
                <w:szCs w:val="21"/>
                <w:highlight w:val="none"/>
                <w14:textFill>
                  <w14:solidFill>
                    <w14:schemeClr w14:val="tx1"/>
                  </w14:solidFill>
                </w14:textFill>
              </w:rPr>
              <w:t>要求竣工日期</w:t>
            </w:r>
            <w:bookmarkEnd w:id="904"/>
          </w:p>
        </w:tc>
        <w:tc>
          <w:tcPr>
            <w:tcW w:w="1995" w:type="dxa"/>
          </w:tcPr>
          <w:p w14:paraId="79B2A8F2">
            <w:pPr>
              <w:spacing w:line="360" w:lineRule="auto"/>
              <w:ind w:right="9"/>
              <w:jc w:val="center"/>
              <w:rPr>
                <w:rFonts w:ascii="宋体" w:hAnsi="宋体" w:cs="宋体"/>
                <w:color w:val="000000" w:themeColor="text1"/>
                <w:szCs w:val="21"/>
                <w:highlight w:val="none"/>
                <w14:textFill>
                  <w14:solidFill>
                    <w14:schemeClr w14:val="tx1"/>
                  </w14:solidFill>
                </w14:textFill>
              </w:rPr>
            </w:pPr>
            <w:bookmarkStart w:id="905" w:name="_Toc221951204"/>
            <w:r>
              <w:rPr>
                <w:rFonts w:hint="eastAsia" w:ascii="宋体" w:hAnsi="宋体" w:cs="宋体"/>
                <w:color w:val="000000" w:themeColor="text1"/>
                <w:szCs w:val="21"/>
                <w:highlight w:val="none"/>
                <w14:textFill>
                  <w14:solidFill>
                    <w14:schemeClr w14:val="tx1"/>
                  </w14:solidFill>
                </w14:textFill>
              </w:rPr>
              <w:t>违约金(元/天)</w:t>
            </w:r>
            <w:bookmarkEnd w:id="905"/>
          </w:p>
        </w:tc>
      </w:tr>
      <w:tr w14:paraId="727B3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E3C097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3675" w:type="dxa"/>
            <w:vAlign w:val="center"/>
          </w:tcPr>
          <w:p w14:paraId="7574BA8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vAlign w:val="center"/>
          </w:tcPr>
          <w:p w14:paraId="53B77F5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tcPr>
          <w:p w14:paraId="4A563944">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6FB60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369810C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3675" w:type="dxa"/>
            <w:vAlign w:val="center"/>
          </w:tcPr>
          <w:p w14:paraId="06AAF6E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vAlign w:val="center"/>
          </w:tcPr>
          <w:p w14:paraId="11B6176E">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tcPr>
          <w:p w14:paraId="3CEDF025">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283D5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345B8C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3675" w:type="dxa"/>
            <w:vAlign w:val="center"/>
          </w:tcPr>
          <w:p w14:paraId="22A2165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vAlign w:val="center"/>
          </w:tcPr>
          <w:p w14:paraId="023ACF38">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tcPr>
          <w:p w14:paraId="3A5FC9FB">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r w14:paraId="6BF11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7379E3F">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3675" w:type="dxa"/>
            <w:vAlign w:val="center"/>
          </w:tcPr>
          <w:p w14:paraId="754A4EFC">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vAlign w:val="center"/>
          </w:tcPr>
          <w:p w14:paraId="4EF246D4">
            <w:pPr>
              <w:spacing w:line="360" w:lineRule="auto"/>
              <w:ind w:right="248"/>
              <w:jc w:val="center"/>
              <w:rPr>
                <w:rFonts w:ascii="宋体" w:hAnsi="宋体" w:cs="宋体"/>
                <w:color w:val="000000" w:themeColor="text1"/>
                <w:szCs w:val="21"/>
                <w:highlight w:val="none"/>
                <w14:textFill>
                  <w14:solidFill>
                    <w14:schemeClr w14:val="tx1"/>
                  </w14:solidFill>
                </w14:textFill>
              </w:rPr>
            </w:pPr>
          </w:p>
        </w:tc>
        <w:tc>
          <w:tcPr>
            <w:tcW w:w="1995" w:type="dxa"/>
          </w:tcPr>
          <w:p w14:paraId="6D7C156E">
            <w:pPr>
              <w:spacing w:line="360" w:lineRule="auto"/>
              <w:ind w:right="248"/>
              <w:jc w:val="center"/>
              <w:rPr>
                <w:rFonts w:ascii="宋体" w:hAnsi="宋体" w:cs="宋体"/>
                <w:color w:val="000000" w:themeColor="text1"/>
                <w:szCs w:val="21"/>
                <w:highlight w:val="none"/>
                <w14:textFill>
                  <w14:solidFill>
                    <w14:schemeClr w14:val="tx1"/>
                  </w14:solidFill>
                </w14:textFill>
              </w:rPr>
            </w:pPr>
          </w:p>
        </w:tc>
      </w:tr>
    </w:tbl>
    <w:p w14:paraId="0BACE83A">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bookmarkStart w:id="906" w:name="_Toc221951205"/>
      <w:r>
        <w:rPr>
          <w:rFonts w:hint="eastAsia" w:ascii="宋体" w:hAnsi="宋体" w:cs="宋体"/>
          <w:color w:val="000000" w:themeColor="text1"/>
          <w:szCs w:val="21"/>
          <w:highlight w:val="none"/>
          <w14:textFill>
            <w14:solidFill>
              <w14:schemeClr w14:val="tx1"/>
            </w14:solidFill>
          </w14:textFill>
        </w:rPr>
        <w:t>（2）全部逾期完工违约金的总限额为</w:t>
      </w:r>
      <w:r>
        <w:rPr>
          <w:rFonts w:hint="eastAsia" w:ascii="宋体" w:hAnsi="宋体" w:cs="宋体"/>
          <w:color w:val="000000" w:themeColor="text1"/>
          <w:szCs w:val="21"/>
          <w:highlight w:val="none"/>
          <w:u w:val="single"/>
          <w14:textFill>
            <w14:solidFill>
              <w14:schemeClr w14:val="tx1"/>
            </w14:solidFill>
          </w14:textFill>
        </w:rPr>
        <w:t xml:space="preserve">  （不超过合同总价的  %） </w:t>
      </w:r>
      <w:r>
        <w:rPr>
          <w:rFonts w:hint="eastAsia" w:ascii="宋体" w:hAnsi="宋体" w:cs="宋体"/>
          <w:color w:val="000000" w:themeColor="text1"/>
          <w:szCs w:val="21"/>
          <w:highlight w:val="none"/>
          <w14:textFill>
            <w14:solidFill>
              <w14:schemeClr w14:val="tx1"/>
            </w14:solidFill>
          </w14:textFill>
        </w:rPr>
        <w:t>。</w:t>
      </w:r>
      <w:bookmarkEnd w:id="906"/>
    </w:p>
    <w:p w14:paraId="558C1B0E">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完）工违约金。承包人支付逾期竣（完）工违约金，不免除承包人完成工作及修补缺陷的义务。</w:t>
      </w:r>
    </w:p>
    <w:p w14:paraId="099667CD">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07" w:name="_Toc33183742"/>
      <w:r>
        <w:rPr>
          <w:rFonts w:hint="eastAsia" w:ascii="宋体" w:hAnsi="宋体" w:cs="宋体"/>
          <w:color w:val="000000" w:themeColor="text1"/>
          <w:szCs w:val="21"/>
          <w:highlight w:val="none"/>
          <w14:textFill>
            <w14:solidFill>
              <w14:schemeClr w14:val="tx1"/>
            </w14:solidFill>
          </w14:textFill>
        </w:rPr>
        <w:t>11.6工期提前</w:t>
      </w:r>
      <w:bookmarkEnd w:id="907"/>
    </w:p>
    <w:p w14:paraId="1F36903F">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本款补充11.6.1、11.6.2项如下：</w:t>
      </w:r>
    </w:p>
    <w:p w14:paraId="69AC563E">
      <w:pPr>
        <w:pStyle w:val="2"/>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11.6.1工期提前的资金约定</w:t>
      </w:r>
    </w:p>
    <w:p w14:paraId="29F40794">
      <w:pPr>
        <w:pStyle w:val="2"/>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（1）当项目需要提前完工或项目工期按照第</w:t>
      </w:r>
      <w:r>
        <w:rPr>
          <w:rFonts w:hint="eastAsia" w:ascii="宋体" w:hAnsi="宋体" w:cs="宋体"/>
          <w:color w:val="000000" w:themeColor="text1"/>
          <w:kern w:val="0"/>
          <w:szCs w:val="21"/>
          <w:highlight w:val="none"/>
          <w:u w:val="single"/>
          <w14:textFill>
            <w14:solidFill>
              <w14:schemeClr w14:val="tx1"/>
            </w14:solidFill>
          </w14:textFill>
        </w:rPr>
        <w:t>11.3款〔发包人的工期延误〕</w:t>
      </w:r>
      <w:r>
        <w:rPr>
          <w:rFonts w:hint="eastAsia" w:ascii="宋体" w:hAnsi="宋体" w:cs="宋体"/>
          <w:color w:val="000000" w:themeColor="text1"/>
          <w:kern w:val="0"/>
          <w:szCs w:val="21"/>
          <w:highlight w:val="none"/>
          <w14:textFill>
            <w14:solidFill>
              <w14:schemeClr w14:val="tx1"/>
            </w14:solidFill>
          </w14:textFill>
        </w:rPr>
        <w:t>约定顺延后需要提前完工的，发包人应通过监理人向承包人下达提前完工指示。承包人同意提前完工的，应向发包人和监理人提交提前完工方案，提前完工方案经监理人和发包人审批后生效。由此增加的费用按照第</w:t>
      </w:r>
      <w:r>
        <w:rPr>
          <w:rFonts w:hint="eastAsia" w:ascii="宋体" w:hAnsi="宋体" w:cs="宋体"/>
          <w:color w:val="000000" w:themeColor="text1"/>
          <w:kern w:val="0"/>
          <w:szCs w:val="21"/>
          <w:highlight w:val="none"/>
          <w:u w:val="single"/>
          <w14:textFill>
            <w14:solidFill>
              <w14:schemeClr w14:val="tx1"/>
            </w14:solidFill>
          </w14:textFill>
        </w:rPr>
        <w:t>15.4款〔变更的估价原则〕</w:t>
      </w:r>
      <w:r>
        <w:rPr>
          <w:rFonts w:hint="eastAsia" w:ascii="宋体" w:hAnsi="宋体" w:cs="宋体"/>
          <w:color w:val="000000" w:themeColor="text1"/>
          <w:kern w:val="0"/>
          <w:szCs w:val="21"/>
          <w:highlight w:val="none"/>
          <w14:textFill>
            <w14:solidFill>
              <w14:schemeClr w14:val="tx1"/>
            </w14:solidFill>
          </w14:textFill>
        </w:rPr>
        <w:t>约定执行。</w:t>
      </w:r>
    </w:p>
    <w:p w14:paraId="2A9AC8D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（2）发包人不得随意要求承包人提前完工，承包人也不得随意提出提前完工的建议。如遇特殊情况，确需将工期提前的，发包人和承包人必须采取有效措施，确保工程质量。</w:t>
      </w:r>
    </w:p>
    <w:p w14:paraId="58557FE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（3）如果承包人提前完工，发包人支付奖金的计算方法在合同条款数据表中约定，时间自完工验收证书中写明的实际完工日期起至预定的完工日期止，按天计算。但奖金最高限额不超过项目11.6.2条的限额。</w:t>
      </w:r>
    </w:p>
    <w:p w14:paraId="3DF6051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11.6.2 提前完工的奖励：</w:t>
      </w:r>
      <w:r>
        <w:rPr>
          <w:rFonts w:hint="eastAsia" w:ascii="宋体" w:hAnsi="宋体" w:cs="宋体"/>
          <w:color w:val="000000" w:themeColor="text1"/>
          <w:kern w:val="0"/>
          <w:szCs w:val="21"/>
          <w:highlight w:val="none"/>
          <w:u w:val="single"/>
          <w14:textFill>
            <w14:solidFill>
              <w14:schemeClr w14:val="tx1"/>
            </w14:solidFill>
          </w14:textFill>
        </w:rPr>
        <w:t xml:space="preserve">    元/天，不超过签约合同价的    %</w:t>
      </w:r>
      <w:r>
        <w:rPr>
          <w:rFonts w:hint="eastAsia" w:ascii="宋体" w:hAnsi="宋体" w:cs="宋体"/>
          <w:color w:val="000000" w:themeColor="text1"/>
          <w:kern w:val="0"/>
          <w:szCs w:val="21"/>
          <w:highlight w:val="none"/>
          <w14:textFill>
            <w14:solidFill>
              <w14:schemeClr w14:val="tx1"/>
            </w14:solidFill>
          </w14:textFill>
        </w:rPr>
        <w:t>。</w:t>
      </w:r>
    </w:p>
    <w:p w14:paraId="6B0DC895">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08" w:name="_Toc222033888"/>
      <w:bookmarkStart w:id="909" w:name="_Toc229305395"/>
      <w:bookmarkStart w:id="910" w:name="_Toc22455"/>
      <w:bookmarkStart w:id="911" w:name="_Toc222029537"/>
      <w:bookmarkStart w:id="912" w:name="_Toc8594"/>
      <w:bookmarkStart w:id="913" w:name="_Toc33183743"/>
      <w:bookmarkStart w:id="914" w:name="_Toc222032706"/>
      <w:bookmarkStart w:id="915" w:name="_Toc222031039"/>
      <w:bookmarkStart w:id="916" w:name="_Toc59810415"/>
      <w:bookmarkStart w:id="917" w:name="_Toc221951206"/>
      <w:r>
        <w:rPr>
          <w:rFonts w:hint="eastAsia" w:ascii="宋体" w:hAnsi="宋体" w:cs="宋体"/>
          <w:color w:val="000000" w:themeColor="text1"/>
          <w:sz w:val="21"/>
          <w:szCs w:val="21"/>
          <w:highlight w:val="none"/>
          <w14:textFill>
            <w14:solidFill>
              <w14:schemeClr w14:val="tx1"/>
            </w14:solidFill>
          </w14:textFill>
        </w:rPr>
        <w:t>12.暂停施工</w:t>
      </w:r>
      <w:bookmarkEnd w:id="908"/>
      <w:bookmarkEnd w:id="909"/>
      <w:bookmarkEnd w:id="910"/>
      <w:bookmarkEnd w:id="911"/>
      <w:bookmarkEnd w:id="912"/>
      <w:bookmarkEnd w:id="913"/>
      <w:bookmarkEnd w:id="914"/>
      <w:bookmarkEnd w:id="915"/>
      <w:bookmarkEnd w:id="916"/>
      <w:bookmarkEnd w:id="917"/>
    </w:p>
    <w:p w14:paraId="0314E9C3">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18" w:name="_Toc33183744"/>
      <w:bookmarkStart w:id="919" w:name="_Toc221951207"/>
      <w:r>
        <w:rPr>
          <w:rFonts w:hint="eastAsia" w:ascii="宋体" w:hAnsi="宋体" w:cs="宋体"/>
          <w:color w:val="000000" w:themeColor="text1"/>
          <w:szCs w:val="21"/>
          <w:highlight w:val="none"/>
          <w14:textFill>
            <w14:solidFill>
              <w14:schemeClr w14:val="tx1"/>
            </w14:solidFill>
          </w14:textFill>
        </w:rPr>
        <w:t>12.1  承包人暂停施工的责任</w:t>
      </w:r>
      <w:bookmarkEnd w:id="918"/>
      <w:bookmarkEnd w:id="919"/>
    </w:p>
    <w:p w14:paraId="05083087">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920" w:name="_Toc221951209"/>
      <w:r>
        <w:rPr>
          <w:rFonts w:hint="eastAsia" w:ascii="宋体" w:hAnsi="宋体" w:cs="宋体"/>
          <w:color w:val="000000" w:themeColor="text1"/>
          <w:szCs w:val="21"/>
          <w:highlight w:val="none"/>
          <w14:textFill>
            <w14:solidFill>
              <w14:schemeClr w14:val="tx1"/>
            </w14:solidFill>
          </w14:textFill>
        </w:rPr>
        <w:t xml:space="preserve"> (5) 承包人承担暂停施工责任的其它情形：</w:t>
      </w:r>
      <w:r>
        <w:rPr>
          <w:rFonts w:hint="eastAsia" w:ascii="宋体" w:hAnsi="宋体" w:cs="宋体"/>
          <w:color w:val="000000" w:themeColor="text1"/>
          <w:szCs w:val="21"/>
          <w:highlight w:val="none"/>
          <w:u w:val="single"/>
          <w14:textFill>
            <w14:solidFill>
              <w14:schemeClr w14:val="tx1"/>
            </w14:solidFill>
          </w14:textFill>
        </w:rPr>
        <w:t xml:space="preserve">    因承包人原因引起的暂停施工，承包人应承担由此增加的费用和（或）延误的工期，且承包人在收到监理人复工指示后84天内仍未复工的，视为第22.1.1项〔承包人违约的情形〕第（7）目约定的承包人无法继续履行合同的情形。     </w:t>
      </w:r>
      <w:r>
        <w:rPr>
          <w:rFonts w:hint="eastAsia" w:ascii="宋体" w:hAnsi="宋体" w:cs="宋体"/>
          <w:color w:val="000000" w:themeColor="text1"/>
          <w:szCs w:val="21"/>
          <w:highlight w:val="none"/>
          <w14:textFill>
            <w14:solidFill>
              <w14:schemeClr w14:val="tx1"/>
            </w14:solidFill>
          </w14:textFill>
        </w:rPr>
        <w:t xml:space="preserve"> 。</w:t>
      </w:r>
      <w:bookmarkEnd w:id="920"/>
    </w:p>
    <w:p w14:paraId="2113FB1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21" w:name="_Toc33183745"/>
      <w:r>
        <w:rPr>
          <w:rFonts w:hint="eastAsia" w:ascii="宋体" w:hAnsi="宋体" w:cs="宋体"/>
          <w:color w:val="000000" w:themeColor="text1"/>
          <w:szCs w:val="21"/>
          <w:highlight w:val="none"/>
          <w14:textFill>
            <w14:solidFill>
              <w14:schemeClr w14:val="tx1"/>
            </w14:solidFill>
          </w14:textFill>
        </w:rPr>
        <w:t>12.2  发包人暂停施工的责任</w:t>
      </w:r>
      <w:bookmarkEnd w:id="921"/>
    </w:p>
    <w:p w14:paraId="499757E6">
      <w:pPr>
        <w:spacing w:line="360" w:lineRule="auto"/>
        <w:ind w:right="248" w:firstLine="48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发包人承担暂停施工责任的其它情形：</w:t>
      </w:r>
      <w:r>
        <w:rPr>
          <w:rFonts w:hint="eastAsia" w:ascii="宋体" w:hAnsi="宋体" w:cs="宋体"/>
          <w:color w:val="000000" w:themeColor="text1"/>
          <w:szCs w:val="21"/>
          <w:highlight w:val="none"/>
          <w:u w:val="single"/>
          <w14:textFill>
            <w14:solidFill>
              <w14:schemeClr w14:val="tx1"/>
            </w14:solidFill>
          </w14:textFill>
        </w:rPr>
        <w:t xml:space="preserve">  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5D99EA93">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本条补充12.6、12.7款如下：</w:t>
      </w:r>
    </w:p>
    <w:p w14:paraId="106459CB">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12.6暂停施工期间的工程照管</w:t>
      </w:r>
    </w:p>
    <w:p w14:paraId="351AB3F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暂停施工期间，承包人应负责妥善照管工程并提供安全保障，由此增加的费用由责任方承担。</w:t>
      </w:r>
    </w:p>
    <w:p w14:paraId="7DA9EF2A">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12.7 暂停施工的措施</w:t>
      </w:r>
    </w:p>
    <w:p w14:paraId="5EC3D5D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暂停施工期间，发包人和承包人均应采取必要的措施确保工程质量及安全，防止因暂停施工扩大损失。</w:t>
      </w:r>
    </w:p>
    <w:p w14:paraId="62B2BC69">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22" w:name="_Toc12330"/>
      <w:bookmarkStart w:id="923" w:name="_Toc59810416"/>
      <w:bookmarkStart w:id="924" w:name="_Toc33183746"/>
      <w:bookmarkStart w:id="925" w:name="_Toc4400"/>
      <w:r>
        <w:rPr>
          <w:rFonts w:hint="eastAsia" w:ascii="宋体" w:hAnsi="宋体" w:cs="宋体"/>
          <w:color w:val="000000" w:themeColor="text1"/>
          <w:sz w:val="21"/>
          <w:szCs w:val="21"/>
          <w:highlight w:val="none"/>
          <w14:textFill>
            <w14:solidFill>
              <w14:schemeClr w14:val="tx1"/>
            </w14:solidFill>
          </w14:textFill>
        </w:rPr>
        <w:t>13.工程质量</w:t>
      </w:r>
      <w:bookmarkEnd w:id="922"/>
      <w:bookmarkEnd w:id="923"/>
      <w:bookmarkEnd w:id="924"/>
      <w:bookmarkEnd w:id="925"/>
    </w:p>
    <w:p w14:paraId="4F6E57C8">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 工程质量要求</w:t>
      </w:r>
    </w:p>
    <w:p w14:paraId="5A736B0A">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13.1.1  工程质量符合国家有关施工质量验收规范和标准要求，</w:t>
      </w:r>
      <w:r>
        <w:rPr>
          <w:rFonts w:hint="eastAsia" w:ascii="宋体" w:hAnsi="宋体" w:cs="宋体"/>
          <w:color w:val="000000" w:themeColor="text1"/>
          <w:kern w:val="0"/>
          <w:szCs w:val="21"/>
          <w:highlight w:val="none"/>
          <w:u w:val="single"/>
          <w14:textFill>
            <w14:solidFill>
              <w14:schemeClr w14:val="tx1"/>
            </w14:solidFill>
          </w14:textFill>
        </w:rPr>
        <w:t>达到合格/优良标准。</w:t>
      </w:r>
    </w:p>
    <w:p w14:paraId="6DECE03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26" w:name="_Toc33183747"/>
      <w:r>
        <w:rPr>
          <w:rFonts w:hint="eastAsia" w:ascii="宋体" w:hAnsi="宋体" w:cs="宋体"/>
          <w:color w:val="000000" w:themeColor="text1"/>
          <w:kern w:val="0"/>
          <w:szCs w:val="21"/>
          <w:highlight w:val="none"/>
          <w14:textFill>
            <w14:solidFill>
              <w14:schemeClr w14:val="tx1"/>
            </w14:solidFill>
          </w14:textFill>
        </w:rPr>
        <w:t>13.6 清除不合格工程</w:t>
      </w:r>
      <w:bookmarkEnd w:id="926"/>
    </w:p>
    <w:p w14:paraId="6026504F">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本款补充13.6.3项如下：</w:t>
      </w:r>
    </w:p>
    <w:p w14:paraId="0A3D389E">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13.6.3</w:t>
      </w:r>
      <w:r>
        <w:rPr>
          <w:rFonts w:hint="eastAsia" w:ascii="宋体" w:hAnsi="宋体" w:cs="宋体"/>
          <w:color w:val="000000" w:themeColor="text1"/>
          <w:kern w:val="0"/>
          <w:szCs w:val="21"/>
          <w:highlight w:val="none"/>
          <w:u w:val="single"/>
          <w14:textFill>
            <w14:solidFill>
              <w14:schemeClr w14:val="tx1"/>
            </w14:solidFill>
          </w14:textFill>
        </w:rPr>
        <w:t>按《水利水电工程单元工程施工质量验收评定标准》（SL 631～639）及其它现行有效的质量验收评定标准要求执行。</w:t>
      </w:r>
      <w:r>
        <w:rPr>
          <w:rFonts w:hint="eastAsia" w:ascii="宋体" w:hAnsi="宋体" w:cs="宋体"/>
          <w:color w:val="000000" w:themeColor="text1"/>
          <w:kern w:val="0"/>
          <w:szCs w:val="21"/>
          <w:highlight w:val="none"/>
          <w14:textFill>
            <w14:solidFill>
              <w14:schemeClr w14:val="tx1"/>
            </w14:solidFill>
          </w14:textFill>
        </w:rPr>
        <w:t xml:space="preserve"> 质量事故处理的约定：</w:t>
      </w:r>
    </w:p>
    <w:p w14:paraId="4BBA9697">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（1）合同履行过程中，发生工程质量事故的调查处理按照国家及重庆市现行规定处理。</w:t>
      </w:r>
    </w:p>
    <w:p w14:paraId="59F76B7D">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603173F">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F91B71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27" w:name="_Toc33183748"/>
      <w:r>
        <w:rPr>
          <w:rFonts w:hint="eastAsia" w:ascii="宋体" w:hAnsi="宋体" w:cs="宋体"/>
          <w:color w:val="000000" w:themeColor="text1"/>
          <w:szCs w:val="21"/>
          <w:highlight w:val="none"/>
          <w14:textFill>
            <w14:solidFill>
              <w14:schemeClr w14:val="tx1"/>
            </w14:solidFill>
          </w14:textFill>
        </w:rPr>
        <w:t>13.7质量</w:t>
      </w:r>
      <w:r>
        <w:rPr>
          <w:rFonts w:hint="eastAsia" w:ascii="宋体" w:hAnsi="宋体" w:cs="宋体"/>
          <w:color w:val="000000" w:themeColor="text1"/>
          <w:kern w:val="0"/>
          <w:szCs w:val="21"/>
          <w:highlight w:val="none"/>
          <w14:textFill>
            <w14:solidFill>
              <w14:schemeClr w14:val="tx1"/>
            </w14:solidFill>
          </w14:textFill>
        </w:rPr>
        <w:t>评定</w:t>
      </w:r>
      <w:bookmarkEnd w:id="927"/>
    </w:p>
    <w:p w14:paraId="205E7702">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13.7.4重要隐蔽单元工程和关键部位单元工程质量评定的约定：</w:t>
      </w:r>
      <w:r>
        <w:rPr>
          <w:rFonts w:hint="eastAsia" w:ascii="宋体" w:hAnsi="宋体" w:cs="宋体"/>
          <w:color w:val="000000" w:themeColor="text1"/>
          <w:kern w:val="0"/>
          <w:szCs w:val="21"/>
          <w:highlight w:val="none"/>
          <w:u w:val="single"/>
          <w14:textFill>
            <w14:solidFill>
              <w14:schemeClr w14:val="tx1"/>
            </w14:solidFill>
          </w14:textFill>
        </w:rPr>
        <w:t>单元工程质量符合《水利水电工程单元工程施工质量验收评定标准》（SL 631～639）及其它现行有效的质量验收评定标准要求。</w:t>
      </w:r>
    </w:p>
    <w:p w14:paraId="3ADA6FE1">
      <w:pPr>
        <w:pStyle w:val="2"/>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p>
    <w:p w14:paraId="0FAA364B">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13.7.7工程合格标准为：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；优良标准为：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。达到优良的奖金为：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EA1CA8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28" w:name="_Toc33183749"/>
      <w:r>
        <w:rPr>
          <w:rFonts w:hint="eastAsia" w:ascii="宋体" w:hAnsi="宋体" w:cs="宋体"/>
          <w:color w:val="000000" w:themeColor="text1"/>
          <w:szCs w:val="21"/>
          <w:highlight w:val="none"/>
          <w14:textFill>
            <w14:solidFill>
              <w14:schemeClr w14:val="tx1"/>
            </w14:solidFill>
          </w14:textFill>
        </w:rPr>
        <w:t xml:space="preserve">13.8  </w:t>
      </w:r>
      <w:r>
        <w:rPr>
          <w:rFonts w:hint="eastAsia" w:ascii="宋体" w:hAnsi="宋体" w:cs="宋体"/>
          <w:color w:val="000000" w:themeColor="text1"/>
          <w:kern w:val="0"/>
          <w:szCs w:val="21"/>
          <w:highlight w:val="none"/>
          <w14:textFill>
            <w14:solidFill>
              <w14:schemeClr w14:val="tx1"/>
            </w14:solidFill>
          </w14:textFill>
        </w:rPr>
        <w:t>质量事故</w:t>
      </w:r>
      <w:r>
        <w:rPr>
          <w:rFonts w:hint="eastAsia" w:ascii="宋体" w:hAnsi="宋体" w:cs="宋体"/>
          <w:color w:val="000000" w:themeColor="text1"/>
          <w:szCs w:val="21"/>
          <w:highlight w:val="none"/>
          <w14:textFill>
            <w14:solidFill>
              <w14:schemeClr w14:val="tx1"/>
            </w14:solidFill>
          </w14:textFill>
        </w:rPr>
        <w:t>处理</w:t>
      </w:r>
      <w:bookmarkEnd w:id="928"/>
    </w:p>
    <w:p w14:paraId="17931647">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13.8.4工程竣工验收时，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向竣工验收委员会汇报并提交历次质量缺陷处理的备案资料。</w:t>
      </w:r>
    </w:p>
    <w:p w14:paraId="41D8D4AC">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29" w:name="_Toc14259"/>
      <w:bookmarkStart w:id="930" w:name="_Toc59810417"/>
      <w:bookmarkStart w:id="931" w:name="_Toc11906"/>
      <w:bookmarkStart w:id="932" w:name="_Toc33183750"/>
      <w:r>
        <w:rPr>
          <w:rFonts w:hint="eastAsia" w:ascii="宋体" w:hAnsi="宋体" w:cs="宋体"/>
          <w:color w:val="000000" w:themeColor="text1"/>
          <w:sz w:val="21"/>
          <w:szCs w:val="21"/>
          <w:highlight w:val="none"/>
          <w14:textFill>
            <w14:solidFill>
              <w14:schemeClr w14:val="tx1"/>
            </w14:solidFill>
          </w14:textFill>
        </w:rPr>
        <w:t>14. 试验和检验</w:t>
      </w:r>
      <w:bookmarkEnd w:id="929"/>
      <w:bookmarkEnd w:id="930"/>
      <w:bookmarkEnd w:id="931"/>
      <w:bookmarkEnd w:id="932"/>
    </w:p>
    <w:p w14:paraId="3CC0AF5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33" w:name="_Toc33183751"/>
      <w:r>
        <w:rPr>
          <w:rFonts w:hint="eastAsia" w:ascii="宋体" w:hAnsi="宋体" w:cs="宋体"/>
          <w:color w:val="000000" w:themeColor="text1"/>
          <w:szCs w:val="21"/>
          <w:highlight w:val="none"/>
          <w14:textFill>
            <w14:solidFill>
              <w14:schemeClr w14:val="tx1"/>
            </w14:solidFill>
          </w14:textFill>
        </w:rPr>
        <w:t>14.1材料、工程设备和工程的试验和检验</w:t>
      </w:r>
      <w:bookmarkEnd w:id="933"/>
    </w:p>
    <w:p w14:paraId="3BC9B614">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14.1.5 水工金属结构、启闭机及机电产品进场后，监理人组织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按合同进行交货检查和验收。</w:t>
      </w:r>
    </w:p>
    <w:p w14:paraId="4C57C87E">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14.1.6 本工程实行见证取样的试块、试件及有关材料：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782A1F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本款补充14.1.7、14.1.8项如下：</w:t>
      </w:r>
    </w:p>
    <w:p w14:paraId="539EA810">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14.1.7</w:t>
      </w:r>
      <w:r>
        <w:rPr>
          <w:rFonts w:hint="eastAsia" w:ascii="宋体" w:hAnsi="宋体" w:cs="宋体"/>
          <w:color w:val="000000" w:themeColor="text1"/>
          <w:kern w:val="0"/>
          <w:szCs w:val="21"/>
          <w:highlight w:val="none"/>
          <w14:textFill>
            <w14:solidFill>
              <w14:schemeClr w14:val="tx1"/>
            </w14:solidFill>
          </w14:textFill>
        </w:rPr>
        <w:t>试验设备</w:t>
      </w:r>
    </w:p>
    <w:p w14:paraId="7BA48C6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施工现场需要配置的试验场所：</w:t>
      </w:r>
      <w:r>
        <w:rPr>
          <w:rFonts w:hint="eastAsia" w:ascii="宋体" w:hAnsi="宋体" w:cs="宋体"/>
          <w:color w:val="000000" w:themeColor="text1"/>
          <w:kern w:val="0"/>
          <w:szCs w:val="21"/>
          <w:highlight w:val="none"/>
          <w:u w:val="single"/>
          <w14:textFill>
            <w14:solidFill>
              <w14:schemeClr w14:val="tx1"/>
            </w14:solidFill>
          </w14:textFill>
        </w:rPr>
        <w:t>满足工程施工的需要</w:t>
      </w:r>
      <w:r>
        <w:rPr>
          <w:rFonts w:hint="eastAsia" w:ascii="宋体" w:hAnsi="宋体" w:cs="宋体"/>
          <w:color w:val="000000" w:themeColor="text1"/>
          <w:kern w:val="0"/>
          <w:szCs w:val="21"/>
          <w:highlight w:val="none"/>
          <w14:textFill>
            <w14:solidFill>
              <w14:schemeClr w14:val="tx1"/>
            </w14:solidFill>
          </w14:textFill>
        </w:rPr>
        <w:t>。</w:t>
      </w:r>
    </w:p>
    <w:p w14:paraId="574F085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施工现场需要配备的试验设备：</w:t>
      </w:r>
      <w:r>
        <w:rPr>
          <w:rFonts w:hint="eastAsia" w:ascii="宋体" w:hAnsi="宋体" w:cs="宋体"/>
          <w:color w:val="000000" w:themeColor="text1"/>
          <w:kern w:val="0"/>
          <w:szCs w:val="21"/>
          <w:highlight w:val="none"/>
          <w:u w:val="single"/>
          <w14:textFill>
            <w14:solidFill>
              <w14:schemeClr w14:val="tx1"/>
            </w14:solidFill>
          </w14:textFill>
        </w:rPr>
        <w:t>满足工程施工的需要</w:t>
      </w:r>
      <w:r>
        <w:rPr>
          <w:rFonts w:hint="eastAsia" w:ascii="宋体" w:hAnsi="宋体" w:cs="宋体"/>
          <w:color w:val="000000" w:themeColor="text1"/>
          <w:kern w:val="0"/>
          <w:szCs w:val="21"/>
          <w:highlight w:val="none"/>
          <w14:textFill>
            <w14:solidFill>
              <w14:schemeClr w14:val="tx1"/>
            </w14:solidFill>
          </w14:textFill>
        </w:rPr>
        <w:t>。</w:t>
      </w:r>
    </w:p>
    <w:p w14:paraId="06ECD0E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施工现场需要具备的其他试验条件：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0A9A4C4">
      <w:pPr>
        <w:spacing w:line="360" w:lineRule="auto"/>
        <w:ind w:right="248" w:firstLine="48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14.1.8</w:t>
      </w:r>
      <w:r>
        <w:rPr>
          <w:rFonts w:hint="eastAsia" w:ascii="宋体" w:hAnsi="宋体" w:cs="宋体"/>
          <w:color w:val="000000" w:themeColor="text1"/>
          <w:kern w:val="0"/>
          <w:szCs w:val="21"/>
          <w:highlight w:val="none"/>
          <w:u w:val="single"/>
          <w14:textFill>
            <w14:solidFill>
              <w14:schemeClr w14:val="tx1"/>
            </w14:solidFill>
          </w14:textFill>
        </w:rPr>
        <w:t>本工程施工检测由承包人按《重庆市水利工程质量检测管理办法》渝水〔2018〕110号文规定选择具有相应资质检测单位进行施工质量抽样检测，并需事先报监理审核，并征得发包人书面同意后实施。施工检测单位不能和监理抽检、发包人抽检及验收检测为同一家单位。施工一般检测所需费用由承包人在工程承包费中支付，第三方检测所需费用由发包人承担。承包人应与检测单位在开展检测工作前共同编制施工检测实施方案，实施方案中检测项目及频次必须满足验收评定标准及规程、规范的要求，并经发包人组织评审后实施。</w:t>
      </w:r>
    </w:p>
    <w:p w14:paraId="6A398D2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34" w:name="_Toc33183752"/>
      <w:r>
        <w:rPr>
          <w:rFonts w:hint="eastAsia" w:ascii="宋体" w:hAnsi="宋体" w:cs="宋体"/>
          <w:color w:val="000000" w:themeColor="text1"/>
          <w:szCs w:val="21"/>
          <w:highlight w:val="none"/>
          <w:u w:val="single"/>
          <w14:textFill>
            <w14:solidFill>
              <w14:schemeClr w14:val="tx1"/>
            </w14:solidFill>
          </w14:textFill>
        </w:rPr>
        <w:t>14.3 现场</w:t>
      </w:r>
      <w:r>
        <w:rPr>
          <w:rFonts w:hint="eastAsia" w:ascii="宋体" w:hAnsi="宋体" w:cs="宋体"/>
          <w:color w:val="000000" w:themeColor="text1"/>
          <w:szCs w:val="21"/>
          <w:highlight w:val="none"/>
          <w14:textFill>
            <w14:solidFill>
              <w14:schemeClr w14:val="tx1"/>
            </w14:solidFill>
          </w14:textFill>
        </w:rPr>
        <w:t>工艺试验</w:t>
      </w:r>
      <w:bookmarkEnd w:id="934"/>
    </w:p>
    <w:p w14:paraId="14F13594">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本款补充14.3.1、14.3.2项如下：</w:t>
      </w:r>
    </w:p>
    <w:p w14:paraId="3765A62A">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14.3.1若因承包人取样、制样、送检及相关配合不及时而导致工程的工期和费用增加，影响的工期不予延长，增加费用由承包人承担。</w:t>
      </w:r>
    </w:p>
    <w:p w14:paraId="12C29E92">
      <w:pPr>
        <w:pStyle w:val="2"/>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14.3.2检测试验不合格的项目，其缺陷处理和复测费用由承包人承担，工期不予延长。</w:t>
      </w:r>
    </w:p>
    <w:p w14:paraId="1A498C03">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35" w:name="_Toc59810418"/>
      <w:bookmarkStart w:id="936" w:name="_Toc222033890"/>
      <w:bookmarkStart w:id="937" w:name="_Toc222031041"/>
      <w:bookmarkStart w:id="938" w:name="_Toc33183753"/>
      <w:bookmarkStart w:id="939" w:name="_Toc222032708"/>
      <w:bookmarkStart w:id="940" w:name="_Toc229305396"/>
      <w:bookmarkStart w:id="941" w:name="_Toc222029539"/>
      <w:bookmarkStart w:id="942" w:name="_Toc23646"/>
      <w:bookmarkStart w:id="943" w:name="_Toc26937"/>
      <w:bookmarkStart w:id="944" w:name="_Toc221951213"/>
      <w:r>
        <w:rPr>
          <w:rFonts w:hint="eastAsia" w:ascii="宋体" w:hAnsi="宋体" w:cs="宋体"/>
          <w:color w:val="000000" w:themeColor="text1"/>
          <w:sz w:val="21"/>
          <w:szCs w:val="21"/>
          <w:highlight w:val="none"/>
          <w14:textFill>
            <w14:solidFill>
              <w14:schemeClr w14:val="tx1"/>
            </w14:solidFill>
          </w14:textFill>
        </w:rPr>
        <w:t>15.变更</w:t>
      </w:r>
      <w:bookmarkEnd w:id="935"/>
      <w:bookmarkEnd w:id="936"/>
      <w:bookmarkEnd w:id="937"/>
      <w:bookmarkEnd w:id="938"/>
      <w:bookmarkEnd w:id="939"/>
      <w:bookmarkEnd w:id="940"/>
      <w:bookmarkEnd w:id="941"/>
      <w:bookmarkEnd w:id="942"/>
      <w:bookmarkEnd w:id="943"/>
      <w:bookmarkEnd w:id="944"/>
    </w:p>
    <w:p w14:paraId="7F1CB2C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45" w:name="_Toc221951214"/>
      <w:bookmarkStart w:id="946" w:name="_Toc33183754"/>
      <w:r>
        <w:rPr>
          <w:rFonts w:hint="eastAsia" w:ascii="宋体" w:hAnsi="宋体" w:cs="宋体"/>
          <w:color w:val="000000" w:themeColor="text1"/>
          <w:szCs w:val="21"/>
          <w:highlight w:val="none"/>
          <w14:textFill>
            <w14:solidFill>
              <w14:schemeClr w14:val="tx1"/>
            </w14:solidFill>
          </w14:textFill>
        </w:rPr>
        <w:t>15.1  变更的范围和内容</w:t>
      </w:r>
      <w:bookmarkEnd w:id="945"/>
      <w:bookmarkEnd w:id="946"/>
    </w:p>
    <w:p w14:paraId="41D8E6E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947" w:name="_Toc221951216"/>
      <w:r>
        <w:rPr>
          <w:rFonts w:hint="eastAsia" w:ascii="宋体" w:hAnsi="宋体" w:cs="宋体"/>
          <w:color w:val="000000" w:themeColor="text1"/>
          <w:szCs w:val="21"/>
          <w:highlight w:val="none"/>
          <w14:textFill>
            <w14:solidFill>
              <w14:schemeClr w14:val="tx1"/>
            </w14:solidFill>
          </w14:textFill>
        </w:rPr>
        <w:t>在履行合同中发生以下情形之一，应按照本条规定进行变更。</w:t>
      </w:r>
    </w:p>
    <w:p w14:paraId="0706EC7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（1）增加或减少合同中任何工作，或追加额外的工作；</w:t>
      </w:r>
    </w:p>
    <w:p w14:paraId="58B8C55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（2）取消合同中任何工作；</w:t>
      </w:r>
    </w:p>
    <w:p w14:paraId="1D25F17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（3）改变合同中任何工作的质量标准或其他特性；</w:t>
      </w:r>
    </w:p>
    <w:p w14:paraId="308C9E2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（4）改变工程的基线、标高、位置和尺寸；</w:t>
      </w:r>
    </w:p>
    <w:p w14:paraId="0B7D5F2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（5）适用于工程的标准和（或）规范变化导致需要对工程进行改变，且该改变导致工期和（或）费用变化的；</w:t>
      </w:r>
    </w:p>
    <w:p w14:paraId="54DDCFAB">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（6）勘察设计变更；</w:t>
      </w:r>
    </w:p>
    <w:p w14:paraId="784598D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（7）实施内容变更，包括因设计变更和非设计变更引起的实施地点、投资规模、结构型式、采购数量、服务内容等进行的调整，以及因此导致的合同价格、工期变更；</w:t>
      </w:r>
    </w:p>
    <w:p w14:paraId="584387D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（8）项目管理人员变更；</w:t>
      </w:r>
    </w:p>
    <w:p w14:paraId="13564EC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（9）因人工、原材料等价格变化导致的合同总价变更；</w:t>
      </w:r>
    </w:p>
    <w:p w14:paraId="5E9D5A4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（10）非实施内容变化导致的工期变更；</w:t>
      </w:r>
    </w:p>
    <w:p w14:paraId="30B1BC6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3EDB67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768F704">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承包人对其提供的材料、工程设备、施工、无负荷试车、热负荷试车及图纸参数存在的缺陷，自费修正、调整和完善，不属于变更。</w:t>
      </w:r>
    </w:p>
    <w:bookmarkEnd w:id="947"/>
    <w:p w14:paraId="2B3D3A1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48" w:name="_Toc33183755"/>
      <w:bookmarkStart w:id="949" w:name="_Toc221951218"/>
      <w:r>
        <w:rPr>
          <w:rFonts w:hint="eastAsia" w:ascii="宋体" w:hAnsi="宋体" w:cs="宋体"/>
          <w:color w:val="000000" w:themeColor="text1"/>
          <w:szCs w:val="21"/>
          <w:highlight w:val="none"/>
          <w14:textFill>
            <w14:solidFill>
              <w14:schemeClr w14:val="tx1"/>
            </w14:solidFill>
          </w14:textFill>
        </w:rPr>
        <w:t>15.2 变更权</w:t>
      </w:r>
      <w:bookmarkEnd w:id="948"/>
    </w:p>
    <w:p w14:paraId="6188A71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本款补充15.2.1、15.2.2项如下：</w:t>
      </w:r>
    </w:p>
    <w:p w14:paraId="3F9EAC8B">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15.2.1发包人和监理人提出变更</w:t>
      </w:r>
    </w:p>
    <w:p w14:paraId="291D0B3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9C37972">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涉及设计变更的，应由设计人提供变更后的图纸和说明，交由发包人同意后由监理人以书面形式发出。如变更超过原设计标准或批准的建设规模时，</w:t>
      </w:r>
      <w:r>
        <w:rPr>
          <w:rFonts w:hint="eastAsia" w:ascii="宋体" w:hAnsi="宋体"/>
          <w:color w:val="000000" w:themeColor="text1"/>
          <w:szCs w:val="21"/>
          <w:highlight w:val="none"/>
          <w14:textFill>
            <w14:solidFill>
              <w14:schemeClr w14:val="tx1"/>
            </w14:solidFill>
          </w14:textFill>
        </w:rPr>
        <w:t>由发包人及时办理规划、设计变更等审批手续。</w:t>
      </w:r>
    </w:p>
    <w:p w14:paraId="011925B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若出现重大设计变更，变更后的内容超出承包人资质或能力范围的，发包人将另行依法招标选择承包单位，无需征得承包人同意。</w:t>
      </w:r>
    </w:p>
    <w:p w14:paraId="43AAD77C">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15.2.2 承包人提出变更建议</w:t>
      </w:r>
    </w:p>
    <w:p w14:paraId="74226E7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000000" w:themeColor="text1"/>
          <w:szCs w:val="21"/>
          <w:highlight w:val="none"/>
          <w:u w:val="single"/>
          <w14:textFill>
            <w14:solidFill>
              <w14:schemeClr w14:val="tx1"/>
            </w14:solidFill>
          </w14:textFill>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000000" w:themeColor="text1"/>
          <w:szCs w:val="21"/>
          <w:highlight w:val="none"/>
          <w14:textFill>
            <w14:solidFill>
              <w14:schemeClr w14:val="tx1"/>
            </w14:solidFill>
          </w14:textFill>
        </w:rPr>
        <w:t>。</w:t>
      </w:r>
    </w:p>
    <w:p w14:paraId="1E32D5F1">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如果发包人对承包人已实施的施工项目在发出重大设计变更之前要求承包人提出一份建议，那么，承包人应尽快提出：</w:t>
      </w:r>
    </w:p>
    <w:p w14:paraId="6E2440C6">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（1）对所提方案和（或）待做工作及其实施计划的说明</w:t>
      </w:r>
      <w:r>
        <w:rPr>
          <w:rFonts w:hint="eastAsia" w:ascii="宋体" w:hAnsi="宋体" w:cs="宋体"/>
          <w:color w:val="000000" w:themeColor="text1"/>
          <w:kern w:val="0"/>
          <w:szCs w:val="21"/>
          <w:highlight w:val="none"/>
          <w14:textFill>
            <w14:solidFill>
              <w14:schemeClr w14:val="tx1"/>
            </w14:solidFill>
          </w14:textFill>
        </w:rPr>
        <w:t>；</w:t>
      </w:r>
    </w:p>
    <w:p w14:paraId="17D62BDD">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（2）承包人按照对工程进度计划进行必要修改的建议</w:t>
      </w:r>
      <w:r>
        <w:rPr>
          <w:rFonts w:hint="eastAsia" w:ascii="宋体" w:hAnsi="宋体" w:cs="宋体"/>
          <w:color w:val="000000" w:themeColor="text1"/>
          <w:kern w:val="0"/>
          <w:szCs w:val="21"/>
          <w:highlight w:val="none"/>
          <w14:textFill>
            <w14:solidFill>
              <w14:schemeClr w14:val="tx1"/>
            </w14:solidFill>
          </w14:textFill>
        </w:rPr>
        <w:t>；</w:t>
      </w:r>
    </w:p>
    <w:p w14:paraId="511E26F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（3）承包人发生较大返工损失增加费用的建议</w:t>
      </w:r>
      <w:r>
        <w:rPr>
          <w:rFonts w:hint="eastAsia" w:ascii="宋体" w:hAnsi="宋体" w:cs="宋体"/>
          <w:color w:val="000000" w:themeColor="text1"/>
          <w:kern w:val="0"/>
          <w:szCs w:val="21"/>
          <w:highlight w:val="none"/>
          <w14:textFill>
            <w14:solidFill>
              <w14:schemeClr w14:val="tx1"/>
            </w14:solidFill>
          </w14:textFill>
        </w:rPr>
        <w:t>。</w:t>
      </w:r>
    </w:p>
    <w:p w14:paraId="1A7A3454">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发包人在收到上述建议书后，应尽快给予批准、否决或提出意见</w:t>
      </w:r>
      <w:r>
        <w:rPr>
          <w:rFonts w:hint="eastAsia" w:ascii="宋体" w:hAnsi="宋体" w:cs="宋体"/>
          <w:color w:val="000000" w:themeColor="text1"/>
          <w:kern w:val="0"/>
          <w:szCs w:val="21"/>
          <w:highlight w:val="none"/>
          <w14:textFill>
            <w14:solidFill>
              <w14:schemeClr w14:val="tx1"/>
            </w14:solidFill>
          </w14:textFill>
        </w:rPr>
        <w:t>。</w:t>
      </w:r>
    </w:p>
    <w:p w14:paraId="189BAA8B">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50" w:name="_Toc33183756"/>
      <w:r>
        <w:rPr>
          <w:rFonts w:hint="eastAsia" w:ascii="宋体" w:hAnsi="宋体" w:cs="宋体"/>
          <w:color w:val="000000" w:themeColor="text1"/>
          <w:kern w:val="0"/>
          <w:szCs w:val="21"/>
          <w:highlight w:val="none"/>
          <w14:textFill>
            <w14:solidFill>
              <w14:schemeClr w14:val="tx1"/>
            </w14:solidFill>
          </w14:textFill>
        </w:rPr>
        <w:t>15.3 变更</w:t>
      </w:r>
      <w:r>
        <w:rPr>
          <w:rFonts w:hint="eastAsia" w:ascii="宋体" w:hAnsi="宋体" w:cs="宋体"/>
          <w:color w:val="000000" w:themeColor="text1"/>
          <w:szCs w:val="21"/>
          <w:highlight w:val="none"/>
          <w14:textFill>
            <w14:solidFill>
              <w14:schemeClr w14:val="tx1"/>
            </w14:solidFill>
          </w14:textFill>
        </w:rPr>
        <w:t>程序</w:t>
      </w:r>
      <w:bookmarkEnd w:id="950"/>
    </w:p>
    <w:p w14:paraId="52131776">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15.3.1 变更的提出</w:t>
      </w:r>
    </w:p>
    <w:p w14:paraId="0F36BE81">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本项补充（5）（6）目如下：</w:t>
      </w:r>
    </w:p>
    <w:p w14:paraId="6C204EE8">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（5）一般设计变更：承包人收到监理人下达的变更指示后，应按照监理人下达的变更指示执行，并书面说明实施该变更指示对合同价格和工期的影响，按照第15.4项〔变更的估价原则〕约定执行。</w:t>
      </w:r>
    </w:p>
    <w:p w14:paraId="583B04D2">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（6）重大设计变更：需经设计人、监理人和发包人三方</w:t>
      </w:r>
      <w:r>
        <w:rPr>
          <w:rFonts w:hint="eastAsia" w:ascii="宋体" w:hAnsi="宋体"/>
          <w:color w:val="000000" w:themeColor="text1"/>
          <w:szCs w:val="21"/>
          <w:highlight w:val="none"/>
          <w:lang w:eastAsia="zh-CN"/>
          <w14:textFill>
            <w14:solidFill>
              <w14:schemeClr w14:val="tx1"/>
            </w14:solidFill>
          </w14:textFill>
        </w:rPr>
        <w:t>签名</w:t>
      </w:r>
      <w:r>
        <w:rPr>
          <w:rFonts w:hint="eastAsia" w:ascii="宋体" w:hAnsi="宋体"/>
          <w:color w:val="000000" w:themeColor="text1"/>
          <w:szCs w:val="21"/>
          <w:highlight w:val="none"/>
          <w14:textFill>
            <w14:solidFill>
              <w14:schemeClr w14:val="tx1"/>
            </w14:solidFill>
          </w14:textFill>
        </w:rPr>
        <w:t>认可并报相关行业部门审查同意后实施。</w:t>
      </w:r>
    </w:p>
    <w:p w14:paraId="0836E30B">
      <w:pPr>
        <w:autoSpaceDE w:val="0"/>
        <w:autoSpaceDN w:val="0"/>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本款补充15.3.4项如下：</w:t>
      </w:r>
    </w:p>
    <w:p w14:paraId="768F3647">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15.3.4 变更报批程序</w:t>
      </w:r>
    </w:p>
    <w:p w14:paraId="6D8A62A6">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5BBAE193">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（2）项目的勘察设计、实施内容等作较大变更的，应当按照规定的程序报原审批部门审批；变更导致总投资超概的，应当报原投资概算核定部门核定。</w:t>
      </w:r>
    </w:p>
    <w:p w14:paraId="1FABEE11">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（3）项目管理人员变更的，应当经发包人领导班子集体决策同意，并将变更信息推送给行业主管部门。变更后的项目管理人员应当符合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和行业主管部门的相关规定。</w:t>
      </w:r>
    </w:p>
    <w:p w14:paraId="57B55B1E">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（4）因人工、原材料市场价格发生大幅度变化导致的合同总价变更，由发包人与承包人按照合同进行变更，并将变更信息推送给行业主管部门。</w:t>
      </w:r>
    </w:p>
    <w:p w14:paraId="514E5E8E">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（5）项目实施内容无变更，因不可抗力导致的工期变更，由发包人领导班子集体决策同意，并将变更信息推送给行业主管部门；因项目实施内容变更导致的工期变更，与项目实施内容变更一并办理。</w:t>
      </w:r>
    </w:p>
    <w:p w14:paraId="21285E37">
      <w:pPr>
        <w:autoSpaceDE w:val="0"/>
        <w:autoSpaceDN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（6）项目合同变更后，增加的实施内容达到依法必须招标的规模标准的，增加的部分按重庆市有关规定执行。</w:t>
      </w:r>
    </w:p>
    <w:p w14:paraId="30A4B29C">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51" w:name="_Toc33183757"/>
      <w:r>
        <w:rPr>
          <w:rFonts w:hint="eastAsia" w:ascii="宋体" w:hAnsi="宋体" w:cs="宋体"/>
          <w:color w:val="000000" w:themeColor="text1"/>
          <w:szCs w:val="21"/>
          <w:highlight w:val="none"/>
          <w14:textFill>
            <w14:solidFill>
              <w14:schemeClr w14:val="tx1"/>
            </w14:solidFill>
          </w14:textFill>
        </w:rPr>
        <w:t>15.4 变更的估价原则</w:t>
      </w:r>
      <w:bookmarkEnd w:id="951"/>
    </w:p>
    <w:p w14:paraId="4586B1F4">
      <w:pPr>
        <w:pStyle w:val="2"/>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当发生工程变更时，工程量</w:t>
      </w:r>
      <w:r>
        <w:rPr>
          <w:rFonts w:hint="eastAsia" w:ascii="宋体" w:hAnsi="宋体" w:cs="宋体"/>
          <w:color w:val="000000" w:themeColor="text1"/>
          <w:kern w:val="0"/>
          <w:szCs w:val="21"/>
          <w:highlight w:val="none"/>
          <w:u w:val="single"/>
          <w14:textFill>
            <w14:solidFill>
              <w14:schemeClr w14:val="tx1"/>
            </w14:solidFill>
          </w14:textFill>
        </w:rPr>
        <w:t>按《水利水电工程设计工程量计算规定》（SL 328-2005）、</w:t>
      </w:r>
      <w:r>
        <w:rPr>
          <w:rFonts w:hint="eastAsia" w:ascii="宋体" w:hAnsi="宋体"/>
          <w:color w:val="000000" w:themeColor="text1"/>
          <w:szCs w:val="21"/>
          <w:highlight w:val="none"/>
          <w:u w:val="single"/>
          <w14:textFill>
            <w14:solidFill>
              <w14:schemeClr w14:val="tx1"/>
            </w14:solidFill>
          </w14:textFill>
        </w:rPr>
        <w:t>《重庆市水利工程设计概（估）算 编制规定》（2021年版）、《重庆市水利建筑工程预算定额》（2021年版）、《重庆市水利工程机械台时费定额》（2021年版）及《重庆市中小型水利水电设备安装工程预算定额》（2008年版）</w:t>
      </w:r>
      <w:r>
        <w:rPr>
          <w:rFonts w:hint="eastAsia" w:ascii="宋体" w:hAnsi="宋体" w:cs="宋体"/>
          <w:color w:val="000000" w:themeColor="text1"/>
          <w:kern w:val="0"/>
          <w:szCs w:val="21"/>
          <w:highlight w:val="none"/>
          <w:u w:val="none"/>
          <w14:textFill>
            <w14:solidFill>
              <w14:schemeClr w14:val="tx1"/>
            </w14:solidFill>
          </w14:textFill>
        </w:rPr>
        <w:t>等配套文件</w:t>
      </w:r>
      <w:r>
        <w:rPr>
          <w:rFonts w:hint="eastAsia" w:ascii="宋体" w:hAnsi="宋体" w:cs="宋体"/>
          <w:color w:val="000000" w:themeColor="text1"/>
          <w:kern w:val="0"/>
          <w:szCs w:val="21"/>
          <w:highlight w:val="none"/>
          <w14:textFill>
            <w14:solidFill>
              <w14:schemeClr w14:val="tx1"/>
            </w14:solidFill>
          </w14:textFill>
        </w:rPr>
        <w:t>规定的计算规则及已标价工程量清单规定的工程量计算规则计量，按以下办法计价：</w:t>
      </w:r>
    </w:p>
    <w:p w14:paraId="494BA2C7">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15.4.1已标价工程量清单中有相同项目的，按照相同项目单价计算；</w:t>
      </w:r>
    </w:p>
    <w:p w14:paraId="3AE28B6D">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15.4.2已标价工程量清单中有类似项目的，参考类似项目单价计算；</w:t>
      </w:r>
    </w:p>
    <w:p w14:paraId="2E142CDB">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15.4.3已标价工程量清单中无相同项目亦无类似项目的，按以下定额组价后</w:t>
      </w:r>
      <w:r>
        <w:rPr>
          <w:rFonts w:hint="eastAsia" w:ascii="宋体" w:hAnsi="宋体" w:cs="宋体"/>
          <w:color w:val="000000" w:themeColor="text1"/>
          <w:kern w:val="0"/>
          <w:szCs w:val="21"/>
          <w:highlight w:val="none"/>
          <w:u w:val="single"/>
          <w14:textFill>
            <w14:solidFill>
              <w14:schemeClr w14:val="tx1"/>
            </w14:solidFill>
          </w14:textFill>
        </w:rPr>
        <w:t>按承包人投标总报价</w:t>
      </w:r>
      <w:r>
        <w:rPr>
          <w:rFonts w:hint="eastAsia" w:ascii="宋体" w:hAnsi="宋体" w:cs="宋体"/>
          <w:color w:val="000000" w:themeColor="text1"/>
          <w:szCs w:val="21"/>
          <w:highlight w:val="none"/>
          <w:u w:val="single"/>
          <w14:textFill>
            <w14:solidFill>
              <w14:schemeClr w14:val="tx1"/>
            </w14:solidFill>
          </w14:textFill>
        </w:rPr>
        <w:t>与招标控制价的下浮比例同比例下浮</w:t>
      </w:r>
      <w:r>
        <w:rPr>
          <w:rFonts w:hint="eastAsia" w:ascii="宋体" w:hAnsi="宋体" w:cs="宋体"/>
          <w:color w:val="000000" w:themeColor="text1"/>
          <w:kern w:val="0"/>
          <w:szCs w:val="21"/>
          <w:highlight w:val="none"/>
          <w:u w:val="single"/>
          <w14:textFill>
            <w14:solidFill>
              <w14:schemeClr w14:val="tx1"/>
            </w14:solidFill>
          </w14:textFill>
        </w:rPr>
        <w:t>（税前）</w:t>
      </w:r>
      <w:r>
        <w:rPr>
          <w:rFonts w:hint="eastAsia" w:ascii="宋体" w:hAnsi="宋体" w:cs="宋体"/>
          <w:color w:val="000000" w:themeColor="text1"/>
          <w:kern w:val="0"/>
          <w:szCs w:val="21"/>
          <w:highlight w:val="none"/>
          <w14:textFill>
            <w14:solidFill>
              <w14:schemeClr w14:val="tx1"/>
            </w14:solidFill>
          </w14:textFill>
        </w:rPr>
        <w:t>：</w:t>
      </w:r>
    </w:p>
    <w:p w14:paraId="2DF753B5">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2021年重庆市水利局颁发的《重庆市水利局重庆市发展和改革委员会关于发布2021年版&lt;重庆市水利工程设计概（估）算编制规定&gt;的通知》（渝水建[2021]7号文）以及《重庆市水利局关于发布2021年版&lt;重庆市水利建筑工程概算定额&gt;&lt;重庆市水利建筑工程预算定额&gt;&lt;重庆市水利工程机械台时费定额&gt;的通知》（渝水建[2021]8号文），《关于水利工程营业税改增值税后计价依据调整的通知》（渝水〔2016〕151号），《关于适用增值税新税率调整水利工程计价依据的通知》（渝水〔2018〕31号）、《关于重新调整水利工程和水土保持工程计价依据中增值税税率的通知》（渝水（2019）55号）及相关配套文件。建筑工程主要采用渝水建[2021]8号文颁发的《重庆市水利建筑工程预算定额》（2021年版）；施工机械台班费采用渝水建[2021]8号文颁发的《重庆市水利工程机械台时费定额》（2021年版）；安装工程采用渝水基[2008]31号文颁发的《重庆市中小型水利水电设备安装工程预算定额》（2008年版）</w:t>
      </w:r>
      <w:r>
        <w:rPr>
          <w:rFonts w:hint="eastAsia" w:ascii="宋体" w:hAnsi="宋体" w:cs="宋体"/>
          <w:color w:val="000000" w:themeColor="text1"/>
          <w:kern w:val="0"/>
          <w:szCs w:val="21"/>
          <w:highlight w:val="none"/>
          <w:u w:val="single"/>
          <w:lang w:eastAsia="zh-CN"/>
          <w14:textFill>
            <w14:solidFill>
              <w14:schemeClr w14:val="tx1"/>
            </w14:solidFill>
          </w14:textFill>
        </w:rPr>
        <w:t>。</w:t>
      </w:r>
    </w:p>
    <w:p w14:paraId="4D899FA6">
      <w:pPr>
        <w:adjustRightInd w:val="0"/>
        <w:snapToGrid w:val="0"/>
        <w:spacing w:line="360" w:lineRule="auto"/>
        <w:ind w:firstLine="420" w:firstLineChars="200"/>
        <w:rPr>
          <w:rFonts w:hint="eastAsia" w:ascii="宋体" w:hAnsi="宋体" w:cs="宋体"/>
          <w:color w:val="000000" w:themeColor="text1"/>
          <w:kern w:val="0"/>
          <w:szCs w:val="21"/>
          <w:highlight w:val="none"/>
          <w:u w:val="none"/>
          <w:lang w:eastAsia="zh-CN"/>
          <w14:textFill>
            <w14:solidFill>
              <w14:schemeClr w14:val="tx1"/>
            </w14:solidFill>
          </w14:textFill>
        </w:rPr>
      </w:pPr>
      <w:r>
        <w:rPr>
          <w:rFonts w:hint="eastAsia" w:ascii="宋体" w:hAnsi="宋体" w:cs="宋体"/>
          <w:color w:val="000000" w:themeColor="text1"/>
          <w:kern w:val="0"/>
          <w:szCs w:val="21"/>
          <w:highlight w:val="none"/>
          <w:u w:val="none"/>
          <w14:textFill>
            <w14:solidFill>
              <w14:schemeClr w14:val="tx1"/>
            </w14:solidFill>
          </w14:textFill>
        </w:rPr>
        <w:t>以上定额缺项的，参照</w:t>
      </w:r>
      <w:r>
        <w:rPr>
          <w:rFonts w:hint="eastAsia" w:ascii="宋体" w:hAnsi="宋体" w:cs="宋体"/>
          <w:color w:val="000000" w:themeColor="text1"/>
          <w:kern w:val="0"/>
          <w:szCs w:val="21"/>
          <w:highlight w:val="none"/>
          <w:u w:val="none"/>
          <w:lang w:eastAsia="zh-CN"/>
          <w14:textFill>
            <w14:solidFill>
              <w14:schemeClr w14:val="tx1"/>
            </w14:solidFill>
          </w14:textFill>
        </w:rPr>
        <w:t>：</w:t>
      </w:r>
    </w:p>
    <w:p w14:paraId="226825C7">
      <w:pPr>
        <w:adjustRightInd w:val="0"/>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一）如果《重庆市水利建筑工程预算定额》（2021年版）及其配套定额、文件没有适用于变更（新增）项目单价编制的定额子目，可借用全国水利定额、水利电力定额、其他省、市及自治区的水利定额的定额消耗量，人、材、机预算单价需严格按《重庆市水利工程机械台时费定额》（2021年版）、《重庆市水利工程设计概（估）算编制规定》（2021年版）和重庆市水利工程造价管理站发布的《关于公布重庆市水利工程人工费价格信息的通知》及其他配套文件编制执行。</w:t>
      </w:r>
    </w:p>
    <w:p w14:paraId="1D25B0E0">
      <w:pPr>
        <w:adjustRightInd w:val="0"/>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（二）如果2021年版</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重庆市水利定额</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及其他</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水利定额</w:t>
      </w:r>
      <w:r>
        <w:rPr>
          <w:rFonts w:hint="eastAsia" w:ascii="宋体" w:hAnsi="宋体" w:cs="宋体"/>
          <w:color w:val="000000" w:themeColor="text1"/>
          <w:kern w:val="0"/>
          <w:szCs w:val="21"/>
          <w:highlight w:val="none"/>
          <w:u w:val="single"/>
          <w:lang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和配套的定额、文件均没有适用于变更（新增）项目单价编制的定额子目，由承包人报建设单位同意后，可借用重庆市2018定额及相关配套文件编制执行。</w:t>
      </w:r>
    </w:p>
    <w:p w14:paraId="54BCC5F9">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三）变更（新增）项目中涉及的主要材料、设备及未计价材料、设备部分预算单价的确定，在确定技术标准、质量要求后，原则上由建设单位组织项目承建方、监理方及相关主管部门，在不设条件的情况下进行不少于三家供应商的市场询价调研，最终以单项材料、设备的最低价（不含税价）加运杂费、采管费后，作为变更（新增）项目的主要材料、设备及未计价材料、设备部分的预算单价。</w:t>
      </w:r>
    </w:p>
    <w:p w14:paraId="744F3FB6">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（四）变更（新增）项目中涉及的次要材料、设备部分预算单价的确定，按变更（新增）项目实施当月《重庆工程造价信息》发布的指导价格执行</w:t>
      </w:r>
      <w:r>
        <w:rPr>
          <w:rFonts w:hint="eastAsia" w:ascii="宋体" w:hAnsi="宋体" w:cs="宋体"/>
          <w:color w:val="000000" w:themeColor="text1"/>
          <w:kern w:val="0"/>
          <w:szCs w:val="21"/>
          <w:highlight w:val="none"/>
          <w14:textFill>
            <w14:solidFill>
              <w14:schemeClr w14:val="tx1"/>
            </w14:solidFill>
          </w14:textFill>
        </w:rPr>
        <w:t>。</w:t>
      </w:r>
    </w:p>
    <w:p w14:paraId="661C4ECE">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承包人报价下浮比例按下列公式计算：承包人报价下浮比例=（1-中标价/招标控制价）×100%。</w:t>
      </w:r>
    </w:p>
    <w:p w14:paraId="3EECCC7B">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（1）人工单价：</w:t>
      </w:r>
      <w:r>
        <w:rPr>
          <w:rFonts w:hint="eastAsia" w:ascii="宋体" w:hAnsi="宋体"/>
          <w:color w:val="000000" w:themeColor="text1"/>
          <w:szCs w:val="21"/>
          <w:highlight w:val="none"/>
          <w:u w:val="single"/>
          <w14:textFill>
            <w14:solidFill>
              <w14:schemeClr w14:val="tx1"/>
            </w14:solidFill>
          </w14:textFill>
        </w:rPr>
        <w:t>按开标当期重庆市水利局及其授权的工程造价管理机构发布的项目所在地的人工单价执行。</w:t>
      </w:r>
    </w:p>
    <w:p w14:paraId="0AFC53F0">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（2）材料单价：</w:t>
      </w:r>
    </w:p>
    <w:p w14:paraId="7BF07C85">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①按开标当期《重庆工程造价信息》发布的项目所在地的信息价执行；</w:t>
      </w:r>
    </w:p>
    <w:p w14:paraId="4C078A4B">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②开标当期《重庆工程造价信息》中没有的，承包人投标报价中有的，按承包人投标报价中相同材料单价的最低值执行；</w:t>
      </w:r>
    </w:p>
    <w:p w14:paraId="2117DA62">
      <w:pPr>
        <w:adjustRightInd w:val="0"/>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③开标当期《重庆工程造价信息》和承包人投标报价没有的，由承包人申报、监理人会同跟审单位、发包人根据市场行情认质核价确定。</w:t>
      </w:r>
    </w:p>
    <w:p w14:paraId="1BEB5F5E">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本款补充15.4.4、15.4.5项如下：</w:t>
      </w:r>
    </w:p>
    <w:p w14:paraId="533B0AB9">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15.4.4</w:t>
      </w:r>
      <w:r>
        <w:rPr>
          <w:rFonts w:hint="eastAsia" w:ascii="宋体" w:hAnsi="宋体" w:cs="宋体"/>
          <w:color w:val="000000" w:themeColor="text1"/>
          <w:kern w:val="0"/>
          <w:szCs w:val="21"/>
          <w:highlight w:val="none"/>
          <w:u w:val="single"/>
          <w14:textFill>
            <w14:solidFill>
              <w14:schemeClr w14:val="tx1"/>
            </w14:solidFill>
          </w14:textFill>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098F5398">
      <w:pPr>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15.4.5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753BE07E">
      <w:pPr>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 xml:space="preserve">安全生产费应按照实际发生变化的工程项目依据按照重庆市水利局办公室关于印发《重庆 </w:t>
      </w:r>
    </w:p>
    <w:p w14:paraId="6717A2AA">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市水利局办公室关于调整水利工程计价依据安全生产费计算标准的通知》（渝水办建〔2023〕8 号） 的规定，按变更后建筑安装工程项目总造价的 2.5%标准计提安全生产费用</w:t>
      </w:r>
      <w:r>
        <w:rPr>
          <w:rFonts w:hint="eastAsia" w:ascii="宋体" w:hAnsi="宋体" w:cs="宋体"/>
          <w:color w:val="000000" w:themeColor="text1"/>
          <w:kern w:val="0"/>
          <w:szCs w:val="21"/>
          <w:highlight w:val="none"/>
          <w14:textFill>
            <w14:solidFill>
              <w14:schemeClr w14:val="tx1"/>
            </w14:solidFill>
          </w14:textFill>
        </w:rPr>
        <w:t>；</w:t>
      </w:r>
    </w:p>
    <w:p w14:paraId="6625FEB4">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（2）按总价（或系数）计算的临时工程费，应按照实际发生变化的临时工程费按承包人报价浮动率下浮后的金额计算；</w:t>
      </w:r>
    </w:p>
    <w:p w14:paraId="2DAF4EE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（3）如果承包人未事前将拟实施的方案提交给发包人确认，则应视为工程变更不引起安全生产费和临时工程费的调整或承包人放弃调整该项费用的权利。</w:t>
      </w:r>
    </w:p>
    <w:p w14:paraId="1ABB01F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52" w:name="_Toc33183758"/>
      <w:r>
        <w:rPr>
          <w:rFonts w:hint="eastAsia" w:ascii="宋体" w:hAnsi="宋体" w:cs="宋体"/>
          <w:color w:val="000000" w:themeColor="text1"/>
          <w:szCs w:val="21"/>
          <w:highlight w:val="none"/>
          <w14:textFill>
            <w14:solidFill>
              <w14:schemeClr w14:val="tx1"/>
            </w14:solidFill>
          </w14:textFill>
        </w:rPr>
        <w:t>15.5承包人的合理化建议</w:t>
      </w:r>
      <w:bookmarkEnd w:id="952"/>
    </w:p>
    <w:p w14:paraId="17B7F8B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15.5.1 </w:t>
      </w:r>
      <w:r>
        <w:rPr>
          <w:rFonts w:hint="eastAsia" w:ascii="宋体" w:hAnsi="宋体" w:cs="宋体"/>
          <w:color w:val="000000" w:themeColor="text1"/>
          <w:kern w:val="0"/>
          <w:szCs w:val="21"/>
          <w:highlight w:val="none"/>
          <w14:textFill>
            <w14:solidFill>
              <w14:schemeClr w14:val="tx1"/>
            </w14:solidFill>
          </w14:textFill>
        </w:rPr>
        <w:t>承包人提出合理化建议的，应向监理人提交合理化建议说明，说明建议的内容和理由，以及实施该建议对合同价格和（或）工期和（或）工程经济效益的影响。</w:t>
      </w:r>
    </w:p>
    <w:p w14:paraId="5918E7B6">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监理人审查承包人合理化建议的期限：</w:t>
      </w:r>
      <w:r>
        <w:rPr>
          <w:rFonts w:hint="eastAsia" w:ascii="宋体" w:hAnsi="宋体" w:cs="宋体"/>
          <w:color w:val="000000" w:themeColor="text1"/>
          <w:kern w:val="0"/>
          <w:szCs w:val="21"/>
          <w:highlight w:val="none"/>
          <w:u w:val="single"/>
          <w14:textFill>
            <w14:solidFill>
              <w14:schemeClr w14:val="tx1"/>
            </w14:solidFill>
          </w14:textFill>
        </w:rPr>
        <w:t>不超过14天</w:t>
      </w:r>
      <w:r>
        <w:rPr>
          <w:rFonts w:hint="eastAsia" w:ascii="宋体" w:hAnsi="宋体" w:cs="宋体"/>
          <w:color w:val="000000" w:themeColor="text1"/>
          <w:kern w:val="0"/>
          <w:szCs w:val="21"/>
          <w:highlight w:val="none"/>
          <w14:textFill>
            <w14:solidFill>
              <w14:schemeClr w14:val="tx1"/>
            </w14:solidFill>
          </w14:textFill>
        </w:rPr>
        <w:t>。</w:t>
      </w:r>
    </w:p>
    <w:p w14:paraId="42C674B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发包人审批承包人合理化建议的期限：</w:t>
      </w:r>
      <w:r>
        <w:rPr>
          <w:rFonts w:hint="eastAsia" w:ascii="宋体" w:hAnsi="宋体" w:cs="宋体"/>
          <w:color w:val="000000" w:themeColor="text1"/>
          <w:kern w:val="0"/>
          <w:szCs w:val="21"/>
          <w:highlight w:val="none"/>
          <w:u w:val="single"/>
          <w14:textFill>
            <w14:solidFill>
              <w14:schemeClr w14:val="tx1"/>
            </w14:solidFill>
          </w14:textFill>
        </w:rPr>
        <w:t>不超过14天</w:t>
      </w:r>
      <w:r>
        <w:rPr>
          <w:rFonts w:hint="eastAsia" w:ascii="宋体" w:hAnsi="宋体" w:cs="宋体"/>
          <w:color w:val="000000" w:themeColor="text1"/>
          <w:kern w:val="0"/>
          <w:szCs w:val="21"/>
          <w:highlight w:val="none"/>
          <w14:textFill>
            <w14:solidFill>
              <w14:schemeClr w14:val="tx1"/>
            </w14:solidFill>
          </w14:textFill>
        </w:rPr>
        <w:t>。</w:t>
      </w:r>
    </w:p>
    <w:p w14:paraId="48697A86">
      <w:pPr>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15.5.2 </w:t>
      </w:r>
      <w:bookmarkEnd w:id="949"/>
      <w:bookmarkStart w:id="953" w:name="_Toc221951219"/>
      <w:r>
        <w:rPr>
          <w:rFonts w:hint="eastAsia" w:ascii="宋体" w:hAnsi="宋体" w:cs="宋体"/>
          <w:color w:val="000000" w:themeColor="text1"/>
          <w:kern w:val="0"/>
          <w:szCs w:val="21"/>
          <w:highlight w:val="none"/>
          <w14:textFill>
            <w14:solidFill>
              <w14:schemeClr w14:val="tx1"/>
            </w14:solidFill>
          </w14:textFill>
        </w:rPr>
        <w:t>承包人提出的合理化建议降低了合同价格或缩短了工期或者提高了工程经济效益的奖励的方法和金额为：</w:t>
      </w:r>
      <w:r>
        <w:rPr>
          <w:rFonts w:hint="eastAsia" w:ascii="宋体" w:hAnsi="宋体" w:cs="宋体"/>
          <w:color w:val="000000" w:themeColor="text1"/>
          <w:kern w:val="0"/>
          <w:szCs w:val="21"/>
          <w:highlight w:val="none"/>
          <w:u w:val="single"/>
          <w14:textFill>
            <w14:solidFill>
              <w14:schemeClr w14:val="tx1"/>
            </w14:solidFill>
          </w14:textFill>
        </w:rPr>
        <w:t>合理化建议带来经济效益的5～10 %</w:t>
      </w:r>
      <w:r>
        <w:rPr>
          <w:rFonts w:hint="eastAsia" w:ascii="宋体" w:hAnsi="宋体" w:cs="宋体"/>
          <w:color w:val="000000" w:themeColor="text1"/>
          <w:kern w:val="0"/>
          <w:szCs w:val="21"/>
          <w:highlight w:val="none"/>
          <w14:textFill>
            <w14:solidFill>
              <w14:schemeClr w14:val="tx1"/>
            </w14:solidFill>
          </w14:textFill>
        </w:rPr>
        <w:t>。</w:t>
      </w:r>
    </w:p>
    <w:bookmarkEnd w:id="953"/>
    <w:p w14:paraId="5E00A0F4">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54" w:name="_Toc221951221"/>
      <w:r>
        <w:rPr>
          <w:rFonts w:hint="eastAsia" w:ascii="宋体" w:hAnsi="宋体" w:cs="宋体"/>
          <w:color w:val="000000" w:themeColor="text1"/>
          <w:szCs w:val="21"/>
          <w:highlight w:val="none"/>
          <w14:textFill>
            <w14:solidFill>
              <w14:schemeClr w14:val="tx1"/>
            </w14:solidFill>
          </w14:textFill>
        </w:rPr>
        <w:t>15.6暂列金额</w:t>
      </w:r>
    </w:p>
    <w:p w14:paraId="5CCAE529">
      <w:pPr>
        <w:pStyle w:val="2"/>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合同当事人关于暂列金额使用的约定：</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41566DB">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15.8  暂估价</w:t>
      </w:r>
      <w:bookmarkEnd w:id="954"/>
    </w:p>
    <w:p w14:paraId="27D1F00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955" w:name="_Toc221951222"/>
      <w:r>
        <w:rPr>
          <w:rFonts w:hint="eastAsia" w:ascii="宋体" w:hAnsi="宋体" w:cs="宋体"/>
          <w:color w:val="000000" w:themeColor="text1"/>
          <w:kern w:val="0"/>
          <w:szCs w:val="21"/>
          <w:highlight w:val="none"/>
          <w14:textFill>
            <w14:solidFill>
              <w14:schemeClr w14:val="tx1"/>
            </w14:solidFill>
          </w14:textFill>
        </w:rPr>
        <w:t>15.8.1（1）发包人和承包人组织招标的暂估价项目：</w:t>
      </w:r>
      <w:r>
        <w:rPr>
          <w:rFonts w:hint="eastAsia" w:ascii="宋体" w:hAnsi="宋体" w:cs="宋体"/>
          <w:color w:val="000000" w:themeColor="text1"/>
          <w:kern w:val="0"/>
          <w:szCs w:val="21"/>
          <w:highlight w:val="none"/>
          <w:u w:val="single"/>
          <w14:textFill>
            <w14:solidFill>
              <w14:schemeClr w14:val="tx1"/>
            </w14:solidFill>
          </w14:textFill>
        </w:rPr>
        <w:t xml:space="preserve">  （签约后填入）  </w:t>
      </w:r>
      <w:r>
        <w:rPr>
          <w:rFonts w:hint="eastAsia" w:ascii="宋体" w:hAnsi="宋体" w:cs="宋体"/>
          <w:color w:val="000000" w:themeColor="text1"/>
          <w:kern w:val="0"/>
          <w:szCs w:val="21"/>
          <w:highlight w:val="none"/>
          <w14:textFill>
            <w14:solidFill>
              <w14:schemeClr w14:val="tx1"/>
            </w14:solidFill>
          </w14:textFill>
        </w:rPr>
        <w:t>；发包人组织招标的暂估价项目：</w:t>
      </w:r>
      <w:r>
        <w:rPr>
          <w:rFonts w:hint="eastAsia" w:ascii="宋体" w:hAnsi="宋体" w:cs="宋体"/>
          <w:color w:val="000000" w:themeColor="text1"/>
          <w:kern w:val="0"/>
          <w:szCs w:val="21"/>
          <w:highlight w:val="none"/>
          <w:u w:val="single"/>
          <w14:textFill>
            <w14:solidFill>
              <w14:schemeClr w14:val="tx1"/>
            </w14:solidFill>
          </w14:textFill>
        </w:rPr>
        <w:t xml:space="preserve">   （签约后填入）  </w:t>
      </w:r>
      <w:r>
        <w:rPr>
          <w:rFonts w:hint="eastAsia" w:ascii="宋体" w:hAnsi="宋体" w:cs="宋体"/>
          <w:color w:val="000000" w:themeColor="text1"/>
          <w:kern w:val="0"/>
          <w:szCs w:val="21"/>
          <w:highlight w:val="none"/>
          <w14:textFill>
            <w14:solidFill>
              <w14:schemeClr w14:val="tx1"/>
            </w14:solidFill>
          </w14:textFill>
        </w:rPr>
        <w:t>。</w:t>
      </w:r>
    </w:p>
    <w:p w14:paraId="6502CB0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（2）发包人和承包人以招标方式选择暂估价项目供应商或分包人时，双方的权利义务关系：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664C109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57FEC10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单项合同暂估价在国家相关法律法规规定必须招标规模以上的，需依法必须招标的，由承包人、发包人共同招标确定。</w:t>
      </w:r>
    </w:p>
    <w:bookmarkEnd w:id="955"/>
    <w:p w14:paraId="22C91268">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56" w:name="_Toc229305397"/>
      <w:bookmarkStart w:id="957" w:name="_Toc15232"/>
      <w:bookmarkStart w:id="958" w:name="_Toc33183759"/>
      <w:bookmarkStart w:id="959" w:name="_Toc12983"/>
      <w:bookmarkStart w:id="960" w:name="_Toc59810419"/>
      <w:r>
        <w:rPr>
          <w:rFonts w:hint="eastAsia" w:ascii="宋体" w:hAnsi="宋体" w:cs="宋体"/>
          <w:color w:val="000000" w:themeColor="text1"/>
          <w:sz w:val="21"/>
          <w:szCs w:val="21"/>
          <w:highlight w:val="none"/>
          <w14:textFill>
            <w14:solidFill>
              <w14:schemeClr w14:val="tx1"/>
            </w14:solidFill>
          </w14:textFill>
        </w:rPr>
        <w:t>16.价格调整</w:t>
      </w:r>
      <w:bookmarkEnd w:id="956"/>
      <w:bookmarkEnd w:id="957"/>
      <w:bookmarkEnd w:id="958"/>
      <w:bookmarkEnd w:id="959"/>
      <w:bookmarkEnd w:id="960"/>
    </w:p>
    <w:p w14:paraId="240D8E2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物价波动原因是否调整合同价格的约定：</w:t>
      </w:r>
      <w:r>
        <w:rPr>
          <w:rFonts w:hint="eastAsia" w:ascii="宋体" w:hAnsi="宋体" w:cs="宋体"/>
          <w:color w:val="000000" w:themeColor="text1"/>
          <w:kern w:val="0"/>
          <w:szCs w:val="21"/>
          <w:highlight w:val="none"/>
          <w:u w:val="single"/>
          <w14:textFill>
            <w14:solidFill>
              <w14:schemeClr w14:val="tx1"/>
            </w14:solidFill>
          </w14:textFill>
        </w:rPr>
        <w:t>合同工期一年以上（含一年），且市场价格波动幅度符合第16.1.2.1目〔人工费价差调整办法〕和（或）第16.1.2.2目〔材料费价差调整办法〕约定的，按第16.1.2.1目〔人工费价差调整办法〕和（或）第16.1.2.2目〔材料费价差调整办法〕约定调整合同价格；第16.1.2.1目〔人工费价差调整办法〕和（或）第16.1.2.2目〔材料费价差调整办法〕约定的调差条件之外的市场价格波动风险不调整合同价格，风险费用由承包人自行考虑后纳入签约合同价格中，包干使用</w:t>
      </w:r>
      <w:r>
        <w:rPr>
          <w:rFonts w:hint="eastAsia" w:ascii="宋体" w:hAnsi="宋体" w:cs="宋体"/>
          <w:color w:val="000000" w:themeColor="text1"/>
          <w:kern w:val="0"/>
          <w:szCs w:val="21"/>
          <w:highlight w:val="none"/>
          <w14:textFill>
            <w14:solidFill>
              <w14:schemeClr w14:val="tx1"/>
            </w14:solidFill>
          </w14:textFill>
        </w:rPr>
        <w:t>。</w:t>
      </w:r>
    </w:p>
    <w:p w14:paraId="2AC94FCA">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61" w:name="_Toc33183760"/>
      <w:r>
        <w:rPr>
          <w:rFonts w:hint="eastAsia" w:ascii="宋体" w:hAnsi="宋体" w:cs="宋体"/>
          <w:color w:val="000000" w:themeColor="text1"/>
          <w:szCs w:val="21"/>
          <w:highlight w:val="none"/>
          <w14:textFill>
            <w14:solidFill>
              <w14:schemeClr w14:val="tx1"/>
            </w14:solidFill>
          </w14:textFill>
        </w:rPr>
        <w:t>16.1 物价波动引起的价格调整</w:t>
      </w:r>
      <w:bookmarkEnd w:id="961"/>
    </w:p>
    <w:p w14:paraId="4A09AF6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物价波动引起的价格调整方式：</w:t>
      </w:r>
      <w:r>
        <w:rPr>
          <w:rFonts w:hint="eastAsia" w:ascii="宋体" w:hAnsi="宋体" w:cs="宋体"/>
          <w:color w:val="000000" w:themeColor="text1"/>
          <w:szCs w:val="21"/>
          <w:highlight w:val="none"/>
          <w:u w:val="single"/>
          <w14:textFill>
            <w14:solidFill>
              <w14:schemeClr w14:val="tx1"/>
            </w14:solidFill>
          </w14:textFill>
        </w:rPr>
        <w:t xml:space="preserve"> 采用造价信息调整价格差额</w:t>
      </w:r>
      <w:r>
        <w:rPr>
          <w:rFonts w:hint="eastAsia" w:ascii="宋体" w:hAnsi="宋体" w:cs="宋体"/>
          <w:color w:val="000000" w:themeColor="text1"/>
          <w:szCs w:val="21"/>
          <w:highlight w:val="none"/>
          <w14:textFill>
            <w14:solidFill>
              <w14:schemeClr w14:val="tx1"/>
            </w14:solidFill>
          </w14:textFill>
        </w:rPr>
        <w:t>。</w:t>
      </w:r>
    </w:p>
    <w:p w14:paraId="727C232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w:t>
      </w:r>
      <w:r>
        <w:rPr>
          <w:rFonts w:hint="eastAsia" w:ascii="宋体" w:hAnsi="宋体" w:cs="宋体"/>
          <w:color w:val="000000" w:themeColor="text1"/>
          <w:kern w:val="0"/>
          <w:szCs w:val="21"/>
          <w:highlight w:val="none"/>
          <w:u w:val="single"/>
          <w14:textFill>
            <w14:solidFill>
              <w14:schemeClr w14:val="tx1"/>
            </w14:solidFill>
          </w14:textFill>
        </w:rPr>
        <w:t>采用价格指数进行价格调整</w:t>
      </w:r>
    </w:p>
    <w:p w14:paraId="3E4E46A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关于各可调因子、定值和变值权重，以及基本价格指数及其来源的约定：</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2A140A7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  采用造价信息调整价格差额</w:t>
      </w:r>
      <w:r>
        <w:rPr>
          <w:rFonts w:hint="eastAsia" w:ascii="宋体" w:hAnsi="宋体" w:cs="宋体"/>
          <w:color w:val="000000" w:themeColor="text1"/>
          <w:kern w:val="0"/>
          <w:szCs w:val="21"/>
          <w:highlight w:val="none"/>
          <w14:textFill>
            <w14:solidFill>
              <w14:schemeClr w14:val="tx1"/>
            </w14:solidFill>
          </w14:textFill>
        </w:rPr>
        <w:t>，调整方法如下</w:t>
      </w:r>
      <w:r>
        <w:rPr>
          <w:rFonts w:hint="eastAsia" w:ascii="宋体" w:hAnsi="宋体" w:cs="宋体"/>
          <w:color w:val="000000" w:themeColor="text1"/>
          <w:szCs w:val="21"/>
          <w:highlight w:val="none"/>
          <w14:textFill>
            <w14:solidFill>
              <w14:schemeClr w14:val="tx1"/>
            </w14:solidFill>
          </w14:textFill>
        </w:rPr>
        <w:t>：</w:t>
      </w:r>
    </w:p>
    <w:p w14:paraId="30FAEFA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16.1.2.1人工费价差调整办法</w:t>
      </w:r>
    </w:p>
    <w:p w14:paraId="6E754C29">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（1）自实际开工时间起至合同约定的工期结束时间止，施工期间</w:t>
      </w:r>
      <w:r>
        <w:rPr>
          <w:rFonts w:hint="eastAsia" w:ascii="宋体" w:hAnsi="宋体" w:cs="宋体"/>
          <w:color w:val="000000" w:themeColor="text1"/>
          <w:szCs w:val="21"/>
          <w:highlight w:val="none"/>
          <w:u w:val="single"/>
          <w14:textFill>
            <w14:solidFill>
              <w14:schemeClr w14:val="tx1"/>
            </w14:solidFill>
          </w14:textFill>
        </w:rPr>
        <w:t>按重庆市水利局或其授权的工程造价管理机构</w:t>
      </w:r>
      <w:r>
        <w:rPr>
          <w:rFonts w:hint="eastAsia" w:ascii="宋体" w:hAnsi="宋体" w:cs="宋体"/>
          <w:color w:val="000000" w:themeColor="text1"/>
          <w:kern w:val="0"/>
          <w:szCs w:val="21"/>
          <w:highlight w:val="none"/>
          <w:u w:val="single"/>
          <w14:textFill>
            <w14:solidFill>
              <w14:schemeClr w14:val="tx1"/>
            </w14:solidFill>
          </w14:textFill>
        </w:rPr>
        <w:t>发布对应专业人工单价的算术平均值较</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u w:val="single"/>
          <w14:textFill>
            <w14:solidFill>
              <w14:schemeClr w14:val="tx1"/>
            </w14:solidFill>
          </w14:textFill>
        </w:rPr>
        <w:t>发布的对应专业人工单价变化超过±5%时</w:t>
      </w:r>
      <w:r>
        <w:rPr>
          <w:rFonts w:hint="eastAsia" w:ascii="宋体" w:hAnsi="宋体" w:cs="宋体"/>
          <w:color w:val="000000" w:themeColor="text1"/>
          <w:kern w:val="0"/>
          <w:szCs w:val="21"/>
          <w:highlight w:val="none"/>
          <w14:textFill>
            <w14:solidFill>
              <w14:schemeClr w14:val="tx1"/>
            </w14:solidFill>
          </w14:textFill>
        </w:rPr>
        <w:t>，按以下约定调整：</w:t>
      </w:r>
    </w:p>
    <w:p w14:paraId="32529BBD">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①已标价工程量清单中载明人工单价不高于</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u w:val="single"/>
          <w14:textFill>
            <w14:solidFill>
              <w14:schemeClr w14:val="tx1"/>
            </w14:solidFill>
          </w14:textFill>
        </w:rPr>
        <w:t>对应专业发布的人工单价的：按期间对应专业发布的人工单价的算术平均值-</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u w:val="single"/>
          <w14:textFill>
            <w14:solidFill>
              <w14:schemeClr w14:val="tx1"/>
            </w14:solidFill>
          </w14:textFill>
        </w:rPr>
        <w:t>对应专业发布的人工单价*（1±5%）调差。</w:t>
      </w:r>
    </w:p>
    <w:p w14:paraId="0BADB793">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②已标价工程量清单中载明人工单价高于</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u w:val="single"/>
          <w14:textFill>
            <w14:solidFill>
              <w14:schemeClr w14:val="tx1"/>
            </w14:solidFill>
          </w14:textFill>
        </w:rPr>
        <w:t>对应专业发布的人工单价的，按期间对应专业发布人工单价的算术平均值-已标价工程量清单中载明人工单价*（1±5%）调差。</w:t>
      </w:r>
    </w:p>
    <w:p w14:paraId="6B917EA6">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工程量按照第17〔计量与支付〕约定计算，单位工程的人工消耗量按承包人投标报价的消耗量执行（承包人投标报价的单位工程人工消耗量高于定额单位工程人工消耗量的，按相应行业定额的人工消耗量执行）。</w:t>
      </w:r>
    </w:p>
    <w:p w14:paraId="7D4EBBEC">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16.1.2.2 材料费价差调整办法</w:t>
      </w:r>
    </w:p>
    <w:p w14:paraId="29D29BF6">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可调价差材料：</w:t>
      </w:r>
      <w:r>
        <w:rPr>
          <w:rFonts w:hint="eastAsia" w:ascii="宋体" w:hAnsi="宋体" w:cs="宋体"/>
          <w:color w:val="000000" w:themeColor="text1"/>
          <w:kern w:val="0"/>
          <w:szCs w:val="21"/>
          <w:highlight w:val="none"/>
          <w:u w:val="single"/>
          <w14:textFill>
            <w14:solidFill>
              <w14:schemeClr w14:val="tx1"/>
            </w14:solidFill>
          </w14:textFill>
        </w:rPr>
        <w:t>水泥、商品砼、碎石、砂、钢筋、型钢、条石、片（块）石、火工材料、止水材料、预应力钢绞线、沥青混凝土、水泥稳定碎石拌和料、预拌商品砂浆、砌筑材料等主要材料（可按工程使用的具体材料确定）</w:t>
      </w:r>
      <w:r>
        <w:rPr>
          <w:rFonts w:hint="eastAsia" w:ascii="宋体" w:hAnsi="宋体" w:cs="宋体"/>
          <w:color w:val="000000" w:themeColor="text1"/>
          <w:kern w:val="0"/>
          <w:szCs w:val="21"/>
          <w:highlight w:val="none"/>
          <w14:textFill>
            <w14:solidFill>
              <w14:schemeClr w14:val="tx1"/>
            </w14:solidFill>
          </w14:textFill>
        </w:rPr>
        <w:t>。</w:t>
      </w:r>
    </w:p>
    <w:p w14:paraId="704E4FD7">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可调价差材料的价差调整办法如下：</w:t>
      </w:r>
    </w:p>
    <w:p w14:paraId="7725F58F">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（1）自实际开工时间起至合同约定的工期结束时间止，期间《重庆工程造价信息》发布的信息价的算术平均值较</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14:textFill>
            <w14:solidFill>
              <w14:schemeClr w14:val="tx1"/>
            </w14:solidFill>
          </w14:textFill>
        </w:rPr>
        <w:t>《重庆工程造价信息》发布的</w:t>
      </w:r>
      <w:r>
        <w:rPr>
          <w:rFonts w:hint="eastAsia" w:ascii="宋体" w:hAnsi="宋体"/>
          <w:color w:val="000000" w:themeColor="text1"/>
          <w:szCs w:val="21"/>
          <w:highlight w:val="none"/>
          <w:u w:val="single"/>
          <w14:textFill>
            <w14:solidFill>
              <w14:schemeClr w14:val="tx1"/>
            </w14:solidFill>
          </w14:textFill>
        </w:rPr>
        <w:t>信息价变化超过±5%</w:t>
      </w:r>
      <w:r>
        <w:rPr>
          <w:rFonts w:hint="eastAsia" w:ascii="宋体" w:hAnsi="宋体" w:cs="宋体"/>
          <w:color w:val="000000" w:themeColor="text1"/>
          <w:kern w:val="0"/>
          <w:szCs w:val="21"/>
          <w:highlight w:val="none"/>
          <w14:textFill>
            <w14:solidFill>
              <w14:schemeClr w14:val="tx1"/>
            </w14:solidFill>
          </w14:textFill>
        </w:rPr>
        <w:t>时，按以下约定调整：</w:t>
      </w:r>
    </w:p>
    <w:p w14:paraId="757069DD">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①已标价工程量清单中载明材料单价不高于</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14:textFill>
            <w14:solidFill>
              <w14:schemeClr w14:val="tx1"/>
            </w14:solidFill>
          </w14:textFill>
        </w:rPr>
        <w:t>《重庆工程造价信息》发布的信息价的：按期间《重庆工程造价信息》发布信息价的算术平均值-</w:t>
      </w:r>
      <w:r>
        <w:rPr>
          <w:rFonts w:hint="eastAsia" w:ascii="宋体" w:hAnsi="宋体" w:cs="宋体"/>
          <w:color w:val="000000" w:themeColor="text1"/>
          <w:szCs w:val="21"/>
          <w:highlight w:val="none"/>
          <w:u w:val="single"/>
          <w14:textFill>
            <w14:solidFill>
              <w14:schemeClr w14:val="tx1"/>
            </w14:solidFill>
          </w14:textFill>
        </w:rPr>
        <w:t>基准日期</w:t>
      </w:r>
      <w:r>
        <w:rPr>
          <w:rFonts w:hint="eastAsia" w:ascii="宋体" w:hAnsi="宋体" w:cs="宋体"/>
          <w:color w:val="000000" w:themeColor="text1"/>
          <w:kern w:val="0"/>
          <w:szCs w:val="21"/>
          <w:highlight w:val="none"/>
          <w14:textFill>
            <w14:solidFill>
              <w14:schemeClr w14:val="tx1"/>
            </w14:solidFill>
          </w14:textFill>
        </w:rPr>
        <w:t>《重庆工程造价信息》发布的</w:t>
      </w:r>
      <w:r>
        <w:rPr>
          <w:rFonts w:hint="eastAsia" w:ascii="宋体" w:hAnsi="宋体" w:cs="宋体"/>
          <w:color w:val="000000" w:themeColor="text1"/>
          <w:kern w:val="0"/>
          <w:szCs w:val="21"/>
          <w:highlight w:val="none"/>
          <w:u w:val="single"/>
          <w14:textFill>
            <w14:solidFill>
              <w14:schemeClr w14:val="tx1"/>
            </w14:solidFill>
          </w14:textFill>
        </w:rPr>
        <w:t>信息价*</w:t>
      </w:r>
      <w:r>
        <w:rPr>
          <w:rFonts w:hint="eastAsia" w:ascii="宋体" w:hAnsi="宋体"/>
          <w:color w:val="000000" w:themeColor="text1"/>
          <w:szCs w:val="21"/>
          <w:highlight w:val="none"/>
          <w:u w:val="single"/>
          <w14:textFill>
            <w14:solidFill>
              <w14:schemeClr w14:val="tx1"/>
            </w14:solidFill>
          </w14:textFill>
        </w:rPr>
        <w:t>（1±5%）</w:t>
      </w:r>
      <w:r>
        <w:rPr>
          <w:rFonts w:hint="eastAsia" w:ascii="宋体" w:hAnsi="宋体" w:cs="宋体"/>
          <w:color w:val="000000" w:themeColor="text1"/>
          <w:kern w:val="0"/>
          <w:szCs w:val="21"/>
          <w:highlight w:val="none"/>
          <w:u w:val="single"/>
          <w14:textFill>
            <w14:solidFill>
              <w14:schemeClr w14:val="tx1"/>
            </w14:solidFill>
          </w14:textFill>
        </w:rPr>
        <w:t>调差</w:t>
      </w:r>
      <w:r>
        <w:rPr>
          <w:rFonts w:hint="eastAsia" w:ascii="宋体" w:hAnsi="宋体" w:cs="宋体"/>
          <w:color w:val="000000" w:themeColor="text1"/>
          <w:kern w:val="0"/>
          <w:szCs w:val="21"/>
          <w:highlight w:val="none"/>
          <w14:textFill>
            <w14:solidFill>
              <w14:schemeClr w14:val="tx1"/>
            </w14:solidFill>
          </w14:textFill>
        </w:rPr>
        <w:t>。</w:t>
      </w:r>
    </w:p>
    <w:p w14:paraId="6CB3F8D5">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②已标价工程量清单中载明材料单价高于开标当期《重庆工程造价信息》发布的信息价的，按期间《重庆工程造价信息》发布信息价的算术平均值-已标价工程量清单中载明</w:t>
      </w:r>
      <w:r>
        <w:rPr>
          <w:rFonts w:hint="eastAsia" w:ascii="宋体" w:hAnsi="宋体" w:cs="宋体"/>
          <w:color w:val="000000" w:themeColor="text1"/>
          <w:kern w:val="0"/>
          <w:szCs w:val="21"/>
          <w:highlight w:val="none"/>
          <w:u w:val="single"/>
          <w14:textFill>
            <w14:solidFill>
              <w14:schemeClr w14:val="tx1"/>
            </w14:solidFill>
          </w14:textFill>
        </w:rPr>
        <w:t>材料单价*</w:t>
      </w:r>
      <w:r>
        <w:rPr>
          <w:rFonts w:hint="eastAsia" w:ascii="宋体" w:hAnsi="宋体"/>
          <w:color w:val="000000" w:themeColor="text1"/>
          <w:szCs w:val="21"/>
          <w:highlight w:val="none"/>
          <w:u w:val="single"/>
          <w14:textFill>
            <w14:solidFill>
              <w14:schemeClr w14:val="tx1"/>
            </w14:solidFill>
          </w14:textFill>
        </w:rPr>
        <w:t>（1±5%）</w:t>
      </w:r>
      <w:r>
        <w:rPr>
          <w:rFonts w:hint="eastAsia" w:ascii="宋体" w:hAnsi="宋体" w:cs="宋体"/>
          <w:color w:val="000000" w:themeColor="text1"/>
          <w:kern w:val="0"/>
          <w:szCs w:val="21"/>
          <w:highlight w:val="none"/>
          <w:u w:val="single"/>
          <w14:textFill>
            <w14:solidFill>
              <w14:schemeClr w14:val="tx1"/>
            </w14:solidFill>
          </w14:textFill>
        </w:rPr>
        <w:t>调差</w:t>
      </w:r>
      <w:r>
        <w:rPr>
          <w:rFonts w:hint="eastAsia" w:ascii="宋体" w:hAnsi="宋体" w:cs="宋体"/>
          <w:color w:val="000000" w:themeColor="text1"/>
          <w:kern w:val="0"/>
          <w:szCs w:val="21"/>
          <w:highlight w:val="none"/>
          <w14:textFill>
            <w14:solidFill>
              <w14:schemeClr w14:val="tx1"/>
            </w14:solidFill>
          </w14:textFill>
        </w:rPr>
        <w:t>。</w:t>
      </w:r>
    </w:p>
    <w:p w14:paraId="4673DBD6">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工程量按照第17〔计量与支付〕约定计算，单位工程的材料消耗量按承包人投标报价的消耗量执行（承包人投标报价的单位工程材料消耗量高于定额单位工程材料消耗量的，按相应行业定额的材料消耗量执行）。</w:t>
      </w:r>
    </w:p>
    <w:p w14:paraId="5BA1DE5C">
      <w:pPr>
        <w:spacing w:line="360" w:lineRule="auto"/>
        <w:ind w:firstLine="645"/>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第3种方式：其他价格调整方式：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83ED89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法律变化引起的调整</w:t>
      </w:r>
    </w:p>
    <w:p w14:paraId="1FD9DBF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14:paraId="112CF8F9">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本条补充16.3款如下;</w:t>
      </w:r>
    </w:p>
    <w:p w14:paraId="292AD29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 严重不平衡报价引起的调整</w:t>
      </w:r>
    </w:p>
    <w:p w14:paraId="4905A2E4">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15.4.3项〔变更的估价原则〕约定执行。</w:t>
      </w:r>
    </w:p>
    <w:p w14:paraId="7ECAD8CC">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严重不平衡报价是指：清单子目综合单价与发包人按照第15.4.3项〔变更的估价原则〕目约定确定的综合单价相比高于50%的报价，即为“【严重不平衡报价清单子目综合单价 - 按照第15.4.3项〔变更的估价原则〕约定确定的综合单价】/按照第15.4.3项〔变更的估价原则〕目约定确定的综合单价×100%”。</w:t>
      </w:r>
    </w:p>
    <w:p w14:paraId="59C6308A">
      <w:pPr>
        <w:pStyle w:val="2"/>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16.4 因算术性错误导致的价格调整</w:t>
      </w:r>
    </w:p>
    <w:p w14:paraId="09DCD24B">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发包人在合同签订前将对承包人“已标价工程量清单”进行复核，若出现差错的按以下原则进行处理（或结算）：</w:t>
      </w:r>
    </w:p>
    <w:p w14:paraId="2C01F1A8">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报价汇总计算结果与投标函总报价不一致时，按就低不就高原则进行修正，即：汇总计算结果高于投标函总报价则以投标函总报价为准，按汇总计算结果与投标函总报价相比的降低幅度同比例修正分组报价和各清单子目单价；汇总计算结果低于投标函总报价则以投标总报价汇总计算结果为准进行签约或结算；</w:t>
      </w:r>
    </w:p>
    <w:p w14:paraId="3954690D">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（2）依据单价和数量计算结果与其合价不符的，按不利于投标人原则（就低不就高）对其单价和合价进行修正。</w:t>
      </w:r>
    </w:p>
    <w:p w14:paraId="2685F3E7">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（3）单价报价超过工程量清单综合单价最高限价的，以工程量清单综合单价最高限价为基础，按照中标总报价与总价最高限价的下浮比例进行同比例下调修正其单价和合价。</w:t>
      </w:r>
    </w:p>
    <w:p w14:paraId="6F94ACE7">
      <w:pPr>
        <w:pStyle w:val="2"/>
        <w:spacing w:after="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（4）工程量清单漏项的，按该项单价为0进行修正（即视为该项工作内容的报价已包括在其他项目报价内），超出</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提供的工程量清单范围的清单项目报价不予认可，按该清单项目报价为0对其单价和合价进行修正。</w:t>
      </w:r>
    </w:p>
    <w:p w14:paraId="1186E876">
      <w:pPr>
        <w:pStyle w:val="2"/>
        <w:spacing w:after="0"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上述内容，承包人必须无条件接受，否则按承包人违约处理。</w:t>
      </w:r>
    </w:p>
    <w:p w14:paraId="51DCD67A">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62" w:name="_Toc16403"/>
      <w:bookmarkStart w:id="963" w:name="_Toc222033891"/>
      <w:bookmarkStart w:id="964" w:name="_Toc222029540"/>
      <w:bookmarkStart w:id="965" w:name="_Toc222032709"/>
      <w:bookmarkStart w:id="966" w:name="_Toc33183761"/>
      <w:bookmarkStart w:id="967" w:name="_Toc19989"/>
      <w:bookmarkStart w:id="968" w:name="_Toc221951223"/>
      <w:bookmarkStart w:id="969" w:name="_Toc222031042"/>
      <w:bookmarkStart w:id="970" w:name="_Toc59810420"/>
      <w:bookmarkStart w:id="971" w:name="_Toc229305398"/>
      <w:r>
        <w:rPr>
          <w:rFonts w:hint="eastAsia" w:ascii="宋体" w:hAnsi="宋体" w:cs="宋体"/>
          <w:color w:val="000000" w:themeColor="text1"/>
          <w:sz w:val="21"/>
          <w:szCs w:val="21"/>
          <w:highlight w:val="none"/>
          <w14:textFill>
            <w14:solidFill>
              <w14:schemeClr w14:val="tx1"/>
            </w14:solidFill>
          </w14:textFill>
        </w:rPr>
        <w:t>17.计量与支付</w:t>
      </w:r>
      <w:bookmarkEnd w:id="962"/>
      <w:bookmarkEnd w:id="963"/>
      <w:bookmarkEnd w:id="964"/>
      <w:bookmarkEnd w:id="965"/>
      <w:bookmarkEnd w:id="966"/>
      <w:bookmarkEnd w:id="967"/>
      <w:bookmarkEnd w:id="968"/>
      <w:bookmarkEnd w:id="969"/>
      <w:bookmarkEnd w:id="970"/>
      <w:bookmarkEnd w:id="971"/>
    </w:p>
    <w:p w14:paraId="217C33F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72" w:name="_Toc33183762"/>
      <w:bookmarkStart w:id="973" w:name="_Toc221951224"/>
      <w:r>
        <w:rPr>
          <w:rFonts w:hint="eastAsia" w:ascii="宋体" w:hAnsi="宋体" w:cs="宋体"/>
          <w:color w:val="000000" w:themeColor="text1"/>
          <w:szCs w:val="21"/>
          <w:highlight w:val="none"/>
          <w14:textFill>
            <w14:solidFill>
              <w14:schemeClr w14:val="tx1"/>
            </w14:solidFill>
          </w14:textFill>
        </w:rPr>
        <w:t>17.1 计量</w:t>
      </w:r>
      <w:bookmarkEnd w:id="972"/>
    </w:p>
    <w:p w14:paraId="410433C0">
      <w:pPr>
        <w:tabs>
          <w:tab w:val="left" w:pos="1134"/>
        </w:tabs>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17.1.2 计量方法</w:t>
      </w:r>
    </w:p>
    <w:p w14:paraId="6C0924DF">
      <w:pPr>
        <w:tabs>
          <w:tab w:val="left" w:pos="1134"/>
        </w:tabs>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工程量</w:t>
      </w:r>
      <w:r>
        <w:rPr>
          <w:rFonts w:hint="eastAsia" w:ascii="宋体" w:hAnsi="宋体" w:cs="宋体"/>
          <w:color w:val="000000" w:themeColor="text1"/>
          <w:kern w:val="0"/>
          <w:szCs w:val="21"/>
          <w:highlight w:val="none"/>
          <w:u w:val="single"/>
          <w14:textFill>
            <w14:solidFill>
              <w14:schemeClr w14:val="tx1"/>
            </w14:solidFill>
          </w14:textFill>
        </w:rPr>
        <w:t>按《水利水电工程设计工程量计算规定》（SL 328-2005）、《重庆市水利工程设计概（估）算 编制规定》（2021年版）、《重庆市水利建筑工程预算定额》（2021年版）、《重庆市水利工程机械台时费定额》（2021年版）及《重庆市中小型水利水电设备安装工程预算定额》（2008年版）等</w:t>
      </w:r>
      <w:r>
        <w:rPr>
          <w:rFonts w:hint="eastAsia" w:ascii="宋体" w:hAnsi="宋体" w:cs="宋体"/>
          <w:color w:val="000000" w:themeColor="text1"/>
          <w:kern w:val="0"/>
          <w:szCs w:val="21"/>
          <w:highlight w:val="none"/>
          <w14:textFill>
            <w14:solidFill>
              <w14:schemeClr w14:val="tx1"/>
            </w14:solidFill>
          </w14:textFill>
        </w:rPr>
        <w:t>规定的计算规则及已标价工程量清单规定的工程量计算规则计量。</w:t>
      </w:r>
    </w:p>
    <w:p w14:paraId="078EF54E">
      <w:pPr>
        <w:tabs>
          <w:tab w:val="left" w:pos="1134"/>
        </w:tabs>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17.1.3 计量周期</w:t>
      </w:r>
    </w:p>
    <w:p w14:paraId="298C625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关于计量周期的约定：</w:t>
      </w:r>
      <w:r>
        <w:rPr>
          <w:rFonts w:hint="eastAsia" w:ascii="宋体" w:hAnsi="宋体"/>
          <w:color w:val="000000" w:themeColor="text1"/>
          <w:szCs w:val="21"/>
          <w:highlight w:val="none"/>
          <w:u w:val="single"/>
          <w14:textFill>
            <w14:solidFill>
              <w14:schemeClr w14:val="tx1"/>
            </w14:solidFill>
          </w14:textFill>
        </w:rPr>
        <w:t>按月计量（根据具体项目实际情况可以按月、按进度、按节点等形式计量，按进度、按节点计量的参考按月计量原则执行）</w:t>
      </w:r>
      <w:r>
        <w:rPr>
          <w:rFonts w:hint="eastAsia" w:ascii="宋体" w:hAnsi="宋体" w:cs="宋体"/>
          <w:color w:val="000000" w:themeColor="text1"/>
          <w:kern w:val="0"/>
          <w:szCs w:val="21"/>
          <w:highlight w:val="none"/>
          <w14:textFill>
            <w14:solidFill>
              <w14:schemeClr w14:val="tx1"/>
            </w14:solidFill>
          </w14:textFill>
        </w:rPr>
        <w:t>。</w:t>
      </w:r>
    </w:p>
    <w:p w14:paraId="05B72C5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17.1.4 单价子目的计量</w:t>
      </w:r>
    </w:p>
    <w:p w14:paraId="5E734E5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本项补充17.1.4.1、17.1.4.2目如下：</w:t>
      </w:r>
    </w:p>
    <w:p w14:paraId="4BFCD7F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17.1.4.1单价子目</w:t>
      </w:r>
    </w:p>
    <w:p w14:paraId="2D8EF28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单价子目包含的风险范围：</w:t>
      </w:r>
      <w:r>
        <w:rPr>
          <w:rFonts w:hint="eastAsia" w:ascii="宋体" w:hAnsi="宋体" w:cs="宋体"/>
          <w:color w:val="000000" w:themeColor="text1"/>
          <w:kern w:val="0"/>
          <w:szCs w:val="21"/>
          <w:highlight w:val="none"/>
          <w:u w:val="single"/>
          <w14:textFill>
            <w14:solidFill>
              <w14:schemeClr w14:val="tx1"/>
            </w14:solidFill>
          </w14:textFill>
        </w:rPr>
        <w:t>除第16条〔价格调整〕约定范围外的市场价格波动风险、政策性文件规定的各项应有费用、</w:t>
      </w:r>
      <w:r>
        <w:rPr>
          <w:rFonts w:hint="eastAsia" w:ascii="宋体" w:hAnsi="宋体" w:cs="宋体"/>
          <w:color w:val="000000" w:themeColor="text1"/>
          <w:kern w:val="0"/>
          <w:szCs w:val="21"/>
          <w:highlight w:val="none"/>
          <w:u w:val="single"/>
          <w:lang w:eastAsia="zh-CN"/>
          <w14:textFill>
            <w14:solidFill>
              <w14:schemeClr w14:val="tx1"/>
            </w14:solidFill>
          </w14:textFill>
        </w:rPr>
        <w:t>比选文件</w:t>
      </w:r>
      <w:r>
        <w:rPr>
          <w:rFonts w:hint="eastAsia" w:ascii="宋体" w:hAnsi="宋体" w:cs="宋体"/>
          <w:color w:val="000000" w:themeColor="text1"/>
          <w:kern w:val="0"/>
          <w:szCs w:val="21"/>
          <w:highlight w:val="none"/>
          <w:u w:val="single"/>
          <w14:textFill>
            <w14:solidFill>
              <w14:schemeClr w14:val="tx1"/>
            </w14:solidFill>
          </w14:textFill>
        </w:rPr>
        <w:t>和合同明示或暗示的应由承包人承担的所有责任、义务和风险等所需的费用，包括但不限于为实施和完成合同工程所需的人工费、材料费、施工机械费、其他费用、其它直接费、间接费、利润、价差、税金及缺陷修复等费用</w:t>
      </w:r>
      <w:r>
        <w:rPr>
          <w:rFonts w:hint="eastAsia" w:ascii="宋体" w:hAnsi="宋体" w:cs="宋体"/>
          <w:color w:val="000000" w:themeColor="text1"/>
          <w:kern w:val="0"/>
          <w:szCs w:val="21"/>
          <w:highlight w:val="none"/>
          <w14:textFill>
            <w14:solidFill>
              <w14:schemeClr w14:val="tx1"/>
            </w14:solidFill>
          </w14:textFill>
        </w:rPr>
        <w:t>。</w:t>
      </w:r>
    </w:p>
    <w:p w14:paraId="0D3B966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风险费用的计算方法：</w:t>
      </w:r>
      <w:r>
        <w:rPr>
          <w:rFonts w:hint="eastAsia" w:ascii="宋体" w:hAnsi="宋体" w:cs="宋体"/>
          <w:color w:val="000000" w:themeColor="text1"/>
          <w:kern w:val="0"/>
          <w:szCs w:val="21"/>
          <w:highlight w:val="none"/>
          <w:u w:val="single"/>
          <w14:textFill>
            <w14:solidFill>
              <w14:schemeClr w14:val="tx1"/>
            </w14:solidFill>
          </w14:textFill>
        </w:rPr>
        <w:t>除第16条〔价格调整〕约定范围外，由承包人自行综合考虑并计入单价子目价格中，包干使用</w:t>
      </w:r>
      <w:r>
        <w:rPr>
          <w:rFonts w:hint="eastAsia" w:ascii="宋体" w:hAnsi="宋体" w:cs="宋体"/>
          <w:color w:val="000000" w:themeColor="text1"/>
          <w:kern w:val="0"/>
          <w:szCs w:val="21"/>
          <w:highlight w:val="none"/>
          <w14:textFill>
            <w14:solidFill>
              <w14:schemeClr w14:val="tx1"/>
            </w14:solidFill>
          </w14:textFill>
        </w:rPr>
        <w:t>。</w:t>
      </w:r>
    </w:p>
    <w:p w14:paraId="04550D2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风险范围以外合同价格的调整方法：</w:t>
      </w:r>
      <w:r>
        <w:rPr>
          <w:rFonts w:hint="eastAsia" w:ascii="宋体" w:hAnsi="宋体" w:cs="宋体"/>
          <w:color w:val="000000" w:themeColor="text1"/>
          <w:kern w:val="0"/>
          <w:szCs w:val="21"/>
          <w:highlight w:val="none"/>
          <w:u w:val="single"/>
          <w14:textFill>
            <w14:solidFill>
              <w14:schemeClr w14:val="tx1"/>
            </w14:solidFill>
          </w14:textFill>
        </w:rPr>
        <w:t>按照第16条〔价格调整〕约定执行</w:t>
      </w:r>
      <w:r>
        <w:rPr>
          <w:rFonts w:hint="eastAsia" w:ascii="宋体" w:hAnsi="宋体" w:cs="宋体"/>
          <w:color w:val="000000" w:themeColor="text1"/>
          <w:kern w:val="0"/>
          <w:szCs w:val="21"/>
          <w:highlight w:val="none"/>
          <w14:textFill>
            <w14:solidFill>
              <w14:schemeClr w14:val="tx1"/>
            </w14:solidFill>
          </w14:textFill>
        </w:rPr>
        <w:t>。</w:t>
      </w:r>
    </w:p>
    <w:p w14:paraId="56C3D4A2">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17.1.4.2关于单价合同计量的约定</w:t>
      </w:r>
    </w:p>
    <w:p w14:paraId="280C627D">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（1）承包人应于当月    日前向监理人报送上月已完成的工程量，并附进度付款申请单、已完成工程量报表和其他有关资料。</w:t>
      </w:r>
    </w:p>
    <w:p w14:paraId="7A40F673">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（2）承包人未在已标价的工程量清单中填入单价和（或）总价的子目，视为该子目的费用已包含合同工程的其他子目的单价或总价中，不再另行计量支付。</w:t>
      </w:r>
    </w:p>
    <w:p w14:paraId="455879BB">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62777465">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4）工程量的计量仅作为进度付款和工程施工进度控制的依据，不应认为是承包人履行合同义务完成工程的实际和准确的工程量，实际和准确工程量按完（竣）工图和第17.1.2项〔计量方法〕约定确认的工程量为准。</w:t>
      </w:r>
    </w:p>
    <w:p w14:paraId="4A06EE8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17.1.5 总价子目的计量</w:t>
      </w:r>
    </w:p>
    <w:p w14:paraId="4CE4EBB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本项补充17.1.5.1、17.1.5.2目如下：</w:t>
      </w:r>
    </w:p>
    <w:p w14:paraId="75EE6A5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17.1.5.1总价子目</w:t>
      </w:r>
    </w:p>
    <w:p w14:paraId="35D84F52">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总价子目包含的风险范围：</w:t>
      </w:r>
      <w:r>
        <w:rPr>
          <w:rFonts w:hint="eastAsia" w:ascii="宋体" w:hAnsi="宋体" w:cs="宋体"/>
          <w:color w:val="000000" w:themeColor="text1"/>
          <w:kern w:val="0"/>
          <w:szCs w:val="21"/>
          <w:highlight w:val="none"/>
          <w:u w:val="single"/>
          <w14:textFill>
            <w14:solidFill>
              <w14:schemeClr w14:val="tx1"/>
            </w14:solidFill>
          </w14:textFill>
        </w:rPr>
        <w:t>包括但不限于为实施和完成合同工程所需的人工费、材料费、施工机械费、其他费用、其它直接费、间接费、利润、价差、税金及缺陷修复等费用，以及第16条〔市场价格波动引起的调整〕约定范围内的市场价格波动风险、政策性文件规定的各项应有费用、</w:t>
      </w:r>
      <w:r>
        <w:rPr>
          <w:rFonts w:hint="eastAsia" w:ascii="宋体" w:hAnsi="宋体" w:cs="宋体"/>
          <w:color w:val="000000" w:themeColor="text1"/>
          <w:kern w:val="0"/>
          <w:szCs w:val="21"/>
          <w:highlight w:val="none"/>
          <w:u w:val="single"/>
          <w:lang w:eastAsia="zh-CN"/>
          <w14:textFill>
            <w14:solidFill>
              <w14:schemeClr w14:val="tx1"/>
            </w14:solidFill>
          </w14:textFill>
        </w:rPr>
        <w:t>比选文件</w:t>
      </w:r>
      <w:r>
        <w:rPr>
          <w:rFonts w:hint="eastAsia" w:ascii="宋体" w:hAnsi="宋体" w:cs="宋体"/>
          <w:color w:val="000000" w:themeColor="text1"/>
          <w:kern w:val="0"/>
          <w:szCs w:val="21"/>
          <w:highlight w:val="none"/>
          <w:u w:val="single"/>
          <w14:textFill>
            <w14:solidFill>
              <w14:schemeClr w14:val="tx1"/>
            </w14:solidFill>
          </w14:textFill>
        </w:rPr>
        <w:t>和合同明示或暗示的应由承包人承担的所有责任、义务和风险等所需的费用。</w:t>
      </w:r>
    </w:p>
    <w:p w14:paraId="1AAB45C0">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风险费用的计算方法：</w:t>
      </w:r>
      <w:r>
        <w:rPr>
          <w:rFonts w:hint="eastAsia" w:ascii="宋体" w:hAnsi="宋体" w:cs="宋体"/>
          <w:color w:val="000000" w:themeColor="text1"/>
          <w:kern w:val="0"/>
          <w:szCs w:val="21"/>
          <w:highlight w:val="none"/>
          <w:u w:val="single"/>
          <w14:textFill>
            <w14:solidFill>
              <w14:schemeClr w14:val="tx1"/>
            </w14:solidFill>
          </w14:textFill>
        </w:rPr>
        <w:t>由承包人自行考虑并计入签约合同价格中，包干使用。</w:t>
      </w:r>
    </w:p>
    <w:p w14:paraId="4B4C8F8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风险范围以外合同价格的调整方法：</w:t>
      </w:r>
      <w:r>
        <w:rPr>
          <w:rFonts w:hint="eastAsia" w:ascii="宋体" w:hAnsi="宋体" w:cs="宋体"/>
          <w:color w:val="000000" w:themeColor="text1"/>
          <w:kern w:val="0"/>
          <w:szCs w:val="21"/>
          <w:highlight w:val="none"/>
          <w:u w:val="single"/>
          <w14:textFill>
            <w14:solidFill>
              <w14:schemeClr w14:val="tx1"/>
            </w14:solidFill>
          </w14:textFill>
        </w:rPr>
        <w:t>除本合同第15条（变更）约定的价格调整外，其余不作调整。</w:t>
      </w:r>
    </w:p>
    <w:p w14:paraId="11606D8A">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17.1.5.2关于总价合同计量的约定：</w:t>
      </w:r>
      <w:r>
        <w:rPr>
          <w:rFonts w:hint="eastAsia" w:ascii="宋体" w:hAnsi="宋体" w:cs="宋体"/>
          <w:color w:val="000000" w:themeColor="text1"/>
          <w:szCs w:val="21"/>
          <w:highlight w:val="none"/>
          <w:u w:val="single"/>
          <w14:textFill>
            <w14:solidFill>
              <w14:schemeClr w14:val="tx1"/>
            </w14:solidFill>
          </w14:textFill>
        </w:rPr>
        <w:t>承包人应按批准的各总价子目支付周期，以确定分阶段实际完成的工程量和工程形象目标，并对已完成的总价子目进行计量，从而确定分项的应付金额列入进度付款申请单中。</w:t>
      </w:r>
    </w:p>
    <w:p w14:paraId="6128B07D">
      <w:pPr>
        <w:pStyle w:val="2"/>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本款补充17.1.6项如下：</w:t>
      </w:r>
    </w:p>
    <w:p w14:paraId="570E890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17.1.6 其他价格形式合同的计量</w:t>
      </w:r>
    </w:p>
    <w:p w14:paraId="48003C9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其他价格形式的计量方式和程序：</w:t>
      </w:r>
      <w:r>
        <w:rPr>
          <w:rFonts w:hint="eastAsia" w:ascii="宋体" w:hAnsi="宋体" w:cs="宋体"/>
          <w:color w:val="000000" w:themeColor="text1"/>
          <w:kern w:val="0"/>
          <w:szCs w:val="21"/>
          <w:highlight w:val="none"/>
          <w:u w:val="single"/>
          <w14:textFill>
            <w14:solidFill>
              <w14:schemeClr w14:val="tx1"/>
            </w14:solidFill>
          </w14:textFill>
        </w:rPr>
        <w:t xml:space="preserve"> 不采用 </w:t>
      </w:r>
      <w:r>
        <w:rPr>
          <w:rFonts w:hint="eastAsia" w:ascii="宋体" w:hAnsi="宋体" w:cs="宋体"/>
          <w:color w:val="000000" w:themeColor="text1"/>
          <w:kern w:val="0"/>
          <w:szCs w:val="21"/>
          <w:highlight w:val="none"/>
          <w14:textFill>
            <w14:solidFill>
              <w14:schemeClr w14:val="tx1"/>
            </w14:solidFill>
          </w14:textFill>
        </w:rPr>
        <w:t>。</w:t>
      </w:r>
    </w:p>
    <w:p w14:paraId="45F2EA9F">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74" w:name="_Toc33183763"/>
      <w:r>
        <w:rPr>
          <w:rFonts w:hint="eastAsia" w:ascii="宋体" w:hAnsi="宋体" w:cs="宋体"/>
          <w:color w:val="000000" w:themeColor="text1"/>
          <w:szCs w:val="21"/>
          <w:highlight w:val="none"/>
          <w14:textFill>
            <w14:solidFill>
              <w14:schemeClr w14:val="tx1"/>
            </w14:solidFill>
          </w14:textFill>
        </w:rPr>
        <w:t>17.2  预付款</w:t>
      </w:r>
      <w:bookmarkEnd w:id="973"/>
      <w:bookmarkEnd w:id="974"/>
    </w:p>
    <w:p w14:paraId="37BA0631">
      <w:pPr>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bookmarkStart w:id="975" w:name="_Toc221951226"/>
      <w:r>
        <w:rPr>
          <w:rFonts w:hint="eastAsia" w:ascii="宋体" w:hAnsi="宋体" w:cs="宋体"/>
          <w:color w:val="000000" w:themeColor="text1"/>
          <w:szCs w:val="21"/>
          <w:highlight w:val="none"/>
          <w14:textFill>
            <w14:solidFill>
              <w14:schemeClr w14:val="tx1"/>
            </w14:solidFill>
          </w14:textFill>
        </w:rPr>
        <w:t>17</w:t>
      </w:r>
      <w:r>
        <w:rPr>
          <w:rFonts w:hint="eastAsia" w:ascii="宋体" w:hAnsi="宋体" w:cs="宋体"/>
          <w:color w:val="000000" w:themeColor="text1"/>
          <w:kern w:val="0"/>
          <w:szCs w:val="21"/>
          <w:highlight w:val="none"/>
          <w14:textFill>
            <w14:solidFill>
              <w14:schemeClr w14:val="tx1"/>
            </w14:solidFill>
          </w14:textFill>
        </w:rPr>
        <w:t>.2.1预付款</w:t>
      </w:r>
      <w:bookmarkEnd w:id="975"/>
    </w:p>
    <w:p w14:paraId="0E8353C4">
      <w:pPr>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本工程无预付款</w:t>
      </w:r>
    </w:p>
    <w:p w14:paraId="43F0391C">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76" w:name="_Toc33183764"/>
      <w:bookmarkStart w:id="977" w:name="_Toc221951260"/>
      <w:r>
        <w:rPr>
          <w:rFonts w:hint="eastAsia" w:ascii="宋体" w:hAnsi="宋体" w:cs="宋体"/>
          <w:color w:val="000000" w:themeColor="text1"/>
          <w:kern w:val="0"/>
          <w:szCs w:val="21"/>
          <w:highlight w:val="none"/>
          <w14:textFill>
            <w14:solidFill>
              <w14:schemeClr w14:val="tx1"/>
            </w14:solidFill>
          </w14:textFill>
        </w:rPr>
        <w:t>17.3 工</w:t>
      </w:r>
      <w:r>
        <w:rPr>
          <w:rFonts w:hint="eastAsia" w:ascii="宋体" w:hAnsi="宋体" w:cs="宋体"/>
          <w:color w:val="000000" w:themeColor="text1"/>
          <w:szCs w:val="21"/>
          <w:highlight w:val="none"/>
          <w14:textFill>
            <w14:solidFill>
              <w14:schemeClr w14:val="tx1"/>
            </w14:solidFill>
          </w14:textFill>
        </w:rPr>
        <w:t>程进度付款</w:t>
      </w:r>
      <w:bookmarkEnd w:id="976"/>
    </w:p>
    <w:p w14:paraId="4D60B01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17.3.1 付款周期</w:t>
      </w:r>
    </w:p>
    <w:p w14:paraId="110702B6">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关于付款周期的约定：</w:t>
      </w:r>
      <w:r>
        <w:rPr>
          <w:rFonts w:hint="eastAsia" w:ascii="宋体" w:hAnsi="宋体" w:cs="宋体"/>
          <w:color w:val="000000" w:themeColor="text1"/>
          <w:kern w:val="0"/>
          <w:szCs w:val="21"/>
          <w:highlight w:val="none"/>
          <w:u w:val="single"/>
          <w14:textFill>
            <w14:solidFill>
              <w14:schemeClr w14:val="tx1"/>
            </w14:solidFill>
          </w14:textFill>
        </w:rPr>
        <w:t>按月计量支付进度款</w:t>
      </w:r>
      <w:r>
        <w:rPr>
          <w:rFonts w:hint="eastAsia" w:ascii="宋体" w:hAnsi="宋体" w:cs="宋体"/>
          <w:color w:val="000000" w:themeColor="text1"/>
          <w:kern w:val="0"/>
          <w:szCs w:val="21"/>
          <w:highlight w:val="none"/>
          <w14:textFill>
            <w14:solidFill>
              <w14:schemeClr w14:val="tx1"/>
            </w14:solidFill>
          </w14:textFill>
        </w:rPr>
        <w:t>。</w:t>
      </w:r>
    </w:p>
    <w:p w14:paraId="5E177D8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17.3.2 进度付款申请单</w:t>
      </w:r>
    </w:p>
    <w:p w14:paraId="5F078C4B">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本项补充细化17.3.2.1、17.3.2.2目如下：</w:t>
      </w:r>
    </w:p>
    <w:p w14:paraId="24DA9DF0">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17.3.2.1进度付款申请单应包括下列内容：</w:t>
      </w:r>
    </w:p>
    <w:p w14:paraId="362B7981">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（1）截至本次付款周期已完成工作对应的金额；</w:t>
      </w:r>
    </w:p>
    <w:p w14:paraId="0E149C89">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（2）根据第15条〔变更〕应增加和扣减的已审定变更金额；</w:t>
      </w:r>
    </w:p>
    <w:p w14:paraId="245436B6">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（3）根据第17.2款〔预付款〕约定应支付的预付款和扣减的返还预付款；</w:t>
      </w:r>
    </w:p>
    <w:p w14:paraId="5FD91789">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（4）根据第17.4款〔质量保证金〕约定应扣减的质量保证金；</w:t>
      </w:r>
    </w:p>
    <w:p w14:paraId="230FB0B4">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（5）根据第23条〔索赔〕应增加和扣减的已审定索赔金额；</w:t>
      </w:r>
    </w:p>
    <w:p w14:paraId="07053A16">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（6）根据第16条〔价格调整〕应增加和扣减的价格调整金额；</w:t>
      </w:r>
    </w:p>
    <w:p w14:paraId="7AAAA189">
      <w:pPr>
        <w:snapToGrid w:val="0"/>
        <w:spacing w:line="360" w:lineRule="auto"/>
        <w:ind w:firstLine="48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（7）对已签发的进度款支付证书中出现错误的修正，应在本次进度付款中支付或扣除的金额；</w:t>
      </w:r>
    </w:p>
    <w:p w14:paraId="168F2FA0">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（8）根据合同约定承包人应向发包人支付的违约金；</w:t>
      </w:r>
    </w:p>
    <w:p w14:paraId="29DAE021">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（9）根据合同约定发包人应向承包人支付的违约金和（或）奖励；</w:t>
      </w:r>
    </w:p>
    <w:p w14:paraId="44FD061A">
      <w:pPr>
        <w:snapToGrid w:val="0"/>
        <w:spacing w:line="360" w:lineRule="auto"/>
        <w:ind w:firstLine="47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（10）根据合同约定应增加和扣减的其他金额。</w:t>
      </w:r>
    </w:p>
    <w:p w14:paraId="6C65B535">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17.3.2.2进度付款申请单的提交：</w:t>
      </w:r>
    </w:p>
    <w:p w14:paraId="3D1443F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（1）单价合同进度付款申请单提交的约定：</w:t>
      </w:r>
      <w:r>
        <w:rPr>
          <w:rFonts w:hint="eastAsia" w:ascii="宋体" w:hAnsi="宋体" w:cs="宋体"/>
          <w:color w:val="000000" w:themeColor="text1"/>
          <w:kern w:val="0"/>
          <w:szCs w:val="21"/>
          <w:highlight w:val="none"/>
          <w:u w:val="single"/>
          <w14:textFill>
            <w14:solidFill>
              <w14:schemeClr w14:val="tx1"/>
            </w14:solidFill>
          </w14:textFill>
        </w:rPr>
        <w:t>按照第17.1.4项〔单价子目的计量〕约定的时间按月向监理人提交，并附上已完成工程量报表、经审核的农民工工资发放的情况说明及有关资料。单价合同中的总价子目按工程形象进度分月计量后汇总列入当期进度付款申请</w:t>
      </w:r>
      <w:r>
        <w:rPr>
          <w:rFonts w:hint="eastAsia" w:ascii="宋体" w:hAnsi="宋体" w:cs="宋体"/>
          <w:color w:val="000000" w:themeColor="text1"/>
          <w:kern w:val="0"/>
          <w:szCs w:val="21"/>
          <w:highlight w:val="none"/>
          <w14:textFill>
            <w14:solidFill>
              <w14:schemeClr w14:val="tx1"/>
            </w14:solidFill>
          </w14:textFill>
        </w:rPr>
        <w:t>单。</w:t>
      </w:r>
    </w:p>
    <w:p w14:paraId="12ED551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（2）总价合同进度付款申请单提交的约定：</w:t>
      </w:r>
      <w:r>
        <w:rPr>
          <w:rFonts w:hint="eastAsia" w:ascii="宋体" w:hAnsi="宋体" w:cs="宋体"/>
          <w:color w:val="000000" w:themeColor="text1"/>
          <w:kern w:val="0"/>
          <w:szCs w:val="21"/>
          <w:highlight w:val="none"/>
          <w:u w:val="single"/>
          <w14:textFill>
            <w14:solidFill>
              <w14:schemeClr w14:val="tx1"/>
            </w14:solidFill>
          </w14:textFill>
        </w:rPr>
        <w:t>按照合同约定的形象进度的计量约定的时间向监理人提交，并附上已完成工程量报表、经审核的农民工工资发放的情况说明及有关资料</w:t>
      </w:r>
      <w:r>
        <w:rPr>
          <w:rFonts w:hint="eastAsia" w:ascii="宋体" w:hAnsi="宋体" w:cs="宋体"/>
          <w:color w:val="000000" w:themeColor="text1"/>
          <w:kern w:val="0"/>
          <w:szCs w:val="21"/>
          <w:highlight w:val="none"/>
          <w14:textFill>
            <w14:solidFill>
              <w14:schemeClr w14:val="tx1"/>
            </w14:solidFill>
          </w14:textFill>
        </w:rPr>
        <w:t>。</w:t>
      </w:r>
    </w:p>
    <w:p w14:paraId="5C5AC62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（3）其他价格形式合同进度付款申请单提交的约定：</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9EF463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17.3.3 进度付款证书和支付时间</w:t>
      </w:r>
    </w:p>
    <w:p w14:paraId="49EFE1D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（1）监理人审查并报送发包人的期限：</w:t>
      </w:r>
      <w:r>
        <w:rPr>
          <w:rFonts w:hint="eastAsia" w:ascii="宋体" w:hAnsi="宋体" w:cs="宋体"/>
          <w:color w:val="000000" w:themeColor="text1"/>
          <w:kern w:val="0"/>
          <w:szCs w:val="21"/>
          <w:highlight w:val="none"/>
          <w:u w:val="single"/>
          <w14:textFill>
            <w14:solidFill>
              <w14:schemeClr w14:val="tx1"/>
            </w14:solidFill>
          </w14:textFill>
        </w:rPr>
        <w:t>收到完整资料后7天内</w:t>
      </w:r>
      <w:r>
        <w:rPr>
          <w:rFonts w:hint="eastAsia" w:ascii="宋体" w:hAnsi="宋体" w:cs="宋体"/>
          <w:color w:val="000000" w:themeColor="text1"/>
          <w:kern w:val="0"/>
          <w:szCs w:val="21"/>
          <w:highlight w:val="none"/>
          <w14:textFill>
            <w14:solidFill>
              <w14:schemeClr w14:val="tx1"/>
            </w14:solidFill>
          </w14:textFill>
        </w:rPr>
        <w:t>。</w:t>
      </w:r>
    </w:p>
    <w:p w14:paraId="20737F3E">
      <w:pPr>
        <w:snapToGrid w:val="0"/>
        <w:spacing w:line="360" w:lineRule="auto"/>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发包人完成审批并签发进度款支付证书的期限：</w:t>
      </w:r>
      <w:r>
        <w:rPr>
          <w:rFonts w:hint="eastAsia" w:ascii="宋体" w:hAnsi="宋体" w:cs="宋体"/>
          <w:color w:val="000000" w:themeColor="text1"/>
          <w:kern w:val="0"/>
          <w:szCs w:val="21"/>
          <w:highlight w:val="none"/>
          <w:u w:val="single"/>
          <w14:textFill>
            <w14:solidFill>
              <w14:schemeClr w14:val="tx1"/>
            </w14:solidFill>
          </w14:textFill>
        </w:rPr>
        <w:t>发包人收到监理人报送资料后7天内完成审查并签发进度款支付证书</w:t>
      </w:r>
      <w:r>
        <w:rPr>
          <w:rFonts w:hint="eastAsia" w:ascii="宋体" w:hAnsi="宋体" w:cs="宋体"/>
          <w:color w:val="000000" w:themeColor="text1"/>
          <w:kern w:val="0"/>
          <w:szCs w:val="21"/>
          <w:highlight w:val="none"/>
          <w14:textFill>
            <w14:solidFill>
              <w14:schemeClr w14:val="tx1"/>
            </w14:solidFill>
          </w14:textFill>
        </w:rPr>
        <w:t>。</w:t>
      </w:r>
    </w:p>
    <w:p w14:paraId="6BDE2362">
      <w:pPr>
        <w:snapToGrid w:val="0"/>
        <w:spacing w:line="360" w:lineRule="auto"/>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r>
        <w:rPr>
          <w:rFonts w:hint="eastAsia" w:ascii="宋体" w:hAnsi="宋体" w:cs="宋体"/>
          <w:color w:val="000000" w:themeColor="text1"/>
          <w:kern w:val="0"/>
          <w:szCs w:val="21"/>
          <w:highlight w:val="none"/>
          <w14:textFill>
            <w14:solidFill>
              <w14:schemeClr w14:val="tx1"/>
            </w14:solidFill>
          </w14:textFill>
        </w:rPr>
        <w:t>。</w:t>
      </w:r>
    </w:p>
    <w:p w14:paraId="1729A5ED">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发包人签发进度款支付证书或临时进度款支付证书，不表明发包人已同意、批准或接受了承包人完成的相应部分的工作</w:t>
      </w:r>
      <w:r>
        <w:rPr>
          <w:rFonts w:hint="eastAsia" w:ascii="宋体" w:hAnsi="宋体" w:cs="宋体"/>
          <w:color w:val="000000" w:themeColor="text1"/>
          <w:kern w:val="0"/>
          <w:szCs w:val="21"/>
          <w:highlight w:val="none"/>
          <w14:textFill>
            <w14:solidFill>
              <w14:schemeClr w14:val="tx1"/>
            </w14:solidFill>
          </w14:textFill>
        </w:rPr>
        <w:t>。</w:t>
      </w:r>
    </w:p>
    <w:p w14:paraId="605DEC1E">
      <w:pPr>
        <w:numPr>
          <w:ilvl w:val="0"/>
          <w:numId w:val="6"/>
        </w:num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价款的支付 </w:t>
      </w:r>
    </w:p>
    <w:p w14:paraId="174E1A56">
      <w:pPr>
        <w:keepNext/>
        <w:keepLines/>
        <w:spacing w:line="360" w:lineRule="auto"/>
        <w:ind w:firstLine="420" w:firstLineChars="200"/>
        <w:outlineLvl w:val="4"/>
        <w:rPr>
          <w:rFonts w:hint="default" w:ascii="宋体" w:hAnsi="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经发包人完工验收合格后，报区水利局审批，甲方（或甲方委托第三方）支付全部结算工程款。</w:t>
      </w:r>
    </w:p>
    <w:p w14:paraId="3CFBA1E8">
      <w:pPr>
        <w:keepNext/>
        <w:keepLines/>
        <w:spacing w:line="360" w:lineRule="auto"/>
        <w:ind w:firstLine="420" w:firstLineChars="200"/>
        <w:outlineLvl w:val="4"/>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17.3.5支付账户</w:t>
      </w:r>
    </w:p>
    <w:p w14:paraId="3E6068A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发包人应将合同价款支付至如下承包人指定的开户银行及银行账户：</w:t>
      </w:r>
    </w:p>
    <w:p w14:paraId="154470CE">
      <w:pPr>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收款单位名称：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0B2443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收款账号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844BD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收款开户银行：</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3B3C3982">
      <w:pPr>
        <w:keepNext/>
        <w:keepLines/>
        <w:snapToGrid w:val="0"/>
        <w:spacing w:line="600" w:lineRule="exact"/>
        <w:ind w:firstLine="420" w:firstLineChars="200"/>
        <w:outlineLvl w:val="3"/>
        <w:rPr>
          <w:rFonts w:hint="default" w:eastAsia="宋体"/>
          <w:color w:val="000000" w:themeColor="text1"/>
          <w:highlight w:val="none"/>
          <w:lang w:val="en-US" w:eastAsia="zh-CN"/>
          <w14:textFill>
            <w14:solidFill>
              <w14:schemeClr w14:val="tx1"/>
            </w14:solidFill>
          </w14:textFill>
        </w:rPr>
      </w:pPr>
      <w:bookmarkStart w:id="978" w:name="_Toc33183765"/>
      <w:r>
        <w:rPr>
          <w:rFonts w:hint="eastAsia" w:ascii="宋体" w:hAnsi="宋体" w:cs="宋体"/>
          <w:color w:val="000000" w:themeColor="text1"/>
          <w:szCs w:val="21"/>
          <w:highlight w:val="none"/>
          <w14:textFill>
            <w14:solidFill>
              <w14:schemeClr w14:val="tx1"/>
            </w14:solidFill>
          </w14:textFill>
        </w:rPr>
        <w:t>17.4  质量保证金</w:t>
      </w:r>
      <w:bookmarkEnd w:id="977"/>
      <w:bookmarkEnd w:id="978"/>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不提供。</w:t>
      </w:r>
    </w:p>
    <w:p w14:paraId="783B259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79" w:name="_Toc221951262"/>
      <w:r>
        <w:rPr>
          <w:rFonts w:hint="eastAsia" w:ascii="宋体" w:hAnsi="宋体" w:cs="宋体"/>
          <w:color w:val="000000" w:themeColor="text1"/>
          <w:szCs w:val="21"/>
          <w:highlight w:val="none"/>
          <w14:textFill>
            <w14:solidFill>
              <w14:schemeClr w14:val="tx1"/>
            </w14:solidFill>
          </w14:textFill>
        </w:rPr>
        <w:t xml:space="preserve"> </w:t>
      </w:r>
      <w:bookmarkEnd w:id="979"/>
      <w:bookmarkStart w:id="980" w:name="_Toc221951265"/>
      <w:bookmarkStart w:id="981" w:name="_Toc33183766"/>
      <w:r>
        <w:rPr>
          <w:rFonts w:hint="eastAsia" w:ascii="宋体" w:hAnsi="宋体" w:cs="宋体"/>
          <w:color w:val="000000" w:themeColor="text1"/>
          <w:szCs w:val="21"/>
          <w:highlight w:val="none"/>
          <w14:textFill>
            <w14:solidFill>
              <w14:schemeClr w14:val="tx1"/>
            </w14:solidFill>
          </w14:textFill>
        </w:rPr>
        <w:t>17.5  竣工（完工）结算</w:t>
      </w:r>
      <w:bookmarkEnd w:id="980"/>
      <w:bookmarkEnd w:id="981"/>
    </w:p>
    <w:p w14:paraId="034B833D">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982" w:name="_Toc221951266"/>
      <w:r>
        <w:rPr>
          <w:rFonts w:hint="eastAsia" w:ascii="宋体" w:hAnsi="宋体" w:cs="宋体"/>
          <w:color w:val="000000" w:themeColor="text1"/>
          <w:szCs w:val="21"/>
          <w:highlight w:val="none"/>
          <w14:textFill>
            <w14:solidFill>
              <w14:schemeClr w14:val="tx1"/>
            </w14:solidFill>
          </w14:textFill>
        </w:rPr>
        <w:t>17.5.1  竣工（完工）付款申请单</w:t>
      </w:r>
      <w:bookmarkEnd w:id="982"/>
      <w:r>
        <w:rPr>
          <w:rFonts w:hint="eastAsia" w:ascii="宋体" w:hAnsi="宋体" w:cs="宋体"/>
          <w:color w:val="000000" w:themeColor="text1"/>
          <w:szCs w:val="21"/>
          <w:highlight w:val="none"/>
          <w14:textFill>
            <w14:solidFill>
              <w14:schemeClr w14:val="tx1"/>
            </w14:solidFill>
          </w14:textFill>
        </w:rPr>
        <w:t xml:space="preserve"> </w:t>
      </w:r>
    </w:p>
    <w:p w14:paraId="7514997D">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983" w:name="_Toc221951267"/>
      <w:r>
        <w:rPr>
          <w:rFonts w:hint="eastAsia" w:ascii="宋体" w:hAnsi="宋体" w:cs="宋体"/>
          <w:color w:val="000000" w:themeColor="text1"/>
          <w:szCs w:val="21"/>
          <w:highlight w:val="none"/>
          <w14:textFill>
            <w14:solidFill>
              <w14:schemeClr w14:val="tx1"/>
            </w14:solidFill>
          </w14:textFill>
        </w:rPr>
        <w:t>承包人应提交完工付款申请单一式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bookmarkEnd w:id="983"/>
    </w:p>
    <w:p w14:paraId="4061C75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w:t>
      </w: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结算申请单的期限：</w:t>
      </w:r>
      <w:r>
        <w:rPr>
          <w:rFonts w:hint="eastAsia" w:ascii="宋体" w:hAnsi="宋体" w:cs="宋体"/>
          <w:color w:val="000000" w:themeColor="text1"/>
          <w:kern w:val="0"/>
          <w:szCs w:val="21"/>
          <w:highlight w:val="none"/>
          <w:u w:val="single"/>
          <w14:textFill>
            <w14:solidFill>
              <w14:schemeClr w14:val="tx1"/>
            </w14:solidFill>
          </w14:textFill>
        </w:rPr>
        <w:t>承包人应在工程完工验收合格之日且报送完成的完工资料之日起28天内向监理人、发包人提交完工结算申请单，并向发包人报送完整的工程竣工资料及经监理人初审确认的完整的完工结算资料。监理人或发包人对完工结算申请单有异议的，应在接到完工结算申请单后14天内要求承包人进行修正和提供补充资料，承包人在接到监理人或发包人提出的审核意见后，应在28天内按监理人或发包人提出的合理要求补充资料、修改完工结算资料，并再次提交监理人或发包人审核。承包人未在规定时间内报送完工结算资料给发包人造成经济损失的，承包人应承担赔偿责任</w:t>
      </w:r>
      <w:r>
        <w:rPr>
          <w:rFonts w:hint="eastAsia" w:ascii="宋体" w:hAnsi="宋体" w:cs="宋体"/>
          <w:color w:val="000000" w:themeColor="text1"/>
          <w:kern w:val="0"/>
          <w:szCs w:val="21"/>
          <w:highlight w:val="none"/>
          <w14:textFill>
            <w14:solidFill>
              <w14:schemeClr w14:val="tx1"/>
            </w14:solidFill>
          </w14:textFill>
        </w:rPr>
        <w:t>。</w:t>
      </w:r>
    </w:p>
    <w:p w14:paraId="2A25D04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结算申请单包括但不限于以下内容：</w:t>
      </w:r>
    </w:p>
    <w:p w14:paraId="5911106A">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结算合同价格；</w:t>
      </w:r>
    </w:p>
    <w:p w14:paraId="48FFC31C">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（2）变更增减金额；</w:t>
      </w:r>
    </w:p>
    <w:p w14:paraId="64E9759B">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（3）现场签证增减金额；</w:t>
      </w:r>
    </w:p>
    <w:p w14:paraId="624AA54C">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（4）价格调整；</w:t>
      </w:r>
    </w:p>
    <w:p w14:paraId="1C069113">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（5）索赔增减金额；</w:t>
      </w:r>
    </w:p>
    <w:p w14:paraId="00CD0403">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（6）奖励、罚金及违约金；</w:t>
      </w:r>
    </w:p>
    <w:p w14:paraId="253BDDC6">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（7）发包人已支付承包人的款项；</w:t>
      </w:r>
    </w:p>
    <w:p w14:paraId="78760B16">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（8）应扣留的质量保证金；</w:t>
      </w:r>
    </w:p>
    <w:p w14:paraId="74AC3F41">
      <w:pPr>
        <w:snapToGrid w:val="0"/>
        <w:spacing w:line="360" w:lineRule="auto"/>
        <w:ind w:firstLine="47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（9）发包人应支付承包人的合同价款。</w:t>
      </w:r>
    </w:p>
    <w:p w14:paraId="1E56C586">
      <w:pPr>
        <w:snapToGrid w:val="0"/>
        <w:spacing w:line="360" w:lineRule="auto"/>
        <w:ind w:firstLine="4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9BABFF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17.5.1.1 </w:t>
      </w: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结算办法</w:t>
      </w:r>
    </w:p>
    <w:p w14:paraId="5C86A71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17.5.1.1.1计量原则</w:t>
      </w:r>
    </w:p>
    <w:p w14:paraId="5F4A99C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按照第17.1.2项〔计量方法〕约定执行。</w:t>
      </w:r>
    </w:p>
    <w:p w14:paraId="6219D80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17.5.1.2计价原则</w:t>
      </w:r>
    </w:p>
    <w:p w14:paraId="77358BF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合同完工结算总价=完工结算合同价格+变更增减金额+现场签证增减金额±价格调整（如有）±索赔增减金额±奖励、罚金及违约金及其他费用</w:t>
      </w:r>
      <w:r>
        <w:rPr>
          <w:rFonts w:hint="eastAsia" w:ascii="宋体" w:hAnsi="宋体" w:cs="宋体"/>
          <w:color w:val="000000" w:themeColor="text1"/>
          <w:kern w:val="0"/>
          <w:szCs w:val="21"/>
          <w:highlight w:val="none"/>
          <w14:textFill>
            <w14:solidFill>
              <w14:schemeClr w14:val="tx1"/>
            </w14:solidFill>
          </w14:textFill>
        </w:rPr>
        <w:t>。</w:t>
      </w:r>
    </w:p>
    <w:p w14:paraId="17B7EB9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17.5.1.3</w:t>
      </w: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结算总价</w:t>
      </w:r>
    </w:p>
    <w:p w14:paraId="5B450D9A">
      <w:pPr>
        <w:tabs>
          <w:tab w:val="left" w:pos="711"/>
          <w:tab w:val="left" w:pos="2580"/>
        </w:tabs>
        <w:snapToGrid w:val="0"/>
        <w:spacing w:line="360" w:lineRule="auto"/>
        <w:ind w:firstLine="420" w:firstLineChars="200"/>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发包人、审计单位、监理人、承包人根据有效资料共同确定</w:t>
      </w:r>
      <w:r>
        <w:rPr>
          <w:rFonts w:hint="eastAsia" w:ascii="宋体" w:hAnsi="宋体" w:cs="宋体"/>
          <w:color w:val="000000" w:themeColor="text1"/>
          <w:szCs w:val="21"/>
          <w:highlight w:val="none"/>
          <w14:textFill>
            <w14:solidFill>
              <w14:schemeClr w14:val="tx1"/>
            </w14:solidFill>
          </w14:textFill>
        </w:rPr>
        <w:t>完工</w:t>
      </w:r>
      <w:r>
        <w:rPr>
          <w:rFonts w:hint="eastAsia" w:ascii="宋体" w:hAnsi="宋体" w:cs="宋体"/>
          <w:color w:val="000000" w:themeColor="text1"/>
          <w:kern w:val="0"/>
          <w:szCs w:val="21"/>
          <w:highlight w:val="none"/>
          <w14:textFill>
            <w14:solidFill>
              <w14:schemeClr w14:val="tx1"/>
            </w14:solidFill>
          </w14:textFill>
        </w:rPr>
        <w:t>结算金额作为合同</w:t>
      </w:r>
      <w:r>
        <w:rPr>
          <w:rFonts w:hint="eastAsia" w:ascii="宋体" w:hAnsi="宋体" w:cs="宋体"/>
          <w:color w:val="000000" w:themeColor="text1"/>
          <w:szCs w:val="21"/>
          <w:highlight w:val="none"/>
          <w14:textFill>
            <w14:solidFill>
              <w14:schemeClr w14:val="tx1"/>
            </w14:solidFill>
          </w14:textFill>
        </w:rPr>
        <w:t>竣工（完工）</w:t>
      </w:r>
      <w:r>
        <w:rPr>
          <w:rFonts w:hint="eastAsia" w:ascii="宋体" w:hAnsi="宋体" w:cs="宋体"/>
          <w:color w:val="000000" w:themeColor="text1"/>
          <w:kern w:val="0"/>
          <w:szCs w:val="21"/>
          <w:highlight w:val="none"/>
          <w14:textFill>
            <w14:solidFill>
              <w14:schemeClr w14:val="tx1"/>
            </w14:solidFill>
          </w14:textFill>
        </w:rPr>
        <w:t>结算总价。</w:t>
      </w:r>
    </w:p>
    <w:p w14:paraId="219F8A3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17.5.2完工付款证书及支付时间</w:t>
      </w:r>
    </w:p>
    <w:p w14:paraId="26D7548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监理人审核完工付款申请单的期限：</w:t>
      </w:r>
      <w:r>
        <w:rPr>
          <w:rFonts w:hint="eastAsia" w:ascii="宋体" w:hAnsi="宋体" w:cs="宋体"/>
          <w:color w:val="000000" w:themeColor="text1"/>
          <w:kern w:val="0"/>
          <w:szCs w:val="21"/>
          <w:highlight w:val="none"/>
          <w:u w:val="single"/>
          <w14:textFill>
            <w14:solidFill>
              <w14:schemeClr w14:val="tx1"/>
            </w14:solidFill>
          </w14:textFill>
        </w:rPr>
        <w:t>不超过14日</w:t>
      </w:r>
      <w:r>
        <w:rPr>
          <w:rFonts w:hint="eastAsia" w:ascii="宋体" w:hAnsi="宋体" w:cs="宋体"/>
          <w:color w:val="000000" w:themeColor="text1"/>
          <w:kern w:val="0"/>
          <w:szCs w:val="21"/>
          <w:highlight w:val="none"/>
          <w14:textFill>
            <w14:solidFill>
              <w14:schemeClr w14:val="tx1"/>
            </w14:solidFill>
          </w14:textFill>
        </w:rPr>
        <w:t>。</w:t>
      </w:r>
    </w:p>
    <w:p w14:paraId="6D3EDDB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发包人审核完工付款申请单的期限：</w:t>
      </w:r>
      <w:r>
        <w:rPr>
          <w:rFonts w:hint="eastAsia" w:ascii="宋体" w:hAnsi="宋体" w:cs="宋体"/>
          <w:color w:val="000000" w:themeColor="text1"/>
          <w:kern w:val="0"/>
          <w:szCs w:val="21"/>
          <w:highlight w:val="none"/>
          <w:u w:val="single"/>
          <w14:textFill>
            <w14:solidFill>
              <w14:schemeClr w14:val="tx1"/>
            </w14:solidFill>
          </w14:textFill>
        </w:rPr>
        <w:t>不超过56日</w:t>
      </w:r>
      <w:r>
        <w:rPr>
          <w:rFonts w:hint="eastAsia" w:ascii="宋体" w:hAnsi="宋体" w:cs="宋体"/>
          <w:color w:val="000000" w:themeColor="text1"/>
          <w:kern w:val="0"/>
          <w:szCs w:val="21"/>
          <w:highlight w:val="none"/>
          <w14:textFill>
            <w14:solidFill>
              <w14:schemeClr w14:val="tx1"/>
            </w14:solidFill>
          </w14:textFill>
        </w:rPr>
        <w:t>。</w:t>
      </w:r>
    </w:p>
    <w:p w14:paraId="75B9069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发包人完成完工付款的期限：</w:t>
      </w:r>
      <w:r>
        <w:rPr>
          <w:rFonts w:hint="eastAsia" w:ascii="宋体" w:hAnsi="宋体" w:cs="宋体"/>
          <w:color w:val="000000" w:themeColor="text1"/>
          <w:kern w:val="0"/>
          <w:szCs w:val="21"/>
          <w:highlight w:val="none"/>
          <w:u w:val="single"/>
          <w14:textFill>
            <w14:solidFill>
              <w14:schemeClr w14:val="tx1"/>
            </w14:solidFill>
          </w14:textFill>
        </w:rPr>
        <w:t>完成完工付款申请单审核后28天内</w:t>
      </w:r>
      <w:r>
        <w:rPr>
          <w:rFonts w:hint="eastAsia" w:ascii="宋体" w:hAnsi="宋体" w:cs="宋体"/>
          <w:color w:val="000000" w:themeColor="text1"/>
          <w:kern w:val="0"/>
          <w:szCs w:val="21"/>
          <w:highlight w:val="none"/>
          <w14:textFill>
            <w14:solidFill>
              <w14:schemeClr w14:val="tx1"/>
            </w14:solidFill>
          </w14:textFill>
        </w:rPr>
        <w:t>。</w:t>
      </w:r>
    </w:p>
    <w:p w14:paraId="28406FE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关于完工付款证书异议部分复核的方式和程序：</w:t>
      </w:r>
      <w:r>
        <w:rPr>
          <w:rFonts w:hint="eastAsia" w:ascii="宋体" w:hAnsi="宋体" w:cs="宋体"/>
          <w:color w:val="000000" w:themeColor="text1"/>
          <w:kern w:val="0"/>
          <w:szCs w:val="21"/>
          <w:highlight w:val="none"/>
          <w:u w:val="single"/>
          <w14:textFill>
            <w14:solidFill>
              <w14:schemeClr w14:val="tx1"/>
            </w14:solidFill>
          </w14:textFill>
        </w:rPr>
        <w:t>按照第24条〔争议的解决〕约定处理</w:t>
      </w:r>
      <w:r>
        <w:rPr>
          <w:rFonts w:hint="eastAsia" w:ascii="宋体" w:hAnsi="宋体" w:cs="宋体"/>
          <w:color w:val="000000" w:themeColor="text1"/>
          <w:kern w:val="0"/>
          <w:szCs w:val="21"/>
          <w:highlight w:val="none"/>
          <w14:textFill>
            <w14:solidFill>
              <w14:schemeClr w14:val="tx1"/>
            </w14:solidFill>
          </w14:textFill>
        </w:rPr>
        <w:t>。</w:t>
      </w:r>
    </w:p>
    <w:p w14:paraId="4508D5A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84" w:name="_Toc33183767"/>
      <w:bookmarkStart w:id="985" w:name="_Toc221951268"/>
      <w:r>
        <w:rPr>
          <w:rFonts w:hint="eastAsia" w:ascii="宋体" w:hAnsi="宋体" w:cs="宋体"/>
          <w:color w:val="000000" w:themeColor="text1"/>
          <w:szCs w:val="21"/>
          <w:highlight w:val="none"/>
          <w14:textFill>
            <w14:solidFill>
              <w14:schemeClr w14:val="tx1"/>
            </w14:solidFill>
          </w14:textFill>
        </w:rPr>
        <w:t>17.6  最终结清</w:t>
      </w:r>
      <w:bookmarkEnd w:id="984"/>
      <w:bookmarkEnd w:id="985"/>
    </w:p>
    <w:p w14:paraId="6BC449E8">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986" w:name="_Toc221951269"/>
      <w:r>
        <w:rPr>
          <w:rFonts w:hint="eastAsia" w:ascii="宋体" w:hAnsi="宋体" w:cs="宋体"/>
          <w:color w:val="000000" w:themeColor="text1"/>
          <w:szCs w:val="21"/>
          <w:highlight w:val="none"/>
          <w14:textFill>
            <w14:solidFill>
              <w14:schemeClr w14:val="tx1"/>
            </w14:solidFill>
          </w14:textFill>
        </w:rPr>
        <w:t>17.6 1  最终结清申请单</w:t>
      </w:r>
      <w:bookmarkEnd w:id="986"/>
    </w:p>
    <w:p w14:paraId="5E619BC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987" w:name="_Toc221951270"/>
      <w:r>
        <w:rPr>
          <w:rFonts w:hint="eastAsia" w:ascii="宋体" w:hAnsi="宋体" w:cs="宋体"/>
          <w:color w:val="000000" w:themeColor="text1"/>
          <w:kern w:val="0"/>
          <w:szCs w:val="21"/>
          <w:highlight w:val="none"/>
          <w14:textFill>
            <w14:solidFill>
              <w14:schemeClr w14:val="tx1"/>
            </w14:solidFill>
          </w14:textFill>
        </w:rPr>
        <w:t>承包人提交最终结清申请单的份数：</w:t>
      </w:r>
      <w:r>
        <w:rPr>
          <w:rFonts w:hint="eastAsia" w:ascii="宋体" w:hAnsi="宋体" w:cs="宋体"/>
          <w:color w:val="000000" w:themeColor="text1"/>
          <w:kern w:val="0"/>
          <w:szCs w:val="21"/>
          <w:highlight w:val="none"/>
          <w:u w:val="single"/>
          <w14:textFill>
            <w14:solidFill>
              <w14:schemeClr w14:val="tx1"/>
            </w14:solidFill>
          </w14:textFill>
        </w:rPr>
        <w:t xml:space="preserve">    份</w:t>
      </w:r>
      <w:r>
        <w:rPr>
          <w:rFonts w:hint="eastAsia" w:ascii="宋体" w:hAnsi="宋体" w:cs="宋体"/>
          <w:color w:val="000000" w:themeColor="text1"/>
          <w:kern w:val="0"/>
          <w:szCs w:val="21"/>
          <w:highlight w:val="none"/>
          <w14:textFill>
            <w14:solidFill>
              <w14:schemeClr w14:val="tx1"/>
            </w14:solidFill>
          </w14:textFill>
        </w:rPr>
        <w:t>。</w:t>
      </w:r>
    </w:p>
    <w:p w14:paraId="77C502E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承包人提交最终结算申请单的期限：</w:t>
      </w:r>
      <w:r>
        <w:rPr>
          <w:rFonts w:hint="eastAsia" w:ascii="宋体" w:hAnsi="宋体" w:cs="宋体"/>
          <w:color w:val="000000" w:themeColor="text1"/>
          <w:kern w:val="0"/>
          <w:szCs w:val="21"/>
          <w:highlight w:val="none"/>
          <w:u w:val="single"/>
          <w14:textFill>
            <w14:solidFill>
              <w14:schemeClr w14:val="tx1"/>
            </w14:solidFill>
          </w14:textFill>
        </w:rPr>
        <w:t>缺陷责任期终止证书颁发后14天内</w:t>
      </w:r>
      <w:r>
        <w:rPr>
          <w:rFonts w:hint="eastAsia" w:ascii="宋体" w:hAnsi="宋体" w:cs="宋体"/>
          <w:color w:val="000000" w:themeColor="text1"/>
          <w:kern w:val="0"/>
          <w:szCs w:val="21"/>
          <w:highlight w:val="none"/>
          <w14:textFill>
            <w14:solidFill>
              <w14:schemeClr w14:val="tx1"/>
            </w14:solidFill>
          </w14:textFill>
        </w:rPr>
        <w:t>。</w:t>
      </w:r>
    </w:p>
    <w:p w14:paraId="59ABEFF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17.6.2</w:t>
      </w:r>
      <w:r>
        <w:rPr>
          <w:rFonts w:hint="eastAsia" w:ascii="宋体" w:hAnsi="宋体" w:cs="宋体"/>
          <w:color w:val="000000" w:themeColor="text1"/>
          <w:kern w:val="0"/>
          <w:szCs w:val="21"/>
          <w:highlight w:val="none"/>
          <w14:textFill>
            <w14:solidFill>
              <w14:schemeClr w14:val="tx1"/>
            </w14:solidFill>
          </w14:textFill>
        </w:rPr>
        <w:t>最终结清证书和支付时间</w:t>
      </w:r>
    </w:p>
    <w:p w14:paraId="2013DD6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（1）监理人完成最终结清申请单的审批并颁发最终结清证书的期限：</w:t>
      </w:r>
      <w:r>
        <w:rPr>
          <w:rFonts w:hint="eastAsia" w:ascii="宋体" w:hAnsi="宋体" w:cs="宋体"/>
          <w:color w:val="000000" w:themeColor="text1"/>
          <w:kern w:val="0"/>
          <w:szCs w:val="21"/>
          <w:highlight w:val="none"/>
          <w:u w:val="single"/>
          <w14:textFill>
            <w14:solidFill>
              <w14:schemeClr w14:val="tx1"/>
            </w14:solidFill>
          </w14:textFill>
        </w:rPr>
        <w:t>监理人收到承包人提交的最终结清申请单后的   天内，提出发包人应支付给承包人的价款送发包人审核并抄送承包人。发包人应在收到后    天内审核完毕，由监理人向承包人出具经发包人签认的最终结清证书</w:t>
      </w:r>
      <w:r>
        <w:rPr>
          <w:rFonts w:hint="eastAsia" w:ascii="宋体" w:hAnsi="宋体" w:cs="宋体"/>
          <w:color w:val="000000" w:themeColor="text1"/>
          <w:kern w:val="0"/>
          <w:szCs w:val="21"/>
          <w:highlight w:val="none"/>
          <w14:textFill>
            <w14:solidFill>
              <w14:schemeClr w14:val="tx1"/>
            </w14:solidFill>
          </w14:textFill>
        </w:rPr>
        <w:t>。</w:t>
      </w:r>
    </w:p>
    <w:p w14:paraId="38512AF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（2）发包人付款的期限：</w:t>
      </w:r>
      <w:r>
        <w:rPr>
          <w:rFonts w:hint="eastAsia" w:ascii="宋体" w:hAnsi="宋体" w:cs="宋体"/>
          <w:color w:val="000000" w:themeColor="text1"/>
          <w:kern w:val="0"/>
          <w:szCs w:val="21"/>
          <w:highlight w:val="none"/>
          <w:u w:val="single"/>
          <w14:textFill>
            <w14:solidFill>
              <w14:schemeClr w14:val="tx1"/>
            </w14:solidFill>
          </w14:textFill>
        </w:rPr>
        <w:t>颁发最终结清证书的   天内</w:t>
      </w:r>
      <w:r>
        <w:rPr>
          <w:rFonts w:hint="eastAsia" w:ascii="宋体" w:hAnsi="宋体" w:cs="宋体"/>
          <w:color w:val="000000" w:themeColor="text1"/>
          <w:kern w:val="0"/>
          <w:szCs w:val="21"/>
          <w:highlight w:val="none"/>
          <w14:textFill>
            <w14:solidFill>
              <w14:schemeClr w14:val="tx1"/>
            </w14:solidFill>
          </w14:textFill>
        </w:rPr>
        <w:t>。</w:t>
      </w:r>
    </w:p>
    <w:p w14:paraId="153519F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本款补充17.6.3项如下：</w:t>
      </w:r>
    </w:p>
    <w:p w14:paraId="7CDC2A60">
      <w:pPr>
        <w:keepNext/>
        <w:keepLines/>
        <w:spacing w:line="360" w:lineRule="auto"/>
        <w:ind w:firstLine="420" w:firstLineChars="200"/>
        <w:outlineLvl w:val="4"/>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17.6.3逾期办理或不配合办理完工结算的处理</w:t>
      </w:r>
    </w:p>
    <w:p w14:paraId="01EFCFE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有下列情形之一的，视为承包人放弃与发包人共同办理完工结算的权利，发包人有权会同审计单位、监理人根据有效资料共同确定完工结算金额。</w:t>
      </w:r>
    </w:p>
    <w:p w14:paraId="6D15894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（1）承包人具备报送条件但逾期未报送完工结算资料，亦未获得发包人批准延期报送，经发包人两次书面催告仍未在限期内报送的。</w:t>
      </w:r>
    </w:p>
    <w:p w14:paraId="53A1F1DC">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在接到监理人或发包人对完工结算申请单提出的审核意见后，未在限期内按监理人或发包人提出的合理要求补充资料和（或）修改完工结算资料，亦未获得发包人批准延期报送，经发包人两次书面催告仍未在限期内报送的。</w:t>
      </w:r>
    </w:p>
    <w:p w14:paraId="6305C363">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（3）承包人不配合发包人、审计单位、监理人、发包人委托的工程造价咨询服务单位办理完工结算的，经发包人两次书面函告仍未改正的。</w:t>
      </w:r>
    </w:p>
    <w:p w14:paraId="21311036">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bookmarkEnd w:id="987"/>
    </w:p>
    <w:p w14:paraId="23CD12EC">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88" w:name="_Toc33183768"/>
      <w:r>
        <w:rPr>
          <w:rFonts w:hint="eastAsia" w:ascii="宋体" w:hAnsi="宋体" w:cs="宋体"/>
          <w:color w:val="000000" w:themeColor="text1"/>
          <w:szCs w:val="21"/>
          <w:highlight w:val="none"/>
          <w14:textFill>
            <w14:solidFill>
              <w14:schemeClr w14:val="tx1"/>
            </w14:solidFill>
          </w14:textFill>
        </w:rPr>
        <w:t>17.7  竣工财务决算</w:t>
      </w:r>
      <w:bookmarkEnd w:id="988"/>
    </w:p>
    <w:p w14:paraId="7725EEF1">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承包人应为竣工财务决算编制提供的资料：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11F36A7">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989" w:name="_Toc221951271"/>
      <w:bookmarkStart w:id="990" w:name="_Toc222031043"/>
      <w:bookmarkStart w:id="991" w:name="_Toc222033892"/>
      <w:bookmarkStart w:id="992" w:name="_Toc222029541"/>
      <w:bookmarkStart w:id="993" w:name="_Toc222032710"/>
      <w:bookmarkStart w:id="994" w:name="_Toc229305399"/>
      <w:bookmarkStart w:id="995" w:name="_Toc59810421"/>
      <w:bookmarkStart w:id="996" w:name="_Toc33183769"/>
      <w:bookmarkStart w:id="997" w:name="_Toc2056"/>
      <w:bookmarkStart w:id="998" w:name="_Toc3708"/>
      <w:r>
        <w:rPr>
          <w:rFonts w:hint="eastAsia" w:ascii="宋体" w:hAnsi="宋体" w:cs="宋体"/>
          <w:color w:val="000000" w:themeColor="text1"/>
          <w:sz w:val="21"/>
          <w:szCs w:val="21"/>
          <w:highlight w:val="none"/>
          <w14:textFill>
            <w14:solidFill>
              <w14:schemeClr w14:val="tx1"/>
            </w14:solidFill>
          </w14:textFill>
        </w:rPr>
        <w:t>18.竣工验收</w:t>
      </w:r>
      <w:bookmarkEnd w:id="989"/>
      <w:bookmarkEnd w:id="990"/>
      <w:bookmarkEnd w:id="991"/>
      <w:bookmarkEnd w:id="992"/>
      <w:bookmarkEnd w:id="993"/>
      <w:bookmarkEnd w:id="994"/>
      <w:r>
        <w:rPr>
          <w:rFonts w:hint="eastAsia" w:ascii="宋体" w:hAnsi="宋体" w:cs="宋体"/>
          <w:color w:val="000000" w:themeColor="text1"/>
          <w:sz w:val="21"/>
          <w:szCs w:val="21"/>
          <w:highlight w:val="none"/>
          <w14:textFill>
            <w14:solidFill>
              <w14:schemeClr w14:val="tx1"/>
            </w14:solidFill>
          </w14:textFill>
        </w:rPr>
        <w:t>（验收）</w:t>
      </w:r>
      <w:bookmarkEnd w:id="995"/>
      <w:bookmarkEnd w:id="996"/>
      <w:bookmarkEnd w:id="997"/>
      <w:bookmarkEnd w:id="998"/>
    </w:p>
    <w:p w14:paraId="3B222643">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999" w:name="_Toc221951272"/>
      <w:bookmarkStart w:id="1000" w:name="_Toc33183770"/>
      <w:r>
        <w:rPr>
          <w:rFonts w:hint="eastAsia" w:ascii="宋体" w:hAnsi="宋体" w:cs="宋体"/>
          <w:color w:val="000000" w:themeColor="text1"/>
          <w:szCs w:val="21"/>
          <w:highlight w:val="none"/>
          <w14:textFill>
            <w14:solidFill>
              <w14:schemeClr w14:val="tx1"/>
            </w14:solidFill>
          </w14:textFill>
        </w:rPr>
        <w:t xml:space="preserve">18.1 </w:t>
      </w:r>
      <w:bookmarkEnd w:id="999"/>
      <w:r>
        <w:rPr>
          <w:rFonts w:hint="eastAsia" w:ascii="宋体" w:hAnsi="宋体" w:cs="宋体"/>
          <w:color w:val="000000" w:themeColor="text1"/>
          <w:szCs w:val="21"/>
          <w:highlight w:val="none"/>
          <w14:textFill>
            <w14:solidFill>
              <w14:schemeClr w14:val="tx1"/>
            </w14:solidFill>
          </w14:textFill>
        </w:rPr>
        <w:t>验收工作分类</w:t>
      </w:r>
      <w:bookmarkEnd w:id="1000"/>
    </w:p>
    <w:p w14:paraId="4EC0E87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1001" w:name="_Toc221951274"/>
      <w:r>
        <w:rPr>
          <w:rFonts w:hint="eastAsia" w:ascii="宋体" w:hAnsi="宋体" w:cs="宋体"/>
          <w:color w:val="000000" w:themeColor="text1"/>
          <w:kern w:val="0"/>
          <w:szCs w:val="21"/>
          <w:highlight w:val="none"/>
          <w14:textFill>
            <w14:solidFill>
              <w14:schemeClr w14:val="tx1"/>
            </w14:solidFill>
          </w14:textFill>
        </w:rPr>
        <w:t>本款补充细化如下：</w:t>
      </w:r>
    </w:p>
    <w:p w14:paraId="15A050D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法人验收包括：</w:t>
      </w:r>
      <w:r>
        <w:rPr>
          <w:rFonts w:hint="eastAsia" w:ascii="宋体" w:hAnsi="宋体" w:cs="宋体"/>
          <w:color w:val="000000" w:themeColor="text1"/>
          <w:kern w:val="0"/>
          <w:szCs w:val="21"/>
          <w:highlight w:val="none"/>
          <w:u w:val="single"/>
          <w14:textFill>
            <w14:solidFill>
              <w14:schemeClr w14:val="tx1"/>
            </w14:solidFill>
          </w14:textFill>
        </w:rPr>
        <w:t>分部工程验收、单位工程验收、完工验收</w:t>
      </w:r>
      <w:r>
        <w:rPr>
          <w:rFonts w:hint="eastAsia" w:ascii="宋体" w:hAnsi="宋体" w:cs="宋体"/>
          <w:color w:val="000000" w:themeColor="text1"/>
          <w:kern w:val="0"/>
          <w:szCs w:val="21"/>
          <w:highlight w:val="none"/>
          <w14:textFill>
            <w14:solidFill>
              <w14:schemeClr w14:val="tx1"/>
            </w14:solidFill>
          </w14:textFill>
        </w:rPr>
        <w:t>。</w:t>
      </w:r>
    </w:p>
    <w:p w14:paraId="2A070802">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政府验收包括：</w:t>
      </w:r>
      <w:r>
        <w:rPr>
          <w:rFonts w:hint="eastAsia" w:ascii="宋体" w:hAnsi="宋体" w:cs="宋体"/>
          <w:color w:val="000000" w:themeColor="text1"/>
          <w:kern w:val="0"/>
          <w:szCs w:val="21"/>
          <w:highlight w:val="none"/>
          <w:u w:val="single"/>
          <w14:textFill>
            <w14:solidFill>
              <w14:schemeClr w14:val="tx1"/>
            </w14:solidFill>
          </w14:textFill>
        </w:rPr>
        <w:t>专项验收（环境保护、移民安置、工程档案等）、阶段验收（枢纽工程导截流、水库下闸蓄水、引调排水工程通水、首末台机组启动等）、竣工验收。政府验收是指由有关人民政府、水行政主管部门或者其他有关部门组织进行的验收。</w:t>
      </w:r>
    </w:p>
    <w:p w14:paraId="328FD7F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验收条件：</w:t>
      </w:r>
      <w:r>
        <w:rPr>
          <w:rFonts w:hint="eastAsia" w:ascii="宋体" w:hAnsi="宋体" w:cs="宋体"/>
          <w:color w:val="000000" w:themeColor="text1"/>
          <w:kern w:val="0"/>
          <w:szCs w:val="21"/>
          <w:highlight w:val="none"/>
          <w:u w:val="single"/>
          <w14:textFill>
            <w14:solidFill>
              <w14:schemeClr w14:val="tx1"/>
            </w14:solidFill>
          </w14:textFill>
        </w:rPr>
        <w:t>应符合国家有关规定及《水利水电建设工程验收规程》的要求和合同约定。承包人应按照规范规定准备验收资料、参加验收会议，按合同的约定配合发包人完成政府验收工作。</w:t>
      </w:r>
    </w:p>
    <w:p w14:paraId="00FCBE5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验收程序：</w:t>
      </w:r>
      <w:r>
        <w:rPr>
          <w:rFonts w:hint="eastAsia" w:ascii="宋体" w:hAnsi="宋体" w:cs="宋体"/>
          <w:color w:val="000000" w:themeColor="text1"/>
          <w:kern w:val="0"/>
          <w:szCs w:val="21"/>
          <w:highlight w:val="none"/>
          <w:u w:val="single"/>
          <w14:textFill>
            <w14:solidFill>
              <w14:schemeClr w14:val="tx1"/>
            </w14:solidFill>
          </w14:textFill>
        </w:rPr>
        <w:t>按渝水基〔2008〕47号文件和现行的验收规程执行。</w:t>
      </w:r>
    </w:p>
    <w:p w14:paraId="454B97A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783F8F4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具体验收条件及程序如下：</w:t>
      </w:r>
    </w:p>
    <w:p w14:paraId="22C6307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18.1.1合同工程完工验收条件及程序</w:t>
      </w:r>
    </w:p>
    <w:p w14:paraId="3A8D8A8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具备《水利水电建设工程验收规程》要求的合同完工验收条件的，承包人可以申请合同完工验收。承包人申请合同完工验收的，应当按照以下程序进行： </w:t>
      </w:r>
    </w:p>
    <w:p w14:paraId="24C6920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向监理人报送合同完工验收申请报告，监理人应在收到合同完工验收申请报告后14天内完成审查并报送发包人。监理人审查后认为尚不具备验收条件的，应通知承包人在合同完工验收前承包人还需完成的工作内容，承包人应在完成监理人通知的全部工作内容后，再次提交合同完工验收申请报告。</w:t>
      </w:r>
    </w:p>
    <w:p w14:paraId="3E53975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监理人审查后认为已具备合同完工验收条件的，应将竣工验收申请报告提交发包人，发包人应在收到经监理人审核的合同完工验收申请报告后28天内审批完毕并组织监理人、承包人、设计人等相关单位完成合同完工验收。</w:t>
      </w:r>
    </w:p>
    <w:p w14:paraId="5886905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（3）合同完工验收合格的，发包人应在验收合格后14天内向承包人签发工程移交证书。发包人无正当理由逾期不颁发工程移交证书的，自验收合格后第15天起视为已颁发工程移交证书。</w:t>
      </w:r>
    </w:p>
    <w:p w14:paraId="4994AC5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合同完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701087E">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（5）工程未经验收或验收不合格，发包人擅自使用的，应在转移占有工程后7天内向承包人颁发工程移交证书；发包人无正当理由逾期不颁发工程移交证书的，自转移占有后第15天起视为已颁发工程移交证书。</w:t>
      </w:r>
    </w:p>
    <w:p w14:paraId="54E2820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发包人不按照本项约定组织合同完工验收、颁发工程移交证书的，每逾期一天，应以签约合同价为基数，</w:t>
      </w:r>
      <w:r>
        <w:rPr>
          <w:rFonts w:hint="eastAsia" w:ascii="宋体" w:hAnsi="宋体"/>
          <w:color w:val="000000" w:themeColor="text1"/>
          <w:szCs w:val="21"/>
          <w:highlight w:val="none"/>
          <w:u w:val="single"/>
          <w14:textFill>
            <w14:solidFill>
              <w14:schemeClr w14:val="tx1"/>
            </w14:solidFill>
          </w14:textFill>
        </w:rPr>
        <w:t>按照中国人民银行   年   月公布的5年期贷款市场报价利率</w:t>
      </w:r>
      <w:r>
        <w:rPr>
          <w:rFonts w:hint="eastAsia" w:ascii="宋体" w:hAnsi="宋体" w:cs="宋体"/>
          <w:color w:val="000000" w:themeColor="text1"/>
          <w:kern w:val="0"/>
          <w:szCs w:val="21"/>
          <w:highlight w:val="none"/>
          <w14:textFill>
            <w14:solidFill>
              <w14:schemeClr w14:val="tx1"/>
            </w14:solidFill>
          </w14:textFill>
        </w:rPr>
        <w:t>支付违约金。</w:t>
      </w:r>
    </w:p>
    <w:p w14:paraId="305A7BB5">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工程完工及竣工资料、完工及竣工验收程序的约定：</w:t>
      </w:r>
      <w:r>
        <w:rPr>
          <w:rFonts w:hint="eastAsia" w:ascii="宋体" w:hAnsi="宋体" w:cs="宋体"/>
          <w:color w:val="000000" w:themeColor="text1"/>
          <w:kern w:val="0"/>
          <w:szCs w:val="21"/>
          <w:highlight w:val="none"/>
          <w:u w:val="single"/>
          <w14:textFill>
            <w14:solidFill>
              <w14:schemeClr w14:val="tx1"/>
            </w14:solidFill>
          </w14:textFill>
        </w:rPr>
        <w:t>按照《水利水电建设工程验收规程》和《水利工程建设项目验收管理规定》执行</w:t>
      </w:r>
      <w:r>
        <w:rPr>
          <w:rFonts w:hint="eastAsia" w:ascii="宋体" w:hAnsi="宋体" w:cs="宋体"/>
          <w:color w:val="000000" w:themeColor="text1"/>
          <w:kern w:val="0"/>
          <w:szCs w:val="21"/>
          <w:highlight w:val="none"/>
          <w14:textFill>
            <w14:solidFill>
              <w14:schemeClr w14:val="tx1"/>
            </w14:solidFill>
          </w14:textFill>
        </w:rPr>
        <w:t>。</w:t>
      </w:r>
    </w:p>
    <w:p w14:paraId="4BB9AFF5">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18.1.2完工日期的界定</w:t>
      </w:r>
    </w:p>
    <w:p w14:paraId="7889714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工程经合同完工验收合格的，以承包人提交合同完工验收申请报告之日为实际竣工日期，并在工程移交证书中载明；因发包人原因，未在监理人收到承包人提交的合同完工验收申请报告42天内完成合同完工验收，或完成合同完工验收不予签发工程移交证书的，以提交合同完工验收申请报告的日期为实际完工日期；工程未经合同完工验收，发包人擅自使用的，以转移占有工程之日为实际完工日期</w:t>
      </w:r>
      <w:r>
        <w:rPr>
          <w:rFonts w:hint="eastAsia" w:ascii="宋体" w:hAnsi="宋体" w:cs="宋体"/>
          <w:color w:val="000000" w:themeColor="text1"/>
          <w:kern w:val="0"/>
          <w:szCs w:val="21"/>
          <w:highlight w:val="none"/>
          <w14:textFill>
            <w14:solidFill>
              <w14:schemeClr w14:val="tx1"/>
            </w14:solidFill>
          </w14:textFill>
        </w:rPr>
        <w:t>。</w:t>
      </w:r>
    </w:p>
    <w:p w14:paraId="0B77199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18.1.3拒绝接收全部或部分工程</w:t>
      </w:r>
    </w:p>
    <w:p w14:paraId="640087F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对于合同完工验收不合格的工程，承包人完成整改后，应当重新进行合同完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ascii="宋体" w:hAnsi="宋体" w:cs="宋体"/>
          <w:color w:val="000000" w:themeColor="text1"/>
          <w:kern w:val="0"/>
          <w:szCs w:val="21"/>
          <w:highlight w:val="none"/>
          <w14:textFill>
            <w14:solidFill>
              <w14:schemeClr w14:val="tx1"/>
            </w14:solidFill>
          </w14:textFill>
        </w:rPr>
        <w:t>。</w:t>
      </w:r>
    </w:p>
    <w:p w14:paraId="565A0B4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18.1.4移交、接收全部与部分工程</w:t>
      </w:r>
    </w:p>
    <w:p w14:paraId="02F1458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承包人向发包人移交工程的期限：</w:t>
      </w:r>
      <w:r>
        <w:rPr>
          <w:rFonts w:hint="eastAsia" w:ascii="宋体" w:hAnsi="宋体" w:cs="宋体"/>
          <w:color w:val="000000" w:themeColor="text1"/>
          <w:kern w:val="0"/>
          <w:szCs w:val="21"/>
          <w:highlight w:val="none"/>
          <w:u w:val="single"/>
          <w14:textFill>
            <w14:solidFill>
              <w14:schemeClr w14:val="tx1"/>
            </w14:solidFill>
          </w14:textFill>
        </w:rPr>
        <w:t>颁发工程移交证书后7天内完成工程的移交</w:t>
      </w:r>
      <w:r>
        <w:rPr>
          <w:rFonts w:hint="eastAsia" w:ascii="宋体" w:hAnsi="宋体" w:cs="宋体"/>
          <w:color w:val="000000" w:themeColor="text1"/>
          <w:kern w:val="0"/>
          <w:szCs w:val="21"/>
          <w:highlight w:val="none"/>
          <w14:textFill>
            <w14:solidFill>
              <w14:schemeClr w14:val="tx1"/>
            </w14:solidFill>
          </w14:textFill>
        </w:rPr>
        <w:t>。</w:t>
      </w:r>
    </w:p>
    <w:p w14:paraId="25B4F87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发包人未按合同约定接收全部或部分工程的，违约金的计算方法为：</w:t>
      </w:r>
      <w:r>
        <w:rPr>
          <w:rFonts w:hint="eastAsia" w:ascii="宋体" w:hAnsi="宋体" w:cs="宋体"/>
          <w:color w:val="000000" w:themeColor="text1"/>
          <w:kern w:val="0"/>
          <w:szCs w:val="21"/>
          <w:highlight w:val="none"/>
          <w:u w:val="single"/>
          <w14:textFill>
            <w14:solidFill>
              <w14:schemeClr w14:val="tx1"/>
            </w14:solidFill>
          </w14:textFill>
        </w:rPr>
        <w:t>发包人自应当接收工程之日起承担工程照管、成品保护、保管等与工程有关的各项费用</w:t>
      </w:r>
      <w:r>
        <w:rPr>
          <w:rFonts w:hint="eastAsia" w:ascii="宋体" w:hAnsi="宋体" w:cs="宋体"/>
          <w:color w:val="000000" w:themeColor="text1"/>
          <w:kern w:val="0"/>
          <w:szCs w:val="21"/>
          <w:highlight w:val="none"/>
          <w14:textFill>
            <w14:solidFill>
              <w14:schemeClr w14:val="tx1"/>
            </w14:solidFill>
          </w14:textFill>
        </w:rPr>
        <w:t>。</w:t>
      </w:r>
    </w:p>
    <w:p w14:paraId="1D893A4F">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因承包人自身原因未按时移交工程的，违约金的计算方法为：</w:t>
      </w:r>
      <w:r>
        <w:rPr>
          <w:rFonts w:hint="eastAsia" w:ascii="宋体" w:hAnsi="宋体" w:cs="宋体"/>
          <w:color w:val="000000" w:themeColor="text1"/>
          <w:kern w:val="0"/>
          <w:szCs w:val="21"/>
          <w:highlight w:val="none"/>
          <w:u w:val="single"/>
          <w14:textFill>
            <w14:solidFill>
              <w14:schemeClr w14:val="tx1"/>
            </w14:solidFill>
          </w14:textFill>
        </w:rPr>
        <w:t>承包人应承担工程照管、成品保护、保管等与工程有关的各项费用，并按经审定结算金额的0.5‰/天支付违约金</w:t>
      </w:r>
      <w:r>
        <w:rPr>
          <w:rFonts w:hint="eastAsia" w:ascii="宋体" w:hAnsi="宋体" w:cs="宋体"/>
          <w:color w:val="000000" w:themeColor="text1"/>
          <w:kern w:val="0"/>
          <w:szCs w:val="21"/>
          <w:highlight w:val="none"/>
          <w14:textFill>
            <w14:solidFill>
              <w14:schemeClr w14:val="tx1"/>
            </w14:solidFill>
          </w14:textFill>
        </w:rPr>
        <w:t>。</w:t>
      </w:r>
    </w:p>
    <w:p w14:paraId="4A5519A4">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需要在施工期运行的单位工程或工程设备为：</w:t>
      </w:r>
      <w:r>
        <w:rPr>
          <w:rFonts w:hint="eastAsia" w:ascii="宋体" w:hAnsi="宋体" w:cs="宋体"/>
          <w:color w:val="000000" w:themeColor="text1"/>
          <w:kern w:val="0"/>
          <w:szCs w:val="21"/>
          <w:highlight w:val="none"/>
          <w:u w:val="single"/>
          <w14:textFill>
            <w14:solidFill>
              <w14:schemeClr w14:val="tx1"/>
            </w14:solidFill>
          </w14:textFill>
        </w:rPr>
        <w:t>根据工程项目划分后确定</w:t>
      </w:r>
      <w:r>
        <w:rPr>
          <w:rFonts w:hint="eastAsia" w:ascii="宋体" w:hAnsi="宋体" w:cs="宋体"/>
          <w:color w:val="000000" w:themeColor="text1"/>
          <w:kern w:val="0"/>
          <w:szCs w:val="21"/>
          <w:highlight w:val="none"/>
          <w14:textFill>
            <w14:solidFill>
              <w14:schemeClr w14:val="tx1"/>
            </w14:solidFill>
          </w14:textFill>
        </w:rPr>
        <w:t>。</w:t>
      </w:r>
    </w:p>
    <w:p w14:paraId="72C86E8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02" w:name="_Toc33183771"/>
      <w:r>
        <w:rPr>
          <w:rFonts w:hint="eastAsia" w:ascii="宋体" w:hAnsi="宋体" w:cs="宋体"/>
          <w:color w:val="000000" w:themeColor="text1"/>
          <w:szCs w:val="21"/>
          <w:highlight w:val="none"/>
          <w14:textFill>
            <w14:solidFill>
              <w14:schemeClr w14:val="tx1"/>
            </w14:solidFill>
          </w14:textFill>
        </w:rPr>
        <w:t>18.2  分部工程验收</w:t>
      </w:r>
      <w:bookmarkEnd w:id="1002"/>
    </w:p>
    <w:p w14:paraId="0F45DDB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18.2.2本工程由发包人主持的分部工程验收为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，其余由监理主持。</w:t>
      </w:r>
    </w:p>
    <w:p w14:paraId="52BA3705">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03" w:name="_Toc33183772"/>
      <w:r>
        <w:rPr>
          <w:rFonts w:hint="eastAsia" w:ascii="宋体" w:hAnsi="宋体" w:cs="宋体"/>
          <w:color w:val="000000" w:themeColor="text1"/>
          <w:szCs w:val="21"/>
          <w:highlight w:val="none"/>
          <w14:textFill>
            <w14:solidFill>
              <w14:schemeClr w14:val="tx1"/>
            </w14:solidFill>
          </w14:textFill>
        </w:rPr>
        <w:t>18.3  单位工程验收</w:t>
      </w:r>
      <w:bookmarkEnd w:id="1003"/>
    </w:p>
    <w:p w14:paraId="5898F36A">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18.3.4  提前投入使用的单位工程包括：</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bookmarkEnd w:id="1001"/>
    <w:p w14:paraId="6CC181F5">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1004" w:name="_Toc221951282"/>
      <w:bookmarkStart w:id="1005" w:name="_Toc33183773"/>
      <w:r>
        <w:rPr>
          <w:rFonts w:hint="eastAsia" w:ascii="宋体" w:hAnsi="宋体" w:cs="宋体"/>
          <w:color w:val="000000" w:themeColor="text1"/>
          <w:szCs w:val="21"/>
          <w:highlight w:val="none"/>
          <w14:textFill>
            <w14:solidFill>
              <w14:schemeClr w14:val="tx1"/>
            </w14:solidFill>
          </w14:textFill>
        </w:rPr>
        <w:t xml:space="preserve">18.5  </w:t>
      </w:r>
      <w:bookmarkEnd w:id="1004"/>
      <w:r>
        <w:rPr>
          <w:rFonts w:hint="eastAsia" w:ascii="宋体" w:hAnsi="宋体" w:cs="宋体"/>
          <w:color w:val="000000" w:themeColor="text1"/>
          <w:szCs w:val="21"/>
          <w:highlight w:val="none"/>
          <w14:textFill>
            <w14:solidFill>
              <w14:schemeClr w14:val="tx1"/>
            </w14:solidFill>
          </w14:textFill>
        </w:rPr>
        <w:t>阶段验收</w:t>
      </w:r>
      <w:bookmarkEnd w:id="1005"/>
    </w:p>
    <w:p w14:paraId="23024CC1">
      <w:pPr>
        <w:spacing w:line="360" w:lineRule="auto"/>
        <w:ind w:firstLine="315" w:firstLineChars="150"/>
        <w:rPr>
          <w:rFonts w:ascii="宋体" w:hAnsi="宋体" w:cs="宋体"/>
          <w:color w:val="000000" w:themeColor="text1"/>
          <w:szCs w:val="21"/>
          <w:highlight w:val="none"/>
          <w14:textFill>
            <w14:solidFill>
              <w14:schemeClr w14:val="tx1"/>
            </w14:solidFill>
          </w14:textFill>
        </w:rPr>
      </w:pPr>
      <w:bookmarkStart w:id="1006" w:name="_Toc221951283"/>
      <w:r>
        <w:rPr>
          <w:rFonts w:hint="eastAsia" w:ascii="宋体" w:hAnsi="宋体" w:cs="宋体"/>
          <w:color w:val="000000" w:themeColor="text1"/>
          <w:szCs w:val="21"/>
          <w:highlight w:val="none"/>
          <w14:textFill>
            <w14:solidFill>
              <w14:schemeClr w14:val="tx1"/>
            </w14:solidFill>
          </w14:textFill>
        </w:rPr>
        <w:t>18.5.1 本合同工程阶段验收类别包括：</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bookmarkEnd w:id="1006"/>
      <w:r>
        <w:rPr>
          <w:rFonts w:ascii="宋体" w:hAnsi="宋体" w:cs="宋体"/>
          <w:color w:val="000000" w:themeColor="text1"/>
          <w:szCs w:val="21"/>
          <w:highlight w:val="none"/>
          <w14:textFill>
            <w14:solidFill>
              <w14:schemeClr w14:val="tx1"/>
            </w14:solidFill>
          </w14:textFill>
        </w:rPr>
        <w:t xml:space="preserve">、 </w:t>
      </w:r>
      <w:bookmarkStart w:id="1007" w:name="_Toc221951284"/>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1007"/>
    </w:p>
    <w:p w14:paraId="79275CB5">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08" w:name="_Toc221951285"/>
      <w:bookmarkStart w:id="1009" w:name="_Toc33183774"/>
      <w:r>
        <w:rPr>
          <w:rFonts w:hint="eastAsia" w:ascii="宋体" w:hAnsi="宋体" w:cs="宋体"/>
          <w:color w:val="000000" w:themeColor="text1"/>
          <w:szCs w:val="21"/>
          <w:highlight w:val="none"/>
          <w14:textFill>
            <w14:solidFill>
              <w14:schemeClr w14:val="tx1"/>
            </w14:solidFill>
          </w14:textFill>
        </w:rPr>
        <w:t xml:space="preserve">18.6  </w:t>
      </w:r>
      <w:bookmarkEnd w:id="1008"/>
      <w:r>
        <w:rPr>
          <w:rFonts w:hint="eastAsia" w:ascii="宋体" w:hAnsi="宋体" w:cs="宋体"/>
          <w:color w:val="000000" w:themeColor="text1"/>
          <w:szCs w:val="21"/>
          <w:highlight w:val="none"/>
          <w14:textFill>
            <w14:solidFill>
              <w14:schemeClr w14:val="tx1"/>
            </w14:solidFill>
          </w14:textFill>
        </w:rPr>
        <w:t>专项验收</w:t>
      </w:r>
      <w:bookmarkEnd w:id="1009"/>
      <w:r>
        <w:rPr>
          <w:rFonts w:hint="eastAsia" w:ascii="宋体" w:hAnsi="宋体" w:cs="宋体"/>
          <w:color w:val="000000" w:themeColor="text1"/>
          <w:szCs w:val="21"/>
          <w:highlight w:val="none"/>
          <w14:textFill>
            <w14:solidFill>
              <w14:schemeClr w14:val="tx1"/>
            </w14:solidFill>
          </w14:textFill>
        </w:rPr>
        <w:t xml:space="preserve">   </w:t>
      </w:r>
    </w:p>
    <w:p w14:paraId="1E08CC10">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1010" w:name="_Toc221951286"/>
      <w:r>
        <w:rPr>
          <w:rFonts w:hint="eastAsia" w:ascii="宋体" w:hAnsi="宋体" w:cs="宋体"/>
          <w:color w:val="000000" w:themeColor="text1"/>
          <w:szCs w:val="21"/>
          <w:highlight w:val="none"/>
          <w14:textFill>
            <w14:solidFill>
              <w14:schemeClr w14:val="tx1"/>
            </w14:solidFill>
          </w14:textFill>
        </w:rPr>
        <w:t xml:space="preserve">18.6.1 </w:t>
      </w:r>
      <w:bookmarkEnd w:id="1010"/>
      <w:r>
        <w:rPr>
          <w:rFonts w:hint="eastAsia" w:ascii="宋体" w:hAnsi="宋体" w:cs="宋体"/>
          <w:color w:val="000000" w:themeColor="text1"/>
          <w:szCs w:val="21"/>
          <w:highlight w:val="none"/>
          <w14:textFill>
            <w14:solidFill>
              <w14:schemeClr w14:val="tx1"/>
            </w14:solidFill>
          </w14:textFill>
        </w:rPr>
        <w:t>本合同工程专项验收类别包括：</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35A054F">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11" w:name="_Toc221951289"/>
      <w:bookmarkStart w:id="1012" w:name="_Toc33183775"/>
      <w:r>
        <w:rPr>
          <w:rFonts w:hint="eastAsia" w:ascii="宋体" w:hAnsi="宋体" w:cs="宋体"/>
          <w:color w:val="000000" w:themeColor="text1"/>
          <w:szCs w:val="21"/>
          <w:highlight w:val="none"/>
          <w14:textFill>
            <w14:solidFill>
              <w14:schemeClr w14:val="tx1"/>
            </w14:solidFill>
          </w14:textFill>
        </w:rPr>
        <w:t>18.7 竣工</w:t>
      </w:r>
      <w:bookmarkEnd w:id="1011"/>
      <w:r>
        <w:rPr>
          <w:rFonts w:hint="eastAsia" w:ascii="宋体" w:hAnsi="宋体" w:cs="宋体"/>
          <w:color w:val="000000" w:themeColor="text1"/>
          <w:szCs w:val="21"/>
          <w:highlight w:val="none"/>
          <w14:textFill>
            <w14:solidFill>
              <w14:schemeClr w14:val="tx1"/>
            </w14:solidFill>
          </w14:textFill>
        </w:rPr>
        <w:t>验收</w:t>
      </w:r>
      <w:bookmarkEnd w:id="1012"/>
    </w:p>
    <w:p w14:paraId="7805986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1013" w:name="_Toc221951290"/>
      <w:r>
        <w:rPr>
          <w:rFonts w:hint="eastAsia" w:ascii="宋体" w:hAnsi="宋体" w:cs="宋体"/>
          <w:color w:val="000000" w:themeColor="text1"/>
          <w:kern w:val="0"/>
          <w:szCs w:val="21"/>
          <w:highlight w:val="none"/>
          <w14:textFill>
            <w14:solidFill>
              <w14:schemeClr w14:val="tx1"/>
            </w14:solidFill>
          </w14:textFill>
        </w:rPr>
        <w:t>本款竣工验收在水利工程中特指政府验收。</w:t>
      </w:r>
    </w:p>
    <w:p w14:paraId="28113A46">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18.7.3本工程</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（需要/不需要）竣工验收技术鉴定</w:t>
      </w:r>
      <w:r>
        <w:rPr>
          <w:rFonts w:ascii="宋体" w:hAnsi="宋体" w:cs="宋体"/>
          <w:color w:val="000000" w:themeColor="text1"/>
          <w:szCs w:val="21"/>
          <w:highlight w:val="none"/>
          <w14:textFill>
            <w14:solidFill>
              <w14:schemeClr w14:val="tx1"/>
            </w14:solidFill>
          </w14:textFill>
        </w:rPr>
        <w:t>（蓄水安全鉴定）</w:t>
      </w:r>
      <w:r>
        <w:rPr>
          <w:rFonts w:hint="eastAsia" w:ascii="宋体" w:hAnsi="宋体" w:cs="宋体"/>
          <w:color w:val="000000" w:themeColor="text1"/>
          <w:szCs w:val="21"/>
          <w:highlight w:val="none"/>
          <w14:textFill>
            <w14:solidFill>
              <w14:schemeClr w14:val="tx1"/>
            </w14:solidFill>
          </w14:textFill>
        </w:rPr>
        <w:t>。</w:t>
      </w:r>
      <w:bookmarkEnd w:id="1013"/>
    </w:p>
    <w:p w14:paraId="0E7DCB3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14" w:name="_Toc33183776"/>
      <w:r>
        <w:rPr>
          <w:rFonts w:hint="eastAsia" w:ascii="宋体" w:hAnsi="宋体" w:cs="宋体"/>
          <w:color w:val="000000" w:themeColor="text1"/>
          <w:szCs w:val="21"/>
          <w:highlight w:val="none"/>
          <w14:textFill>
            <w14:solidFill>
              <w14:schemeClr w14:val="tx1"/>
            </w14:solidFill>
          </w14:textFill>
        </w:rPr>
        <w:t>18.8 施工期运行</w:t>
      </w:r>
      <w:bookmarkEnd w:id="1014"/>
    </w:p>
    <w:p w14:paraId="345E6B5B">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18.8.1需要在施工期运行的单位工程或工程设备为：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0033580">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15" w:name="_Toc33183777"/>
      <w:r>
        <w:rPr>
          <w:rFonts w:hint="eastAsia" w:ascii="宋体" w:hAnsi="宋体" w:cs="宋体"/>
          <w:color w:val="000000" w:themeColor="text1"/>
          <w:szCs w:val="21"/>
          <w:highlight w:val="none"/>
          <w14:textFill>
            <w14:solidFill>
              <w14:schemeClr w14:val="tx1"/>
            </w14:solidFill>
          </w14:textFill>
        </w:rPr>
        <w:t>18.9 试运行</w:t>
      </w:r>
      <w:bookmarkEnd w:id="1015"/>
    </w:p>
    <w:p w14:paraId="28585C9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18.9.1试运行的组织：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；费用承担：</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11935B8">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本项细化以下内容：</w:t>
      </w:r>
    </w:p>
    <w:p w14:paraId="4AEAC43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工程试车内容：</w:t>
      </w:r>
      <w:r>
        <w:rPr>
          <w:rFonts w:hint="eastAsia" w:ascii="宋体" w:hAnsi="宋体" w:cs="宋体"/>
          <w:color w:val="000000" w:themeColor="text1"/>
          <w:kern w:val="0"/>
          <w:szCs w:val="21"/>
          <w:highlight w:val="none"/>
          <w:u w:val="single"/>
          <w14:textFill>
            <w14:solidFill>
              <w14:schemeClr w14:val="tx1"/>
            </w14:solidFill>
          </w14:textFill>
        </w:rPr>
        <w:t>按通用合同条款执行</w:t>
      </w:r>
      <w:r>
        <w:rPr>
          <w:rFonts w:hint="eastAsia" w:ascii="宋体" w:hAnsi="宋体" w:cs="宋体"/>
          <w:color w:val="000000" w:themeColor="text1"/>
          <w:kern w:val="0"/>
          <w:szCs w:val="21"/>
          <w:highlight w:val="none"/>
          <w14:textFill>
            <w14:solidFill>
              <w14:schemeClr w14:val="tx1"/>
            </w14:solidFill>
          </w14:textFill>
        </w:rPr>
        <w:t>。</w:t>
      </w:r>
    </w:p>
    <w:p w14:paraId="57F2A85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（1）单机无负荷试车费用由承包人承担</w:t>
      </w:r>
      <w:r>
        <w:rPr>
          <w:rFonts w:hint="eastAsia" w:ascii="宋体" w:hAnsi="宋体" w:cs="宋体"/>
          <w:color w:val="000000" w:themeColor="text1"/>
          <w:kern w:val="0"/>
          <w:szCs w:val="21"/>
          <w:highlight w:val="none"/>
          <w14:textFill>
            <w14:solidFill>
              <w14:schemeClr w14:val="tx1"/>
            </w14:solidFill>
          </w14:textFill>
        </w:rPr>
        <w:t>；</w:t>
      </w:r>
    </w:p>
    <w:p w14:paraId="712220B3">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（2）无负荷联动试车费用由发包人承担</w:t>
      </w:r>
      <w:r>
        <w:rPr>
          <w:rFonts w:hint="eastAsia" w:ascii="宋体" w:hAnsi="宋体" w:cs="宋体"/>
          <w:color w:val="000000" w:themeColor="text1"/>
          <w:kern w:val="0"/>
          <w:szCs w:val="21"/>
          <w:highlight w:val="none"/>
          <w14:textFill>
            <w14:solidFill>
              <w14:schemeClr w14:val="tx1"/>
            </w14:solidFill>
          </w14:textFill>
        </w:rPr>
        <w:t>。</w:t>
      </w:r>
    </w:p>
    <w:p w14:paraId="5111556A">
      <w:pPr>
        <w:keepNext/>
        <w:keepLines/>
        <w:snapToGrid w:val="0"/>
        <w:spacing w:line="600" w:lineRule="exact"/>
        <w:ind w:firstLine="420" w:firstLineChars="200"/>
        <w:outlineLvl w:val="3"/>
        <w:rPr>
          <w:rFonts w:ascii="宋体" w:hAnsi="宋体" w:cs="宋体"/>
          <w:b/>
          <w:color w:val="000000" w:themeColor="text1"/>
          <w:szCs w:val="21"/>
          <w:highlight w:val="none"/>
          <w14:textFill>
            <w14:solidFill>
              <w14:schemeClr w14:val="tx1"/>
            </w14:solidFill>
          </w14:textFill>
        </w:rPr>
      </w:pPr>
      <w:bookmarkStart w:id="1016" w:name="_Toc33183778"/>
      <w:r>
        <w:rPr>
          <w:rFonts w:hint="eastAsia" w:ascii="宋体" w:hAnsi="宋体" w:cs="宋体"/>
          <w:color w:val="000000" w:themeColor="text1"/>
          <w:szCs w:val="21"/>
          <w:highlight w:val="none"/>
          <w14:textFill>
            <w14:solidFill>
              <w14:schemeClr w14:val="tx1"/>
            </w14:solidFill>
          </w14:textFill>
        </w:rPr>
        <w:t>18.10 竣工（完工）清场</w:t>
      </w:r>
      <w:bookmarkEnd w:id="1016"/>
    </w:p>
    <w:p w14:paraId="792A3EC9">
      <w:pPr>
        <w:spacing w:line="360" w:lineRule="auto"/>
        <w:ind w:right="2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承包人完工退场的期限：</w:t>
      </w:r>
      <w:r>
        <w:rPr>
          <w:rFonts w:hint="eastAsia" w:ascii="宋体" w:hAnsi="宋体" w:cs="宋体"/>
          <w:color w:val="000000" w:themeColor="text1"/>
          <w:kern w:val="0"/>
          <w:szCs w:val="21"/>
          <w:highlight w:val="none"/>
          <w:u w:val="single"/>
          <w14:textFill>
            <w14:solidFill>
              <w14:schemeClr w14:val="tx1"/>
            </w14:solidFill>
          </w14:textFill>
        </w:rPr>
        <w:t>工程移交证书颁发后30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color w:val="000000" w:themeColor="text1"/>
          <w:kern w:val="0"/>
          <w:szCs w:val="21"/>
          <w:highlight w:val="none"/>
          <w14:textFill>
            <w14:solidFill>
              <w14:schemeClr w14:val="tx1"/>
            </w14:solidFill>
          </w14:textFill>
        </w:rPr>
        <w:t>。</w:t>
      </w:r>
    </w:p>
    <w:p w14:paraId="5FAEFA27">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17" w:name="_Toc33183781"/>
      <w:bookmarkStart w:id="1018" w:name="_Toc222032711"/>
      <w:bookmarkStart w:id="1019" w:name="_Toc229305400"/>
      <w:bookmarkStart w:id="1020" w:name="_Toc222029542"/>
      <w:bookmarkStart w:id="1021" w:name="_Toc59810423"/>
      <w:bookmarkStart w:id="1022" w:name="_Toc221951299"/>
      <w:bookmarkStart w:id="1023" w:name="_Toc20172"/>
      <w:bookmarkStart w:id="1024" w:name="_Toc7048"/>
      <w:bookmarkStart w:id="1025" w:name="_Toc222033893"/>
      <w:bookmarkStart w:id="1026" w:name="_Toc222031044"/>
      <w:r>
        <w:rPr>
          <w:rFonts w:hint="eastAsia" w:ascii="宋体" w:hAnsi="宋体" w:cs="宋体"/>
          <w:color w:val="000000" w:themeColor="text1"/>
          <w:sz w:val="21"/>
          <w:szCs w:val="21"/>
          <w:highlight w:val="none"/>
          <w14:textFill>
            <w14:solidFill>
              <w14:schemeClr w14:val="tx1"/>
            </w14:solidFill>
          </w14:textFill>
        </w:rPr>
        <w:t>20.保险</w:t>
      </w:r>
      <w:bookmarkEnd w:id="1017"/>
      <w:bookmarkEnd w:id="1018"/>
      <w:bookmarkEnd w:id="1019"/>
      <w:bookmarkEnd w:id="1020"/>
      <w:bookmarkEnd w:id="1021"/>
      <w:bookmarkEnd w:id="1022"/>
      <w:bookmarkEnd w:id="1023"/>
      <w:bookmarkEnd w:id="1024"/>
      <w:bookmarkEnd w:id="1025"/>
      <w:bookmarkEnd w:id="1026"/>
    </w:p>
    <w:p w14:paraId="760F6AF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27" w:name="_Toc33183782"/>
      <w:bookmarkStart w:id="1028" w:name="_Toc221951321"/>
      <w:r>
        <w:rPr>
          <w:rFonts w:hint="eastAsia" w:ascii="宋体" w:hAnsi="宋体" w:cs="宋体"/>
          <w:color w:val="000000" w:themeColor="text1"/>
          <w:szCs w:val="21"/>
          <w:highlight w:val="none"/>
          <w14:textFill>
            <w14:solidFill>
              <w14:schemeClr w14:val="tx1"/>
            </w14:solidFill>
          </w14:textFill>
        </w:rPr>
        <w:t>20.1  工程保险</w:t>
      </w:r>
      <w:bookmarkEnd w:id="1027"/>
      <w:bookmarkEnd w:id="1028"/>
    </w:p>
    <w:p w14:paraId="12BD03D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1029" w:name="_Toc221951323"/>
      <w:r>
        <w:rPr>
          <w:rFonts w:hint="eastAsia" w:ascii="宋体" w:hAnsi="宋体" w:cs="宋体"/>
          <w:color w:val="000000" w:themeColor="text1"/>
          <w:kern w:val="0"/>
          <w:szCs w:val="21"/>
          <w:highlight w:val="none"/>
          <w14:textFill>
            <w14:solidFill>
              <w14:schemeClr w14:val="tx1"/>
            </w14:solidFill>
          </w14:textFill>
        </w:rPr>
        <w:t>建筑工程一切险和（或）安装工程一切险投保人：</w:t>
      </w:r>
      <w:r>
        <w:rPr>
          <w:rFonts w:hint="eastAsia" w:ascii="宋体" w:hAnsi="宋体" w:cs="宋体"/>
          <w:color w:val="000000" w:themeColor="text1"/>
          <w:kern w:val="0"/>
          <w:szCs w:val="21"/>
          <w:highlight w:val="none"/>
          <w:u w:val="single"/>
          <w14:textFill>
            <w14:solidFill>
              <w14:schemeClr w14:val="tx1"/>
            </w14:solidFill>
          </w14:textFill>
        </w:rPr>
        <w:t>发包人</w:t>
      </w:r>
      <w:r>
        <w:rPr>
          <w:rFonts w:hint="eastAsia" w:ascii="宋体" w:hAnsi="宋体" w:cs="宋体"/>
          <w:color w:val="000000" w:themeColor="text1"/>
          <w:kern w:val="0"/>
          <w:szCs w:val="21"/>
          <w:highlight w:val="none"/>
          <w14:textFill>
            <w14:solidFill>
              <w14:schemeClr w14:val="tx1"/>
            </w14:solidFill>
          </w14:textFill>
        </w:rPr>
        <w:t>。</w:t>
      </w:r>
    </w:p>
    <w:p w14:paraId="67AF801E">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投保内容：</w:t>
      </w:r>
      <w:r>
        <w:rPr>
          <w:rFonts w:hint="eastAsia" w:ascii="宋体" w:hAnsi="宋体" w:cs="宋体"/>
          <w:color w:val="000000" w:themeColor="text1"/>
          <w:kern w:val="0"/>
          <w:szCs w:val="21"/>
          <w:highlight w:val="none"/>
          <w:u w:val="single"/>
          <w14:textFill>
            <w14:solidFill>
              <w14:schemeClr w14:val="tx1"/>
            </w14:solidFill>
          </w14:textFill>
        </w:rPr>
        <w:t>本合同工程</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1D8E80D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保险金额、保险费率和保险期限：</w:t>
      </w:r>
      <w:r>
        <w:rPr>
          <w:rFonts w:hint="eastAsia" w:ascii="宋体" w:hAnsi="宋体" w:cs="宋体"/>
          <w:color w:val="000000" w:themeColor="text1"/>
          <w:kern w:val="0"/>
          <w:szCs w:val="21"/>
          <w:highlight w:val="none"/>
          <w:u w:val="single"/>
          <w14:textFill>
            <w14:solidFill>
              <w14:schemeClr w14:val="tx1"/>
            </w14:solidFill>
          </w14:textFill>
        </w:rPr>
        <w:t>保险期限为开工日起直至签发工程缺陷责任期证书止（即合同工期＋缺陷责任期）。保险金额、保险费率按国家有关规定执行</w:t>
      </w:r>
      <w:r>
        <w:rPr>
          <w:rFonts w:hint="eastAsia" w:ascii="宋体" w:hAnsi="宋体" w:cs="宋体"/>
          <w:color w:val="000000" w:themeColor="text1"/>
          <w:kern w:val="0"/>
          <w:szCs w:val="21"/>
          <w:highlight w:val="none"/>
          <w14:textFill>
            <w14:solidFill>
              <w14:schemeClr w14:val="tx1"/>
            </w14:solidFill>
          </w14:textFill>
        </w:rPr>
        <w:t>。</w:t>
      </w:r>
    </w:p>
    <w:p w14:paraId="4E00A3B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承包人应以发包人和承包人的共同名义投保建筑工程一切险。发包人在接到保险单后，将按照保险单的费用直接向承包人支付。</w:t>
      </w:r>
    </w:p>
    <w:p w14:paraId="369FEA6F">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1030" w:name="_Toc33183783"/>
      <w:r>
        <w:rPr>
          <w:rFonts w:hint="eastAsia" w:ascii="宋体" w:hAnsi="宋体" w:cs="宋体"/>
          <w:color w:val="000000" w:themeColor="text1"/>
          <w:szCs w:val="21"/>
          <w:highlight w:val="none"/>
          <w14:textFill>
            <w14:solidFill>
              <w14:schemeClr w14:val="tx1"/>
            </w14:solidFill>
          </w14:textFill>
        </w:rPr>
        <w:t>20.4  第三者责任险</w:t>
      </w:r>
      <w:bookmarkEnd w:id="1029"/>
      <w:bookmarkEnd w:id="1030"/>
    </w:p>
    <w:p w14:paraId="6CAB577A">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1031" w:name="_Toc221951325"/>
      <w:r>
        <w:rPr>
          <w:rFonts w:hint="eastAsia" w:ascii="宋体" w:hAnsi="宋体" w:cs="宋体"/>
          <w:color w:val="000000" w:themeColor="text1"/>
          <w:szCs w:val="21"/>
          <w:highlight w:val="none"/>
          <w14:textFill>
            <w14:solidFill>
              <w14:schemeClr w14:val="tx1"/>
            </w14:solidFill>
          </w14:textFill>
        </w:rPr>
        <w:t>20.4.2  第三者责任险保险费率：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由承包人按国家规定以承包人和发包人的共同名义投保；</w:t>
      </w:r>
      <w:r>
        <w:rPr>
          <w:rFonts w:hint="eastAsia" w:ascii="宋体" w:hAnsi="宋体" w:cs="宋体"/>
          <w:color w:val="000000" w:themeColor="text1"/>
          <w:szCs w:val="21"/>
          <w:highlight w:val="none"/>
          <w14:textFill>
            <w14:solidFill>
              <w14:schemeClr w14:val="tx1"/>
            </w14:solidFill>
          </w14:textFill>
        </w:rPr>
        <w:t xml:space="preserve">                                       </w:t>
      </w:r>
    </w:p>
    <w:p w14:paraId="664A3E47">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第三者责任险保险金额：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按国家规定执行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165B358E">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32" w:name="_Toc33183784"/>
      <w:r>
        <w:rPr>
          <w:rFonts w:hint="eastAsia" w:ascii="宋体" w:hAnsi="宋体" w:cs="宋体"/>
          <w:color w:val="000000" w:themeColor="text1"/>
          <w:szCs w:val="21"/>
          <w:highlight w:val="none"/>
          <w14:textFill>
            <w14:solidFill>
              <w14:schemeClr w14:val="tx1"/>
            </w14:solidFill>
          </w14:textFill>
        </w:rPr>
        <w:t>20.5  其他保险</w:t>
      </w:r>
      <w:bookmarkEnd w:id="1031"/>
      <w:bookmarkEnd w:id="1032"/>
    </w:p>
    <w:p w14:paraId="2329B418">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1033" w:name="_Toc221951327"/>
      <w:r>
        <w:rPr>
          <w:rFonts w:hint="eastAsia" w:ascii="宋体" w:hAnsi="宋体" w:cs="宋体"/>
          <w:color w:val="000000" w:themeColor="text1"/>
          <w:kern w:val="0"/>
          <w:szCs w:val="21"/>
          <w:highlight w:val="none"/>
          <w14:textFill>
            <w14:solidFill>
              <w14:schemeClr w14:val="tx1"/>
            </w14:solidFill>
          </w14:textFill>
        </w:rPr>
        <w:t>需要投保的其它内容：</w:t>
      </w:r>
      <w:r>
        <w:rPr>
          <w:rFonts w:hint="eastAsia" w:ascii="宋体" w:hAnsi="宋体" w:cs="宋体"/>
          <w:color w:val="000000" w:themeColor="text1"/>
          <w:kern w:val="0"/>
          <w:szCs w:val="21"/>
          <w:highlight w:val="none"/>
          <w:u w:val="single"/>
          <w14:textFill>
            <w14:solidFill>
              <w14:schemeClr w14:val="tx1"/>
            </w14:solidFill>
          </w14:textFill>
        </w:rPr>
        <w:t>承包人应为其采购的工程设备（电机、水泵、阀门、管材等）保险及整个施工期间为其现场机构雇用的全部人员投保人身意外伤害险并缴纳保险费。若项目存在分包，则分包人也须购买此项保险，保险费已包含在合同价款中</w:t>
      </w:r>
      <w:r>
        <w:rPr>
          <w:rFonts w:hint="eastAsia" w:ascii="宋体" w:hAnsi="宋体" w:cs="宋体"/>
          <w:color w:val="000000" w:themeColor="text1"/>
          <w:kern w:val="0"/>
          <w:szCs w:val="21"/>
          <w:highlight w:val="none"/>
          <w14:textFill>
            <w14:solidFill>
              <w14:schemeClr w14:val="tx1"/>
            </w14:solidFill>
          </w14:textFill>
        </w:rPr>
        <w:t>；</w:t>
      </w:r>
    </w:p>
    <w:p w14:paraId="1943BE57">
      <w:pPr>
        <w:spacing w:line="360" w:lineRule="auto"/>
        <w:ind w:right="248"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保险金额、保险费率和保险期限：</w:t>
      </w:r>
      <w:r>
        <w:rPr>
          <w:rFonts w:hint="eastAsia" w:ascii="宋体" w:hAnsi="宋体" w:cs="宋体"/>
          <w:color w:val="000000" w:themeColor="text1"/>
          <w:kern w:val="0"/>
          <w:szCs w:val="21"/>
          <w:highlight w:val="none"/>
          <w:u w:val="single"/>
          <w14:textFill>
            <w14:solidFill>
              <w14:schemeClr w14:val="tx1"/>
            </w14:solidFill>
          </w14:textFill>
        </w:rPr>
        <w:t>保险金额、保险费率按国家规定执行。保险期限为国家标准规定使用年限</w:t>
      </w:r>
      <w:r>
        <w:rPr>
          <w:rFonts w:hint="eastAsia" w:ascii="宋体" w:hAnsi="宋体" w:cs="宋体"/>
          <w:color w:val="000000" w:themeColor="text1"/>
          <w:kern w:val="0"/>
          <w:szCs w:val="21"/>
          <w:highlight w:val="none"/>
          <w14:textFill>
            <w14:solidFill>
              <w14:schemeClr w14:val="tx1"/>
            </w14:solidFill>
          </w14:textFill>
        </w:rPr>
        <w:t>。</w:t>
      </w:r>
    </w:p>
    <w:p w14:paraId="6B80546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34" w:name="_Toc33183785"/>
      <w:r>
        <w:rPr>
          <w:rFonts w:hint="eastAsia" w:ascii="宋体" w:hAnsi="宋体" w:cs="宋体"/>
          <w:color w:val="000000" w:themeColor="text1"/>
          <w:szCs w:val="21"/>
          <w:highlight w:val="none"/>
          <w14:textFill>
            <w14:solidFill>
              <w14:schemeClr w14:val="tx1"/>
            </w14:solidFill>
          </w14:textFill>
        </w:rPr>
        <w:t>20.6  对各项保险的一般要求</w:t>
      </w:r>
      <w:bookmarkEnd w:id="1033"/>
      <w:bookmarkEnd w:id="1034"/>
    </w:p>
    <w:p w14:paraId="61085BC4">
      <w:pPr>
        <w:spacing w:line="360" w:lineRule="auto"/>
        <w:ind w:firstLine="525" w:firstLineChars="250"/>
        <w:rPr>
          <w:rFonts w:ascii="宋体" w:hAnsi="宋体" w:cs="宋体"/>
          <w:color w:val="000000" w:themeColor="text1"/>
          <w:szCs w:val="21"/>
          <w:highlight w:val="none"/>
          <w14:textFill>
            <w14:solidFill>
              <w14:schemeClr w14:val="tx1"/>
            </w14:solidFill>
          </w14:textFill>
        </w:rPr>
      </w:pPr>
      <w:bookmarkStart w:id="1035" w:name="_Toc221951328"/>
      <w:r>
        <w:rPr>
          <w:rFonts w:hint="eastAsia" w:ascii="宋体" w:hAnsi="宋体" w:cs="宋体"/>
          <w:color w:val="000000" w:themeColor="text1"/>
          <w:szCs w:val="21"/>
          <w:highlight w:val="none"/>
          <w14:textFill>
            <w14:solidFill>
              <w14:schemeClr w14:val="tx1"/>
            </w14:solidFill>
          </w14:textFill>
        </w:rPr>
        <w:t>20.6.1  保险凭证</w:t>
      </w:r>
      <w:bookmarkEnd w:id="1035"/>
    </w:p>
    <w:p w14:paraId="24119B8D">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1036" w:name="_Toc221951329"/>
      <w:r>
        <w:rPr>
          <w:rFonts w:hint="eastAsia" w:ascii="宋体" w:hAnsi="宋体" w:cs="宋体"/>
          <w:color w:val="000000" w:themeColor="text1"/>
          <w:szCs w:val="21"/>
          <w:highlight w:val="none"/>
          <w14:textFill>
            <w14:solidFill>
              <w14:schemeClr w14:val="tx1"/>
            </w14:solidFill>
          </w14:textFill>
        </w:rPr>
        <w:t>承包人提交保险凭证的期限：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第一次进度款拨付之前</w:t>
      </w:r>
      <w:r>
        <w:rPr>
          <w:rFonts w:hint="eastAsia" w:ascii="宋体" w:hAnsi="宋体" w:cs="宋体"/>
          <w:color w:val="000000" w:themeColor="text1"/>
          <w:szCs w:val="21"/>
          <w:highlight w:val="none"/>
          <w:u w:val="single"/>
          <w14:textFill>
            <w14:solidFill>
              <w14:schemeClr w14:val="tx1"/>
            </w14:solidFill>
          </w14:textFill>
        </w:rPr>
        <w:t xml:space="preserve">  </w:t>
      </w:r>
      <w:bookmarkEnd w:id="1036"/>
      <w:r>
        <w:rPr>
          <w:rFonts w:hint="eastAsia" w:ascii="宋体" w:hAnsi="宋体" w:cs="宋体"/>
          <w:color w:val="000000" w:themeColor="text1"/>
          <w:szCs w:val="21"/>
          <w:highlight w:val="none"/>
          <w14:textFill>
            <w14:solidFill>
              <w14:schemeClr w14:val="tx1"/>
            </w14:solidFill>
          </w14:textFill>
        </w:rPr>
        <w:t>；</w:t>
      </w:r>
    </w:p>
    <w:p w14:paraId="4A995AC0">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1037" w:name="_Toc221951330"/>
      <w:r>
        <w:rPr>
          <w:rFonts w:hint="eastAsia" w:ascii="宋体" w:hAnsi="宋体" w:cs="宋体"/>
          <w:color w:val="000000" w:themeColor="text1"/>
          <w:szCs w:val="21"/>
          <w:highlight w:val="none"/>
          <w14:textFill>
            <w14:solidFill>
              <w14:schemeClr w14:val="tx1"/>
            </w14:solidFill>
          </w14:textFill>
        </w:rPr>
        <w:t>保险条件：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bookmarkEnd w:id="1037"/>
    </w:p>
    <w:p w14:paraId="024AD6EE">
      <w:pPr>
        <w:spacing w:line="360" w:lineRule="auto"/>
        <w:ind w:right="248" w:firstLine="480"/>
        <w:rPr>
          <w:rFonts w:ascii="宋体" w:hAnsi="宋体" w:cs="宋体"/>
          <w:color w:val="000000" w:themeColor="text1"/>
          <w:szCs w:val="21"/>
          <w:highlight w:val="none"/>
          <w14:textFill>
            <w14:solidFill>
              <w14:schemeClr w14:val="tx1"/>
            </w14:solidFill>
          </w14:textFill>
        </w:rPr>
      </w:pPr>
      <w:bookmarkStart w:id="1038" w:name="_Toc221951331"/>
      <w:r>
        <w:rPr>
          <w:rFonts w:hint="eastAsia" w:ascii="宋体" w:hAnsi="宋体" w:cs="宋体"/>
          <w:color w:val="000000" w:themeColor="text1"/>
          <w:szCs w:val="21"/>
          <w:highlight w:val="none"/>
          <w14:textFill>
            <w14:solidFill>
              <w14:schemeClr w14:val="tx1"/>
            </w14:solidFill>
          </w14:textFill>
        </w:rPr>
        <w:t>20.6.4  保险金不足的补偿</w:t>
      </w:r>
      <w:bookmarkEnd w:id="1038"/>
    </w:p>
    <w:p w14:paraId="1EB7AFEE">
      <w:pPr>
        <w:spacing w:line="360" w:lineRule="auto"/>
        <w:ind w:left="899" w:leftChars="228" w:right="248" w:hanging="420" w:hangingChars="200"/>
        <w:rPr>
          <w:rFonts w:ascii="宋体" w:hAnsi="宋体" w:cs="宋体"/>
          <w:color w:val="000000" w:themeColor="text1"/>
          <w:szCs w:val="21"/>
          <w:highlight w:val="none"/>
          <w14:textFill>
            <w14:solidFill>
              <w14:schemeClr w14:val="tx1"/>
            </w14:solidFill>
          </w14:textFill>
        </w:rPr>
      </w:pPr>
      <w:bookmarkStart w:id="1039" w:name="_Toc221951332"/>
      <w:r>
        <w:rPr>
          <w:rFonts w:hint="eastAsia" w:ascii="宋体" w:hAnsi="宋体" w:cs="宋体"/>
          <w:color w:val="000000" w:themeColor="text1"/>
          <w:szCs w:val="21"/>
          <w:highlight w:val="none"/>
          <w14:textFill>
            <w14:solidFill>
              <w14:schemeClr w14:val="tx1"/>
            </w14:solidFill>
          </w14:textFill>
        </w:rPr>
        <w:t>承包人负责补偿的范围与金额：</w:t>
      </w:r>
      <w:bookmarkEnd w:id="1039"/>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保险金不足以补偿损失的（包括免赔额和超过赔偿限额的部分），应由投保人按合同约定负责补偿。</w:t>
      </w:r>
      <w:r>
        <w:rPr>
          <w:rFonts w:hint="eastAsia" w:ascii="宋体" w:hAnsi="宋体" w:cs="宋体"/>
          <w:color w:val="000000" w:themeColor="text1"/>
          <w:szCs w:val="21"/>
          <w:highlight w:val="none"/>
          <w:u w:val="single"/>
          <w14:textFill>
            <w14:solidFill>
              <w14:schemeClr w14:val="tx1"/>
            </w14:solidFill>
          </w14:textFill>
        </w:rPr>
        <w:t xml:space="preserve"> </w:t>
      </w:r>
    </w:p>
    <w:p w14:paraId="7916E98A">
      <w:pPr>
        <w:spacing w:line="360" w:lineRule="auto"/>
        <w:ind w:left="899" w:leftChars="228" w:right="248" w:hanging="420" w:hanging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发包人负责补偿的范围与金额：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保险金不足以补偿损失的（包括免赔额和超过赔偿限额的部分），应由投保人按合同约定负责补偿。</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 </w:t>
      </w:r>
    </w:p>
    <w:p w14:paraId="7C05835E">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40" w:name="_Toc33183786"/>
      <w:bookmarkStart w:id="1041" w:name="_Toc28325"/>
      <w:bookmarkStart w:id="1042" w:name="_Toc59810424"/>
      <w:bookmarkStart w:id="1043" w:name="_Toc13410"/>
      <w:bookmarkStart w:id="1044" w:name="_Toc222031045"/>
      <w:bookmarkStart w:id="1045" w:name="_Toc222029543"/>
      <w:bookmarkStart w:id="1046" w:name="_Toc222032712"/>
      <w:bookmarkStart w:id="1047" w:name="_Toc229305401"/>
      <w:bookmarkStart w:id="1048" w:name="_Toc221951334"/>
      <w:bookmarkStart w:id="1049" w:name="_Toc222033894"/>
      <w:r>
        <w:rPr>
          <w:rFonts w:hint="eastAsia" w:ascii="宋体" w:hAnsi="宋体" w:cs="宋体"/>
          <w:color w:val="000000" w:themeColor="text1"/>
          <w:sz w:val="21"/>
          <w:szCs w:val="21"/>
          <w:highlight w:val="none"/>
          <w14:textFill>
            <w14:solidFill>
              <w14:schemeClr w14:val="tx1"/>
            </w14:solidFill>
          </w14:textFill>
        </w:rPr>
        <w:t>21.不可抗力</w:t>
      </w:r>
      <w:bookmarkEnd w:id="1040"/>
      <w:bookmarkEnd w:id="1041"/>
      <w:bookmarkEnd w:id="1042"/>
      <w:bookmarkEnd w:id="1043"/>
    </w:p>
    <w:p w14:paraId="3FA2DE53">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50" w:name="_Toc33183787"/>
      <w:r>
        <w:rPr>
          <w:rFonts w:hint="eastAsia" w:ascii="宋体" w:hAnsi="宋体" w:cs="宋体"/>
          <w:color w:val="000000" w:themeColor="text1"/>
          <w:szCs w:val="21"/>
          <w:highlight w:val="none"/>
          <w14:textFill>
            <w14:solidFill>
              <w14:schemeClr w14:val="tx1"/>
            </w14:solidFill>
          </w14:textFill>
        </w:rPr>
        <w:t>21.1 不可抗力的确认</w:t>
      </w:r>
      <w:bookmarkEnd w:id="1050"/>
    </w:p>
    <w:p w14:paraId="53FBF0C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除通用合同条款约定的不可抗力事件之外，视为不可抗力的其他情形：</w:t>
      </w:r>
    </w:p>
    <w:p w14:paraId="46CFFCE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（1）洪水、火山爆发、山崩、山体滑坡、泥石流、龙卷风、隧道内不可预测的突发性地质灾害等自然灾害；</w:t>
      </w:r>
    </w:p>
    <w:p w14:paraId="6D3C05F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（2）骚乱、戒严、封锁、禁运、恐怖行为等社会行为，但承包人或其分包人派遣与雇佣的人员由于合同工程施工原因引起的除外；</w:t>
      </w:r>
    </w:p>
    <w:p w14:paraId="26B9DE7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（3）不能合理预见的重大交通阻滞、停运、交通事故、瘟疫，非双方责任引起的火灾、爆炸、船舶撞击等情形；</w:t>
      </w:r>
    </w:p>
    <w:p w14:paraId="6F99B51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（4）化学或放射性污染或核辐射；</w:t>
      </w:r>
    </w:p>
    <w:p w14:paraId="23FC523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（5）环保治理等政府行为导致项目停工的。</w:t>
      </w:r>
    </w:p>
    <w:p w14:paraId="684AD321">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0EA9B44">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51" w:name="_Toc33183788"/>
      <w:r>
        <w:rPr>
          <w:rFonts w:hint="eastAsia" w:ascii="宋体" w:hAnsi="宋体" w:cs="宋体"/>
          <w:color w:val="000000" w:themeColor="text1"/>
          <w:szCs w:val="21"/>
          <w:highlight w:val="none"/>
          <w14:textFill>
            <w14:solidFill>
              <w14:schemeClr w14:val="tx1"/>
            </w14:solidFill>
          </w14:textFill>
        </w:rPr>
        <w:t>21.3 不可抗力后果及其处理</w:t>
      </w:r>
      <w:bookmarkEnd w:id="1051"/>
    </w:p>
    <w:p w14:paraId="2DC09F4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本款补充细化21.3.1项如下：</w:t>
      </w:r>
    </w:p>
    <w:p w14:paraId="62BD6356">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21.3.1不可抗力造成损害的责任</w:t>
      </w:r>
    </w:p>
    <w:p w14:paraId="0AAE112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不可抗力引起的后果及造成的损失由合同当事人按照法律规定及合同约定各自承担。不可抗力发生前已完成的工程应当按照合同约定进行计量支付。</w:t>
      </w:r>
    </w:p>
    <w:p w14:paraId="621E18E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不可抗力导致的人员伤亡、财产损失、费用增加和（或）工期延误等后果，由合同当事人按以下原则承担：</w:t>
      </w:r>
    </w:p>
    <w:p w14:paraId="3B868DD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（1）永久工程、已运至施工现场的施工材料和工程设备的损坏，以及因工程损坏造成的第三方人员伤亡和财产损失由发包人承担；</w:t>
      </w:r>
    </w:p>
    <w:p w14:paraId="67637B7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（2）承包人施工设备的损坏由承包人承担；</w:t>
      </w:r>
    </w:p>
    <w:p w14:paraId="1E7D179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（3）发包人和承包人承担各自人员伤亡和财产的损失；</w:t>
      </w:r>
    </w:p>
    <w:p w14:paraId="631971D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（4）因不可抗力影响承包人履行合同约定的义务，已经引起或将引起工期延误的，应当顺延工期，由此导致承包人停工的费用损失由发包人和承包人合理共担，停工期间必须支付的工人工资由发包人承担；</w:t>
      </w:r>
    </w:p>
    <w:p w14:paraId="05736EC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（5）因不可抗力引起或将引起工期延误，发包人要求赶工的，由此增加的赶工费用由发包人承担；</w:t>
      </w:r>
    </w:p>
    <w:p w14:paraId="1CC3CBC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（6）承包人在停工期间按照发包人要求照管、清理和修复工程的费用由发包人承担；</w:t>
      </w:r>
    </w:p>
    <w:p w14:paraId="7CD7402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（7）不可抗力事件发生后，合同当事人均应采取措施尽量避免和减少损失的扩大，任何一方当事人没有采取有效措施导致损失扩大的，应对扩大的损失承担责任。</w:t>
      </w:r>
    </w:p>
    <w:p w14:paraId="720701B2">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1FF6F7F">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21.3.4 因不可抗力解除合同</w:t>
      </w:r>
    </w:p>
    <w:p w14:paraId="2107335C">
      <w:pPr>
        <w:pStyle w:val="2"/>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合同解除后，发包人应在商定或确定发包人应支付款项后</w:t>
      </w:r>
      <w:r>
        <w:rPr>
          <w:rFonts w:hint="eastAsia" w:ascii="宋体" w:hAnsi="宋体" w:cs="宋体"/>
          <w:color w:val="000000" w:themeColor="text1"/>
          <w:kern w:val="0"/>
          <w:szCs w:val="21"/>
          <w:highlight w:val="none"/>
          <w:u w:val="single"/>
          <w14:textFill>
            <w14:solidFill>
              <w14:schemeClr w14:val="tx1"/>
            </w14:solidFill>
          </w14:textFill>
        </w:rPr>
        <w:t>28</w:t>
      </w:r>
      <w:r>
        <w:rPr>
          <w:rFonts w:hint="eastAsia" w:ascii="宋体" w:hAnsi="宋体" w:cs="宋体"/>
          <w:color w:val="000000" w:themeColor="text1"/>
          <w:kern w:val="0"/>
          <w:szCs w:val="21"/>
          <w:highlight w:val="none"/>
          <w14:textFill>
            <w14:solidFill>
              <w14:schemeClr w14:val="tx1"/>
            </w14:solidFill>
          </w14:textFill>
        </w:rPr>
        <w:t>天内完成款项的支付。</w:t>
      </w:r>
    </w:p>
    <w:p w14:paraId="4DB2516E">
      <w:pPr>
        <w:pStyle w:val="2"/>
        <w:spacing w:line="400" w:lineRule="exact"/>
        <w:ind w:firstLine="420" w:firstLineChars="200"/>
        <w:rPr>
          <w:rFonts w:ascii="宋体" w:hAnsi="宋体" w:cs="宋体"/>
          <w:color w:val="000000" w:themeColor="text1"/>
          <w:szCs w:val="21"/>
          <w:highlight w:val="none"/>
          <w14:textFill>
            <w14:solidFill>
              <w14:schemeClr w14:val="tx1"/>
            </w14:solidFill>
          </w14:textFill>
        </w:rPr>
      </w:pPr>
    </w:p>
    <w:p w14:paraId="5956FA82">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52" w:name="_Toc59810425"/>
      <w:bookmarkStart w:id="1053" w:name="_Toc1588"/>
      <w:bookmarkStart w:id="1054" w:name="_Toc33183789"/>
      <w:bookmarkStart w:id="1055" w:name="_Toc18319"/>
      <w:r>
        <w:rPr>
          <w:rFonts w:hint="eastAsia" w:ascii="宋体" w:hAnsi="宋体" w:cs="宋体"/>
          <w:color w:val="000000" w:themeColor="text1"/>
          <w:sz w:val="21"/>
          <w:szCs w:val="21"/>
          <w:highlight w:val="none"/>
          <w14:textFill>
            <w14:solidFill>
              <w14:schemeClr w14:val="tx1"/>
            </w14:solidFill>
          </w14:textFill>
        </w:rPr>
        <w:t>22. 违约</w:t>
      </w:r>
      <w:bookmarkEnd w:id="1052"/>
      <w:bookmarkEnd w:id="1053"/>
      <w:bookmarkEnd w:id="1054"/>
      <w:bookmarkEnd w:id="1055"/>
    </w:p>
    <w:p w14:paraId="789CC539">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56" w:name="_Toc33183790"/>
      <w:r>
        <w:rPr>
          <w:rFonts w:hint="eastAsia" w:ascii="宋体" w:hAnsi="宋体" w:cs="宋体"/>
          <w:color w:val="000000" w:themeColor="text1"/>
          <w:szCs w:val="21"/>
          <w:highlight w:val="none"/>
          <w14:textFill>
            <w14:solidFill>
              <w14:schemeClr w14:val="tx1"/>
            </w14:solidFill>
          </w14:textFill>
        </w:rPr>
        <w:t>22.1 承包人违约</w:t>
      </w:r>
      <w:bookmarkEnd w:id="1056"/>
    </w:p>
    <w:p w14:paraId="2D273E31">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22.1.1 承包人违约的情形</w:t>
      </w:r>
    </w:p>
    <w:p w14:paraId="09DA2AB8">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除通用合同条款约定外，承包人违约的其他情形：</w:t>
      </w:r>
    </w:p>
    <w:p w14:paraId="600931E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（1）承包人未按合同约定提交履约担保、低价风险担保或质量保证金的；</w:t>
      </w:r>
    </w:p>
    <w:p w14:paraId="3C2303E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（2）承包人未能按期开工的；</w:t>
      </w:r>
    </w:p>
    <w:p w14:paraId="037E9CA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（3）承包人未按投标文件或监理人的要求及时配备称职的主要管理人员的，或承包人未按经审定的施工组织设计配备或更换关键施工设备的；</w:t>
      </w:r>
    </w:p>
    <w:p w14:paraId="5B51E73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（4）承包人有安全问题或有违反安全管理规章制度情况的；</w:t>
      </w:r>
    </w:p>
    <w:p w14:paraId="5395A1D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（5）承包人在缺陷责任期及保修期内，未能在合理期限对工程缺陷进行修复，或拒绝按发包人要求进行修复的；</w:t>
      </w:r>
    </w:p>
    <w:p w14:paraId="4EC416D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（6）承包人拖欠其工人或所雇人员工资或报酬，导致其工人或所雇人员向有关部门投诉、控告、检举或以聚集等方式讨要工资或报酬的；</w:t>
      </w:r>
    </w:p>
    <w:p w14:paraId="69E5BF7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（7）承包人不配合发包人、监理人及发包人委托的工程造价咨询服务单位结算审核或承包人其他原因导致未按期完成工程竣（完）工结算的；</w:t>
      </w:r>
    </w:p>
    <w:p w14:paraId="2E2DAFC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（8）承包人违反合同约定进行转包或违法分包的；</w:t>
      </w:r>
    </w:p>
    <w:p w14:paraId="3B05427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（9）承包人未按合同约定移交全部或部分工作的；</w:t>
      </w:r>
    </w:p>
    <w:p w14:paraId="5149F04C">
      <w:pPr>
        <w:snapToGrid w:val="0"/>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（10）承包人未按合同约定购买保险的；</w:t>
      </w:r>
    </w:p>
    <w:p w14:paraId="5780BE7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（11）项目经理若有以下情形，属于承包人违约：</w:t>
      </w:r>
    </w:p>
    <w:p w14:paraId="7F0ED78B">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1）每月在施工现场的天数少于约定天数的；</w:t>
      </w:r>
    </w:p>
    <w:p w14:paraId="5328202C">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2）承包人未提交项目经理劳动合同和社会保险证明的；</w:t>
      </w:r>
    </w:p>
    <w:p w14:paraId="30285162">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3）未经批准，擅自离开施工现场（超过约定时间）的；</w:t>
      </w:r>
    </w:p>
    <w:p w14:paraId="5B84529E">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4）未经批准，擅自变更项目经理的；</w:t>
      </w:r>
    </w:p>
    <w:p w14:paraId="47AD7570">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5）发包人有正当理由认为项目经理不称职/不履职，且承包人在约定时间内不予更换的；</w:t>
      </w:r>
    </w:p>
    <w:p w14:paraId="68AE888D">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6）其他双方约定的情形。</w:t>
      </w:r>
    </w:p>
    <w:p w14:paraId="5F5A27ED">
      <w:pPr>
        <w:snapToGrid w:val="0"/>
        <w:spacing w:line="360" w:lineRule="auto"/>
        <w:ind w:left="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（12）技术负责人若有以下情形，属于承包人违约：</w:t>
      </w:r>
    </w:p>
    <w:p w14:paraId="656B9B42">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1）每月在施工现场的天数少于约定天数的；</w:t>
      </w:r>
    </w:p>
    <w:p w14:paraId="3E4D9CE6">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2）承包人未提交项目经理劳动合同和社会保险证明的；</w:t>
      </w:r>
    </w:p>
    <w:p w14:paraId="6565405E">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3）未经批准，擅自离开施工现场（超过约定时间）的；</w:t>
      </w:r>
    </w:p>
    <w:p w14:paraId="63889D83">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4）未经批准，擅自变更技术负责人的；</w:t>
      </w:r>
    </w:p>
    <w:p w14:paraId="27AF29AB">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5）发包人有正当理由认为技术负责人不称职/不履职，且承包人在约定时间内不予更换的；</w:t>
      </w:r>
    </w:p>
    <w:p w14:paraId="66856BEF">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6）其他双方约定的情形。</w:t>
      </w:r>
    </w:p>
    <w:p w14:paraId="5FF49372">
      <w:pPr>
        <w:snapToGrid w:val="0"/>
        <w:spacing w:line="360" w:lineRule="auto"/>
        <w:ind w:left="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（13）主要施工管理人员若有以下情形，属于承包人违约：</w:t>
      </w:r>
    </w:p>
    <w:p w14:paraId="763462B0">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1）承包人未提交项目经理劳动合同和社会保险证明的；</w:t>
      </w:r>
    </w:p>
    <w:p w14:paraId="37111A79">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2）未经批准，擅自离开施工现场（超过约定时间）的；</w:t>
      </w:r>
    </w:p>
    <w:p w14:paraId="5FB03AD5">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3）未经批准，擅自变更主要施工管理人员的；</w:t>
      </w:r>
    </w:p>
    <w:p w14:paraId="0C8B13A2">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4）发包人有正当理由认为主要施工管理人员不称职/不履职，且承包人在约定时间内不予更换的；</w:t>
      </w:r>
    </w:p>
    <w:p w14:paraId="5ECE8ABC">
      <w:pPr>
        <w:pStyle w:val="74"/>
        <w:snapToGrid w:val="0"/>
        <w:spacing w:line="360" w:lineRule="auto"/>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5）其他双方约定的情形。</w:t>
      </w:r>
    </w:p>
    <w:p w14:paraId="0CD0B2C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22.1.2对承包人违约的处理</w:t>
      </w:r>
    </w:p>
    <w:p w14:paraId="17704F58">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承包人违约责任的承担方式和计算方法：</w:t>
      </w:r>
    </w:p>
    <w:p w14:paraId="6606639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（1）承包人未按合同约定提交履约担保、低价风险担保、质量保证金的违约责任：承包人应支付违约金,违约金的计算方法：每延误1天，承包人按</w:t>
      </w:r>
      <w:r>
        <w:rPr>
          <w:rFonts w:hint="eastAsia" w:ascii="宋体" w:hAnsi="宋体" w:cs="宋体"/>
          <w:color w:val="000000" w:themeColor="text1"/>
          <w:kern w:val="0"/>
          <w:szCs w:val="21"/>
          <w:highlight w:val="none"/>
          <w:u w:val="single"/>
          <w14:textFill>
            <w14:solidFill>
              <w14:schemeClr w14:val="tx1"/>
            </w14:solidFill>
          </w14:textFill>
        </w:rPr>
        <w:t xml:space="preserve"> （5000～50000）元/天</w:t>
      </w:r>
      <w:r>
        <w:rPr>
          <w:rFonts w:hint="eastAsia" w:ascii="宋体" w:hAnsi="宋体" w:cs="宋体"/>
          <w:color w:val="000000" w:themeColor="text1"/>
          <w:kern w:val="0"/>
          <w:szCs w:val="21"/>
          <w:highlight w:val="none"/>
          <w14:textFill>
            <w14:solidFill>
              <w14:schemeClr w14:val="tx1"/>
            </w14:solidFill>
          </w14:textFill>
        </w:rPr>
        <w:t>计算违约金，累计违约金上限：</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万元（不超过签约合同价的3%）。</w:t>
      </w:r>
    </w:p>
    <w:p w14:paraId="46317D1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（2）承包人违反合同约定进行转包或违法分包的违约责任：按照违反合同约定进行转包和（或）违法分包相应转包和（或）分包合同的合同金额的</w:t>
      </w:r>
      <w:r>
        <w:rPr>
          <w:rFonts w:hint="eastAsia" w:ascii="宋体" w:hAnsi="宋体" w:cs="宋体"/>
          <w:color w:val="000000" w:themeColor="text1"/>
          <w:kern w:val="0"/>
          <w:szCs w:val="21"/>
          <w:highlight w:val="none"/>
          <w:u w:val="single"/>
          <w14:textFill>
            <w14:solidFill>
              <w14:schemeClr w14:val="tx1"/>
            </w14:solidFill>
          </w14:textFill>
        </w:rPr>
        <w:t xml:space="preserve"> （5～10）%</w:t>
      </w:r>
      <w:r>
        <w:rPr>
          <w:rFonts w:hint="eastAsia" w:ascii="宋体" w:hAnsi="宋体" w:cs="宋体"/>
          <w:color w:val="000000" w:themeColor="text1"/>
          <w:kern w:val="0"/>
          <w:szCs w:val="21"/>
          <w:highlight w:val="none"/>
          <w14:textFill>
            <w14:solidFill>
              <w14:schemeClr w14:val="tx1"/>
            </w14:solidFill>
          </w14:textFill>
        </w:rPr>
        <w:t>支付违约金，违法转/分包商应在7天内撤离出场。</w:t>
      </w:r>
    </w:p>
    <w:p w14:paraId="6742253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（3）承包人违反合同约定采购和使用不合格的材料和工程设备的违约责任：按照违反合同约定采购和使用不合格的材料和（或）工程设备相应合同金额的</w:t>
      </w:r>
      <w:r>
        <w:rPr>
          <w:rFonts w:hint="eastAsia" w:ascii="宋体" w:hAnsi="宋体" w:cs="宋体"/>
          <w:color w:val="000000" w:themeColor="text1"/>
          <w:kern w:val="0"/>
          <w:szCs w:val="21"/>
          <w:highlight w:val="none"/>
          <w:u w:val="single"/>
          <w14:textFill>
            <w14:solidFill>
              <w14:schemeClr w14:val="tx1"/>
            </w14:solidFill>
          </w14:textFill>
        </w:rPr>
        <w:t>（5～10）%</w:t>
      </w:r>
      <w:r>
        <w:rPr>
          <w:rFonts w:hint="eastAsia" w:ascii="宋体" w:hAnsi="宋体" w:cs="宋体"/>
          <w:color w:val="000000" w:themeColor="text1"/>
          <w:kern w:val="0"/>
          <w:szCs w:val="21"/>
          <w:highlight w:val="none"/>
          <w14:textFill>
            <w14:solidFill>
              <w14:schemeClr w14:val="tx1"/>
            </w14:solidFill>
          </w14:textFill>
        </w:rPr>
        <w:t>支付违约金。</w:t>
      </w:r>
    </w:p>
    <w:p w14:paraId="11CB17A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color w:val="000000" w:themeColor="text1"/>
          <w:kern w:val="0"/>
          <w:szCs w:val="21"/>
          <w:highlight w:val="none"/>
          <w:u w:val="single"/>
          <w14:textFill>
            <w14:solidFill>
              <w14:schemeClr w14:val="tx1"/>
            </w14:solidFill>
          </w14:textFill>
        </w:rPr>
        <w:t>（5～10）%</w:t>
      </w:r>
      <w:r>
        <w:rPr>
          <w:rFonts w:hint="eastAsia" w:ascii="宋体" w:hAnsi="宋体" w:cs="宋体"/>
          <w:color w:val="000000" w:themeColor="text1"/>
          <w:kern w:val="0"/>
          <w:szCs w:val="21"/>
          <w:highlight w:val="none"/>
          <w14:textFill>
            <w14:solidFill>
              <w14:schemeClr w14:val="tx1"/>
            </w14:solidFill>
          </w14:textFill>
        </w:rPr>
        <w:t>支付违约金。</w:t>
      </w:r>
    </w:p>
    <w:p w14:paraId="03B58F1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color w:val="000000" w:themeColor="text1"/>
          <w:kern w:val="0"/>
          <w:szCs w:val="21"/>
          <w:highlight w:val="none"/>
          <w:u w:val="single"/>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支付违约金。</w:t>
      </w:r>
    </w:p>
    <w:p w14:paraId="26B81D5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color w:val="000000" w:themeColor="text1"/>
          <w:kern w:val="0"/>
          <w:szCs w:val="21"/>
          <w:highlight w:val="none"/>
          <w:u w:val="single"/>
          <w14:textFill>
            <w14:solidFill>
              <w14:schemeClr w14:val="tx1"/>
            </w14:solidFill>
          </w14:textFill>
        </w:rPr>
        <w:t xml:space="preserve"> （5000～50000）元/天</w:t>
      </w:r>
      <w:r>
        <w:rPr>
          <w:rFonts w:hint="eastAsia" w:ascii="宋体" w:hAnsi="宋体" w:cs="宋体"/>
          <w:color w:val="000000" w:themeColor="text1"/>
          <w:kern w:val="0"/>
          <w:szCs w:val="21"/>
          <w:highlight w:val="none"/>
          <w14:textFill>
            <w14:solidFill>
              <w14:schemeClr w14:val="tx1"/>
            </w14:solidFill>
          </w14:textFill>
        </w:rPr>
        <w:t>计算逾期交工违约金，累计违约金上限：</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万元（不超过签约合同价的3%）；承包人支付逾期交工违约金后，不免除承包人继续完成工程及修补缺陷的义务。</w:t>
      </w:r>
    </w:p>
    <w:p w14:paraId="19D182F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（7）承包人在缺陷责任期及保修期内，未能在合理期限对工程缺陷进行修复，或拒绝按发包人要求进行修复的违约责任：按照发包人修复缺陷费用的</w:t>
      </w:r>
      <w:r>
        <w:rPr>
          <w:rFonts w:hint="eastAsia" w:ascii="宋体" w:hAnsi="宋体" w:cs="宋体"/>
          <w:color w:val="000000" w:themeColor="text1"/>
          <w:kern w:val="0"/>
          <w:szCs w:val="21"/>
          <w:highlight w:val="none"/>
          <w:u w:val="single"/>
          <w14:textFill>
            <w14:solidFill>
              <w14:schemeClr w14:val="tx1"/>
            </w14:solidFill>
          </w14:textFill>
        </w:rPr>
        <w:t>（0.5～2）%</w:t>
      </w:r>
      <w:r>
        <w:rPr>
          <w:rFonts w:hint="eastAsia" w:ascii="宋体" w:hAnsi="宋体" w:cs="宋体"/>
          <w:color w:val="000000" w:themeColor="text1"/>
          <w:kern w:val="0"/>
          <w:szCs w:val="21"/>
          <w:highlight w:val="none"/>
          <w14:textFill>
            <w14:solidFill>
              <w14:schemeClr w14:val="tx1"/>
            </w14:solidFill>
          </w14:textFill>
        </w:rPr>
        <w:t>支付违约金。</w:t>
      </w:r>
    </w:p>
    <w:p w14:paraId="63CEFD7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（8）承包人明确表示或者以其行为表明不履行合同主要义务的违约责任：按签约合同价的</w:t>
      </w:r>
      <w:r>
        <w:rPr>
          <w:rFonts w:hint="eastAsia" w:ascii="宋体" w:hAnsi="宋体" w:cs="宋体"/>
          <w:color w:val="000000" w:themeColor="text1"/>
          <w:kern w:val="0"/>
          <w:szCs w:val="21"/>
          <w:highlight w:val="none"/>
          <w:u w:val="single"/>
          <w14:textFill>
            <w14:solidFill>
              <w14:schemeClr w14:val="tx1"/>
            </w14:solidFill>
          </w14:textFill>
        </w:rPr>
        <w:t>（5～10）%</w:t>
      </w:r>
      <w:r>
        <w:rPr>
          <w:rFonts w:hint="eastAsia" w:ascii="宋体" w:hAnsi="宋体" w:cs="宋体"/>
          <w:color w:val="000000" w:themeColor="text1"/>
          <w:kern w:val="0"/>
          <w:szCs w:val="21"/>
          <w:highlight w:val="none"/>
          <w14:textFill>
            <w14:solidFill>
              <w14:schemeClr w14:val="tx1"/>
            </w14:solidFill>
          </w14:textFill>
        </w:rPr>
        <w:t>支付违约金。</w:t>
      </w:r>
    </w:p>
    <w:p w14:paraId="0C103C18">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（9）承包人未能按照合同约定履行其他义务的违约责任：按</w:t>
      </w:r>
      <w:r>
        <w:rPr>
          <w:rFonts w:hint="eastAsia" w:ascii="宋体" w:hAnsi="宋体" w:cs="宋体"/>
          <w:color w:val="000000" w:themeColor="text1"/>
          <w:kern w:val="0"/>
          <w:szCs w:val="21"/>
          <w:highlight w:val="none"/>
          <w:u w:val="single"/>
          <w14:textFill>
            <w14:solidFill>
              <w14:schemeClr w14:val="tx1"/>
            </w14:solidFill>
          </w14:textFill>
        </w:rPr>
        <w:t>（500～5000）元/次</w:t>
      </w:r>
      <w:r>
        <w:rPr>
          <w:rFonts w:hint="eastAsia" w:ascii="宋体" w:hAnsi="宋体" w:cs="宋体"/>
          <w:color w:val="000000" w:themeColor="text1"/>
          <w:kern w:val="0"/>
          <w:szCs w:val="21"/>
          <w:highlight w:val="none"/>
          <w14:textFill>
            <w14:solidFill>
              <w14:schemeClr w14:val="tx1"/>
            </w14:solidFill>
          </w14:textFill>
        </w:rPr>
        <w:t>支付违约金。</w:t>
      </w:r>
    </w:p>
    <w:p w14:paraId="38305C9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（10）承包人未能按期开工的违约责任：按合同价</w:t>
      </w:r>
      <w:r>
        <w:rPr>
          <w:rFonts w:hint="eastAsia" w:ascii="宋体" w:hAnsi="宋体" w:cs="宋体"/>
          <w:color w:val="000000" w:themeColor="text1"/>
          <w:kern w:val="0"/>
          <w:szCs w:val="21"/>
          <w:highlight w:val="none"/>
          <w:u w:val="single"/>
          <w14:textFill>
            <w14:solidFill>
              <w14:schemeClr w14:val="tx1"/>
            </w14:solidFill>
          </w14:textFill>
        </w:rPr>
        <w:t>0.2‰</w:t>
      </w:r>
      <w:r>
        <w:rPr>
          <w:rFonts w:hint="eastAsia" w:ascii="宋体" w:hAnsi="宋体" w:cs="宋体"/>
          <w:color w:val="000000" w:themeColor="text1"/>
          <w:kern w:val="0"/>
          <w:szCs w:val="21"/>
          <w:highlight w:val="none"/>
          <w14:textFill>
            <w14:solidFill>
              <w14:schemeClr w14:val="tx1"/>
            </w14:solidFill>
          </w14:textFill>
        </w:rPr>
        <w:t>/天支付违约金，本项违约金累计限额为签约合同价的</w:t>
      </w:r>
      <w:r>
        <w:rPr>
          <w:rFonts w:hint="eastAsia" w:ascii="宋体" w:hAnsi="宋体" w:cs="宋体"/>
          <w:color w:val="000000" w:themeColor="text1"/>
          <w:kern w:val="0"/>
          <w:szCs w:val="21"/>
          <w:highlight w:val="none"/>
          <w:u w:val="single"/>
          <w14:textFill>
            <w14:solidFill>
              <w14:schemeClr w14:val="tx1"/>
            </w14:solidFill>
          </w14:textFill>
        </w:rPr>
        <w:t xml:space="preserve"> 1 %</w:t>
      </w:r>
      <w:r>
        <w:rPr>
          <w:rFonts w:hint="eastAsia" w:ascii="宋体" w:hAnsi="宋体" w:cs="宋体"/>
          <w:color w:val="000000" w:themeColor="text1"/>
          <w:kern w:val="0"/>
          <w:szCs w:val="21"/>
          <w:highlight w:val="none"/>
          <w14:textFill>
            <w14:solidFill>
              <w14:schemeClr w14:val="tx1"/>
            </w14:solidFill>
          </w14:textFill>
        </w:rPr>
        <w:t>。</w:t>
      </w:r>
    </w:p>
    <w:p w14:paraId="5BFF792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（11）承包人未按经审定的施工组织设计配备或更换关键施工设备的违约责任：按</w:t>
      </w:r>
      <w:r>
        <w:rPr>
          <w:rFonts w:hint="eastAsia" w:ascii="宋体" w:hAnsi="宋体" w:cs="宋体"/>
          <w:color w:val="000000" w:themeColor="text1"/>
          <w:kern w:val="0"/>
          <w:szCs w:val="21"/>
          <w:highlight w:val="none"/>
          <w:u w:val="single"/>
          <w14:textFill>
            <w14:solidFill>
              <w14:schemeClr w14:val="tx1"/>
            </w14:solidFill>
          </w14:textFill>
        </w:rPr>
        <w:t>（5000～50000）元/台·次</w:t>
      </w:r>
      <w:r>
        <w:rPr>
          <w:rFonts w:hint="eastAsia" w:ascii="宋体" w:hAnsi="宋体" w:cs="宋体"/>
          <w:color w:val="000000" w:themeColor="text1"/>
          <w:kern w:val="0"/>
          <w:szCs w:val="21"/>
          <w:highlight w:val="none"/>
          <w14:textFill>
            <w14:solidFill>
              <w14:schemeClr w14:val="tx1"/>
            </w14:solidFill>
          </w14:textFill>
        </w:rPr>
        <w:t>支付违约金。</w:t>
      </w:r>
    </w:p>
    <w:p w14:paraId="4FA3D30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（12）承包人有安全问题或有违反规章制度情况的违约责任：根据具体情节，按签约合同价的</w:t>
      </w:r>
      <w:r>
        <w:rPr>
          <w:rFonts w:hint="eastAsia" w:ascii="宋体" w:hAnsi="宋体" w:cs="宋体"/>
          <w:color w:val="000000" w:themeColor="text1"/>
          <w:kern w:val="0"/>
          <w:szCs w:val="21"/>
          <w:highlight w:val="none"/>
          <w:u w:val="single"/>
          <w14:textFill>
            <w14:solidFill>
              <w14:schemeClr w14:val="tx1"/>
            </w14:solidFill>
          </w14:textFill>
        </w:rPr>
        <w:t>0.5‰～4‰/次</w:t>
      </w:r>
      <w:r>
        <w:rPr>
          <w:rFonts w:hint="eastAsia" w:ascii="宋体" w:hAnsi="宋体" w:cs="宋体"/>
          <w:color w:val="000000" w:themeColor="text1"/>
          <w:kern w:val="0"/>
          <w:szCs w:val="21"/>
          <w:highlight w:val="none"/>
          <w14:textFill>
            <w14:solidFill>
              <w14:schemeClr w14:val="tx1"/>
            </w14:solidFill>
          </w14:textFill>
        </w:rPr>
        <w:t>支付违约金（累计不超过签约合同价的1%）。</w:t>
      </w:r>
    </w:p>
    <w:p w14:paraId="66D71AB8">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color w:val="000000" w:themeColor="text1"/>
          <w:kern w:val="0"/>
          <w:szCs w:val="21"/>
          <w:highlight w:val="none"/>
          <w:u w:val="single"/>
          <w14:textFill>
            <w14:solidFill>
              <w14:schemeClr w14:val="tx1"/>
            </w14:solidFill>
          </w14:textFill>
        </w:rPr>
        <w:t>（50000～200000）元/次</w:t>
      </w:r>
      <w:r>
        <w:rPr>
          <w:rFonts w:hint="eastAsia" w:ascii="宋体" w:hAnsi="宋体" w:cs="宋体"/>
          <w:color w:val="000000" w:themeColor="text1"/>
          <w:kern w:val="0"/>
          <w:szCs w:val="21"/>
          <w:highlight w:val="none"/>
          <w14:textFill>
            <w14:solidFill>
              <w14:schemeClr w14:val="tx1"/>
            </w14:solidFill>
          </w14:textFill>
        </w:rPr>
        <w:t>支付违约金。</w:t>
      </w:r>
    </w:p>
    <w:p w14:paraId="5B9634A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（14）承包人不配合发包人、监理人及发包人委托的工程造价咨询服务单位结算审核的违约责任：根据具体情节，按</w:t>
      </w:r>
      <w:r>
        <w:rPr>
          <w:rFonts w:hint="eastAsia" w:ascii="宋体" w:hAnsi="宋体" w:cs="宋体"/>
          <w:color w:val="000000" w:themeColor="text1"/>
          <w:kern w:val="0"/>
          <w:szCs w:val="21"/>
          <w:highlight w:val="none"/>
          <w:u w:val="single"/>
          <w14:textFill>
            <w14:solidFill>
              <w14:schemeClr w14:val="tx1"/>
            </w14:solidFill>
          </w14:textFill>
        </w:rPr>
        <w:t>（10000～100000）元/次</w:t>
      </w:r>
      <w:r>
        <w:rPr>
          <w:rFonts w:hint="eastAsia" w:ascii="宋体" w:hAnsi="宋体" w:cs="宋体"/>
          <w:color w:val="000000" w:themeColor="text1"/>
          <w:kern w:val="0"/>
          <w:szCs w:val="21"/>
          <w:highlight w:val="none"/>
          <w14:textFill>
            <w14:solidFill>
              <w14:schemeClr w14:val="tx1"/>
            </w14:solidFill>
          </w14:textFill>
        </w:rPr>
        <w:t>支付违约金；因承包人原因未按约定期限完成工程完工结算的责任：由承包人自行承担由此增加的费用，且每延误一天，按</w:t>
      </w:r>
      <w:r>
        <w:rPr>
          <w:rFonts w:hint="eastAsia" w:ascii="宋体" w:hAnsi="宋体" w:cs="宋体"/>
          <w:color w:val="000000" w:themeColor="text1"/>
          <w:kern w:val="0"/>
          <w:szCs w:val="21"/>
          <w:highlight w:val="none"/>
          <w:u w:val="single"/>
          <w14:textFill>
            <w14:solidFill>
              <w14:schemeClr w14:val="tx1"/>
            </w14:solidFill>
          </w14:textFill>
        </w:rPr>
        <w:t>500</w:t>
      </w:r>
      <w:r>
        <w:rPr>
          <w:rFonts w:hint="eastAsia" w:ascii="宋体" w:hAnsi="宋体" w:cs="宋体"/>
          <w:color w:val="000000" w:themeColor="text1"/>
          <w:kern w:val="0"/>
          <w:szCs w:val="21"/>
          <w:highlight w:val="none"/>
          <w14:textFill>
            <w14:solidFill>
              <w14:schemeClr w14:val="tx1"/>
            </w14:solidFill>
          </w14:textFill>
        </w:rPr>
        <w:t>元/天支付违约金。</w:t>
      </w:r>
    </w:p>
    <w:p w14:paraId="2D036B8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color w:val="000000" w:themeColor="text1"/>
          <w:kern w:val="0"/>
          <w:szCs w:val="21"/>
          <w:highlight w:val="none"/>
          <w:u w:val="single"/>
          <w14:textFill>
            <w14:solidFill>
              <w14:schemeClr w14:val="tx1"/>
            </w14:solidFill>
          </w14:textFill>
        </w:rPr>
        <w:t>（0.5～1）‰</w:t>
      </w:r>
      <w:r>
        <w:rPr>
          <w:rFonts w:hint="eastAsia" w:ascii="宋体" w:hAnsi="宋体" w:cs="宋体"/>
          <w:color w:val="000000" w:themeColor="text1"/>
          <w:kern w:val="0"/>
          <w:szCs w:val="21"/>
          <w:highlight w:val="none"/>
          <w14:textFill>
            <w14:solidFill>
              <w14:schemeClr w14:val="tx1"/>
            </w14:solidFill>
          </w14:textFill>
        </w:rPr>
        <w:t>支付违约金。</w:t>
      </w:r>
    </w:p>
    <w:p w14:paraId="663B994C">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（16）承包人未按合同约定购买保险的违约责任</w:t>
      </w:r>
      <w:r>
        <w:rPr>
          <w:rFonts w:hint="eastAsia" w:ascii="宋体" w:hAnsi="宋体" w:cs="宋体"/>
          <w:color w:val="000000" w:themeColor="text1"/>
          <w:szCs w:val="21"/>
          <w:highlight w:val="none"/>
          <w14:textFill>
            <w14:solidFill>
              <w14:schemeClr w14:val="tx1"/>
            </w14:solidFill>
          </w14:textFill>
        </w:rPr>
        <w:t>：除按20.6.4项约定执行外，</w:t>
      </w:r>
      <w:r>
        <w:rPr>
          <w:rFonts w:hint="eastAsia" w:ascii="宋体" w:hAnsi="宋体" w:cs="宋体"/>
          <w:color w:val="000000" w:themeColor="text1"/>
          <w:kern w:val="0"/>
          <w:szCs w:val="21"/>
          <w:highlight w:val="none"/>
          <w14:textFill>
            <w14:solidFill>
              <w14:schemeClr w14:val="tx1"/>
            </w14:solidFill>
          </w14:textFill>
        </w:rPr>
        <w:t>每延迟1天，按</w:t>
      </w:r>
      <w:r>
        <w:rPr>
          <w:rFonts w:hint="eastAsia" w:ascii="宋体" w:hAnsi="宋体" w:cs="宋体"/>
          <w:color w:val="000000" w:themeColor="text1"/>
          <w:kern w:val="0"/>
          <w:szCs w:val="21"/>
          <w:highlight w:val="none"/>
          <w:u w:val="single"/>
          <w14:textFill>
            <w14:solidFill>
              <w14:schemeClr w14:val="tx1"/>
            </w14:solidFill>
          </w14:textFill>
        </w:rPr>
        <w:t>500</w:t>
      </w:r>
      <w:r>
        <w:rPr>
          <w:rFonts w:hint="eastAsia" w:ascii="宋体" w:hAnsi="宋体" w:cs="宋体"/>
          <w:color w:val="000000" w:themeColor="text1"/>
          <w:kern w:val="0"/>
          <w:szCs w:val="21"/>
          <w:highlight w:val="none"/>
          <w14:textFill>
            <w14:solidFill>
              <w14:schemeClr w14:val="tx1"/>
            </w14:solidFill>
          </w14:textFill>
        </w:rPr>
        <w:t>元/天支付违约金。</w:t>
      </w:r>
    </w:p>
    <w:p w14:paraId="353BB85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（17）发生第22.1.1条（11）、22.1.1条（12）、22.1.1条（13）违约情形的违约责任：除承担由此增加的费用和工期延误的责任，承包人应向发包人支付违约金：</w:t>
      </w:r>
    </w:p>
    <w:p w14:paraId="041C15D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1）项目经理违约承担方式和计算方法：对于第22.1.1条（11）的六种情形，每发现一次，根据具体情节，按</w:t>
      </w:r>
      <w:r>
        <w:rPr>
          <w:rFonts w:hint="eastAsia" w:ascii="宋体" w:hAnsi="宋体" w:cs="宋体"/>
          <w:color w:val="000000" w:themeColor="text1"/>
          <w:kern w:val="0"/>
          <w:szCs w:val="21"/>
          <w:highlight w:val="none"/>
          <w:u w:val="single"/>
          <w14:textFill>
            <w14:solidFill>
              <w14:schemeClr w14:val="tx1"/>
            </w14:solidFill>
          </w14:textFill>
        </w:rPr>
        <w:t>（1000～30000）元/天·次</w:t>
      </w:r>
      <w:r>
        <w:rPr>
          <w:rFonts w:hint="eastAsia" w:ascii="宋体" w:hAnsi="宋体" w:cs="宋体"/>
          <w:color w:val="000000" w:themeColor="text1"/>
          <w:kern w:val="0"/>
          <w:szCs w:val="21"/>
          <w:highlight w:val="none"/>
          <w14:textFill>
            <w14:solidFill>
              <w14:schemeClr w14:val="tx1"/>
            </w14:solidFill>
          </w14:textFill>
        </w:rPr>
        <w:t>计算违约金；擅自更换项目经理的，按签约合同价的</w:t>
      </w:r>
      <w:r>
        <w:rPr>
          <w:rFonts w:hint="eastAsia" w:ascii="宋体" w:hAnsi="宋体" w:cs="宋体"/>
          <w:color w:val="000000" w:themeColor="text1"/>
          <w:kern w:val="0"/>
          <w:szCs w:val="21"/>
          <w:highlight w:val="none"/>
          <w:u w:val="single"/>
          <w14:textFill>
            <w14:solidFill>
              <w14:schemeClr w14:val="tx1"/>
            </w14:solidFill>
          </w14:textFill>
        </w:rPr>
        <w:t>（0.5～3）%/人·次</w:t>
      </w:r>
      <w:r>
        <w:rPr>
          <w:rFonts w:hint="eastAsia" w:ascii="宋体" w:hAnsi="宋体" w:cs="宋体"/>
          <w:color w:val="000000" w:themeColor="text1"/>
          <w:kern w:val="0"/>
          <w:szCs w:val="21"/>
          <w:highlight w:val="none"/>
          <w14:textFill>
            <w14:solidFill>
              <w14:schemeClr w14:val="tx1"/>
            </w14:solidFill>
          </w14:textFill>
        </w:rPr>
        <w:t>支付违约金，每次不低于20万，累计不超过200万。</w:t>
      </w:r>
    </w:p>
    <w:p w14:paraId="0DFA8F0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2）主要技术负责人违约承担方式和计算方法：对于第22.1.1条（12）的六种情形，每发现一次，根据具体情节，按</w:t>
      </w:r>
      <w:r>
        <w:rPr>
          <w:rFonts w:hint="eastAsia" w:ascii="宋体" w:hAnsi="宋体" w:cs="宋体"/>
          <w:color w:val="000000" w:themeColor="text1"/>
          <w:kern w:val="0"/>
          <w:szCs w:val="21"/>
          <w:highlight w:val="none"/>
          <w:u w:val="single"/>
          <w14:textFill>
            <w14:solidFill>
              <w14:schemeClr w14:val="tx1"/>
            </w14:solidFill>
          </w14:textFill>
        </w:rPr>
        <w:t>1000～30000</w:t>
      </w:r>
      <w:r>
        <w:rPr>
          <w:rFonts w:hint="eastAsia" w:ascii="宋体" w:hAnsi="宋体" w:cs="宋体"/>
          <w:color w:val="000000" w:themeColor="text1"/>
          <w:kern w:val="0"/>
          <w:szCs w:val="21"/>
          <w:highlight w:val="none"/>
          <w14:textFill>
            <w14:solidFill>
              <w14:schemeClr w14:val="tx1"/>
            </w14:solidFill>
          </w14:textFill>
        </w:rPr>
        <w:t>元/天·次计算违约金；擅自更换主要技术负责人的，按签约合同价的</w:t>
      </w:r>
      <w:r>
        <w:rPr>
          <w:rFonts w:hint="eastAsia" w:ascii="宋体" w:hAnsi="宋体" w:cs="宋体"/>
          <w:color w:val="000000" w:themeColor="text1"/>
          <w:kern w:val="0"/>
          <w:szCs w:val="21"/>
          <w:highlight w:val="none"/>
          <w:u w:val="single"/>
          <w14:textFill>
            <w14:solidFill>
              <w14:schemeClr w14:val="tx1"/>
            </w14:solidFill>
          </w14:textFill>
        </w:rPr>
        <w:t>（0.5～2）%</w:t>
      </w:r>
      <w:r>
        <w:rPr>
          <w:rFonts w:hint="eastAsia" w:ascii="宋体" w:hAnsi="宋体" w:cs="宋体"/>
          <w:color w:val="000000" w:themeColor="text1"/>
          <w:kern w:val="0"/>
          <w:szCs w:val="21"/>
          <w:highlight w:val="none"/>
          <w14:textFill>
            <w14:solidFill>
              <w14:schemeClr w14:val="tx1"/>
            </w14:solidFill>
          </w14:textFill>
        </w:rPr>
        <w:t>/人·次支付违约金，每次不低于10万，累计不超过100万。</w:t>
      </w:r>
    </w:p>
    <w:p w14:paraId="06A0AAE3">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3）主要施工管理人违约承担方式和计算方法：对于第22.1.1条（13）的五种情形，每发现一次，根据具体情节，按</w:t>
      </w:r>
      <w:r>
        <w:rPr>
          <w:rFonts w:hint="eastAsia" w:ascii="宋体" w:hAnsi="宋体" w:cs="宋体"/>
          <w:color w:val="000000" w:themeColor="text1"/>
          <w:kern w:val="0"/>
          <w:szCs w:val="21"/>
          <w:highlight w:val="none"/>
          <w:u w:val="single"/>
          <w14:textFill>
            <w14:solidFill>
              <w14:schemeClr w14:val="tx1"/>
            </w14:solidFill>
          </w14:textFill>
        </w:rPr>
        <w:t>500～10000</w:t>
      </w:r>
      <w:r>
        <w:rPr>
          <w:rFonts w:hint="eastAsia" w:ascii="宋体" w:hAnsi="宋体" w:cs="宋体"/>
          <w:color w:val="000000" w:themeColor="text1"/>
          <w:kern w:val="0"/>
          <w:szCs w:val="21"/>
          <w:highlight w:val="none"/>
          <w14:textFill>
            <w14:solidFill>
              <w14:schemeClr w14:val="tx1"/>
            </w14:solidFill>
          </w14:textFill>
        </w:rPr>
        <w:t>元/天·次计算违约金；擅自更换主要技术负责人的，按签约合同价的</w:t>
      </w:r>
      <w:r>
        <w:rPr>
          <w:rFonts w:hint="eastAsia" w:ascii="宋体" w:hAnsi="宋体" w:cs="宋体"/>
          <w:color w:val="000000" w:themeColor="text1"/>
          <w:kern w:val="0"/>
          <w:szCs w:val="21"/>
          <w:highlight w:val="none"/>
          <w:u w:val="single"/>
          <w14:textFill>
            <w14:solidFill>
              <w14:schemeClr w14:val="tx1"/>
            </w14:solidFill>
          </w14:textFill>
        </w:rPr>
        <w:t>（0.5～1）%</w:t>
      </w:r>
      <w:r>
        <w:rPr>
          <w:rFonts w:hint="eastAsia" w:ascii="宋体" w:hAnsi="宋体" w:cs="宋体"/>
          <w:color w:val="000000" w:themeColor="text1"/>
          <w:kern w:val="0"/>
          <w:szCs w:val="21"/>
          <w:highlight w:val="none"/>
          <w14:textFill>
            <w14:solidFill>
              <w14:schemeClr w14:val="tx1"/>
            </w14:solidFill>
          </w14:textFill>
        </w:rPr>
        <w:t>/人·次支付违约金，累计不超过50万。</w:t>
      </w:r>
    </w:p>
    <w:p w14:paraId="18ADB6E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（18）合同另有约定的，按照其约定。</w:t>
      </w:r>
    </w:p>
    <w:p w14:paraId="2BC4399C">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2D56EAC0">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承包人必须及时纠正违约行为，满足合同要求，自行承担纠正违约行为的费用或损失，工期不予顺延，并承担由此给发包人造成的经济损失。</w:t>
      </w:r>
    </w:p>
    <w:p w14:paraId="27FE5488">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承包人承担承包范围的工程质量、安全、环保责任，因承包人原因引起的质量、安全、环保等事故由承包人承担相应的法律后果。</w:t>
      </w:r>
    </w:p>
    <w:p w14:paraId="4A9DD441">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22.1.3 因承包人违约解除合同</w:t>
      </w:r>
    </w:p>
    <w:p w14:paraId="6F46729B">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因承包人违约并致使合同目的不能实现的，发包人有权解除合同：</w:t>
      </w:r>
    </w:p>
    <w:p w14:paraId="727592F2">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（1）未按合同约定延迟提供履约担保、低价风险担保、质量保证金超过14天的；</w:t>
      </w:r>
    </w:p>
    <w:p w14:paraId="34047510">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（2）未按合同约定购买保险且经催告后超过56天的；</w:t>
      </w:r>
    </w:p>
    <w:p w14:paraId="1DDA46B4">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（3）因承包人原因导致开工时间累计延误超过56天的；</w:t>
      </w:r>
    </w:p>
    <w:p w14:paraId="11C027E7">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（4）因承包人原因导致工期延误超过90天的；</w:t>
      </w:r>
    </w:p>
    <w:p w14:paraId="6229DD28">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（5）发生22.1.2（13）目的情形2次的；</w:t>
      </w:r>
    </w:p>
    <w:p w14:paraId="30245044">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（6）发生第25.1款〔退出机制〕约定的情形的；</w:t>
      </w:r>
    </w:p>
    <w:p w14:paraId="330CD5C3">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（7）监理人发出整改通知后，承包人在监理人限定的期限内仍不纠正违约行为的；</w:t>
      </w:r>
    </w:p>
    <w:p w14:paraId="0E96A12D">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（8）发包人进入清算或者严重资不抵债且无法履行合同的；</w:t>
      </w:r>
    </w:p>
    <w:p w14:paraId="481EFFA8">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（9）违反适用法律而被相关政府部门依法吊销营业执照、责令停业、清算或宣布破产、责令关闭的；</w:t>
      </w:r>
    </w:p>
    <w:p w14:paraId="641CF95B">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（10）承包人未履行合同项下的义务构成对合同的实质性违约，并且在收到发包人要求说明其违约并予以补救的通知后56天内仍未能补救该实质性违约的；</w:t>
      </w:r>
    </w:p>
    <w:p w14:paraId="57E60F16">
      <w:pPr>
        <w:pStyle w:val="74"/>
        <w:spacing w:line="360" w:lineRule="auto"/>
        <w:ind w:firstLineChars="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（11）合同约定其他情况的，发包人有权解除合同的。</w:t>
      </w:r>
    </w:p>
    <w:p w14:paraId="232B68FD">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22.1.4因承包人违约解除合同后的处理</w:t>
      </w:r>
    </w:p>
    <w:p w14:paraId="79DC6546">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因承包人违约导致合同解除的，合同当事人应在合同解除后56天内并按以下约定完成估价、付款和清算：</w:t>
      </w:r>
    </w:p>
    <w:p w14:paraId="12DF2DD3">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）合同解除后，承包人应按照发包人要求和监理人的指示完成现场的清理和撤离。</w:t>
      </w:r>
    </w:p>
    <w:p w14:paraId="7EE1029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7685B22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因承包人违约解除合同的，发包人有权暂停对承包人的付款，查清各项付款和已扣款项。发包人和承包人未能就合同解除后的清算和款项支付达成一致的，按照第24条〔争议的解决〕的约定处理。</w:t>
      </w:r>
    </w:p>
    <w:p w14:paraId="5ACDD7F9">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13B07F58">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57" w:name="_Toc33183791"/>
      <w:r>
        <w:rPr>
          <w:rFonts w:hint="eastAsia" w:ascii="宋体" w:hAnsi="宋体" w:cs="宋体"/>
          <w:color w:val="000000" w:themeColor="text1"/>
          <w:szCs w:val="21"/>
          <w:highlight w:val="none"/>
          <w14:textFill>
            <w14:solidFill>
              <w14:schemeClr w14:val="tx1"/>
            </w14:solidFill>
          </w14:textFill>
        </w:rPr>
        <w:t>22.2 发包人违约</w:t>
      </w:r>
      <w:bookmarkEnd w:id="1057"/>
    </w:p>
    <w:p w14:paraId="3FF1F6D5">
      <w:pPr>
        <w:snapToGrid w:val="0"/>
        <w:ind w:firstLine="420"/>
        <w:jc w:val="left"/>
        <w:rPr>
          <w:rFonts w:ascii="宋体" w:hAnsi="宋体" w:cs="宋体"/>
          <w:color w:val="000000" w:themeColor="text1"/>
          <w:szCs w:val="21"/>
          <w:highlight w:val="none"/>
          <w14:textFill>
            <w14:solidFill>
              <w14:schemeClr w14:val="tx1"/>
            </w14:solidFill>
          </w14:textFill>
        </w:rPr>
      </w:pPr>
      <w:bookmarkStart w:id="1058" w:name="_Toc33183792"/>
      <w:r>
        <w:rPr>
          <w:rFonts w:hint="eastAsia" w:ascii="宋体" w:hAnsi="宋体" w:cs="宋体"/>
          <w:color w:val="000000" w:themeColor="text1"/>
          <w:szCs w:val="21"/>
          <w:highlight w:val="none"/>
          <w14:textFill>
            <w14:solidFill>
              <w14:schemeClr w14:val="tx1"/>
            </w14:solidFill>
          </w14:textFill>
        </w:rPr>
        <w:t>22.2.1 发包人违约的情形</w:t>
      </w:r>
      <w:bookmarkEnd w:id="1058"/>
    </w:p>
    <w:p w14:paraId="7328258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除通用合同条款约定外，发包人违约的其他情形：</w:t>
      </w:r>
    </w:p>
    <w:p w14:paraId="29E290C6">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（1）根据专用合同条款第11.3款发包人的工期延误；</w:t>
      </w:r>
    </w:p>
    <w:p w14:paraId="3633125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（2）因发包人原因未能及时办理完毕合同约定的许可、批准或备案的；</w:t>
      </w:r>
    </w:p>
    <w:p w14:paraId="2089879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（3）因监理人未能按合同约定发出指示、指示延误或发出了错误指示而导致承包人费用增加和（或）工期延误的；</w:t>
      </w:r>
    </w:p>
    <w:p w14:paraId="181CCF4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（4）根据第13.5.3条发包人或监理人要求重新检查的，经检查证明工程质量符合合同要求的，并由此产生增加的费用和（或）延误的工期的；</w:t>
      </w:r>
    </w:p>
    <w:p w14:paraId="5108F7C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（5）因发包人原因造成工程质量未达到合同约定标准的；</w:t>
      </w:r>
    </w:p>
    <w:p w14:paraId="1C625FD6">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（6）由于发包人原因对承包人造成的人员人身伤亡和财产损失的；</w:t>
      </w:r>
    </w:p>
    <w:p w14:paraId="1D280A7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（7）因发包人原因导致工程无法按期办理竣工验收和竣工结算的；</w:t>
      </w:r>
    </w:p>
    <w:p w14:paraId="33651E5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（8）发包人无正当理由未按约定退还履约担保、低价风险担保或质量保证金的；</w:t>
      </w:r>
    </w:p>
    <w:p w14:paraId="2331348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（9）发包人不当提取履约担保、低价风险担保或质量保证金的；</w:t>
      </w:r>
    </w:p>
    <w:p w14:paraId="4CAC52C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（10）发包人未按合同约定接收全部或部分工作的；</w:t>
      </w:r>
    </w:p>
    <w:p w14:paraId="2CDE8083">
      <w:pPr>
        <w:snapToGrid w:val="0"/>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（11）发包人未按合同约定办理保险的；</w:t>
      </w:r>
    </w:p>
    <w:p w14:paraId="37F55A72">
      <w:pPr>
        <w:snapToGrid w:val="0"/>
        <w:spacing w:line="36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（12）其他：        </w:t>
      </w:r>
      <w:r>
        <w:rPr>
          <w:rFonts w:hint="eastAsia" w:ascii="宋体" w:hAnsi="宋体" w:cs="宋体"/>
          <w:color w:val="000000" w:themeColor="text1"/>
          <w:kern w:val="0"/>
          <w:szCs w:val="21"/>
          <w:highlight w:val="none"/>
          <w14:textFill>
            <w14:solidFill>
              <w14:schemeClr w14:val="tx1"/>
            </w14:solidFill>
          </w14:textFill>
        </w:rPr>
        <w:t>。</w:t>
      </w:r>
    </w:p>
    <w:p w14:paraId="02EC26A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22.2.3 发包人违约解除合同</w:t>
      </w:r>
    </w:p>
    <w:p w14:paraId="19235DE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因发包人违约并致使合同目的不能实现的，承包人有权解除合同：</w:t>
      </w:r>
    </w:p>
    <w:p w14:paraId="4E896A08">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（1）因发包人原因延迟支付合同价款超过180天的；</w:t>
      </w:r>
    </w:p>
    <w:p w14:paraId="6966126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（2）因发包人原因导致工期延误超过90天的；</w:t>
      </w:r>
    </w:p>
    <w:p w14:paraId="0D72568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（3）因发包人第22.2.6（5）违约情形导致暂停施工满56天，且发包人仍未纠正其违约行为的；</w:t>
      </w:r>
    </w:p>
    <w:p w14:paraId="443C2CA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（4）其他未履行合同项下的义务构成对合同的实质性违约，并且在收到承包人要求说明其违约并予以补救的通知后56天内仍未补救该实质性违约的。</w:t>
      </w:r>
    </w:p>
    <w:p w14:paraId="7FE6D75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22.2.4解除合同后的付款</w:t>
      </w:r>
    </w:p>
    <w:p w14:paraId="6F2870A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承包人按照本款约定解除合同的，发包人应在解除合同后28天内支付下列款项，并解除履约担保、低价风险担保：</w:t>
      </w:r>
    </w:p>
    <w:p w14:paraId="6F26641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（1）合同解除前所完成工作的价款；</w:t>
      </w:r>
    </w:p>
    <w:p w14:paraId="18A6D3C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（2）承包人为工程施工订购并已付款的材料、工程设备和其他物品的价款；</w:t>
      </w:r>
    </w:p>
    <w:p w14:paraId="4739227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（3）承包人撤离施工现场以及遣散承包人人员的款项；</w:t>
      </w:r>
    </w:p>
    <w:p w14:paraId="3F05B7A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（4）按照合同约定在合同解除前应支付的违约金；</w:t>
      </w:r>
    </w:p>
    <w:p w14:paraId="02210E3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（5）按照合同约定应当支付给承包人的其他款项；</w:t>
      </w:r>
    </w:p>
    <w:p w14:paraId="6AFD9AC9">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（6）按照合同约定应退还的质量保证金；</w:t>
      </w:r>
    </w:p>
    <w:p w14:paraId="4CA0D18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（7）因解除合同给承包人造成的损失。</w:t>
      </w:r>
    </w:p>
    <w:p w14:paraId="795B070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合同当事人未能就解除合同后的结清达成一致的，按照第20条〔争议解决〕的约定处理。</w:t>
      </w:r>
    </w:p>
    <w:p w14:paraId="7465A57D">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0BBBA71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22.2.6发包人违约的责任</w:t>
      </w:r>
    </w:p>
    <w:p w14:paraId="15D50F52">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（1）因发包人原因未能及时办理完毕前述许可、批准或备案的违约责任：由发包人承担由此增加的费用和（或）顺延工期，并支付合理利润，具体索赔程序按照第23条〔索赔〕约定执行。</w:t>
      </w:r>
    </w:p>
    <w:p w14:paraId="23E6D28E">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5E0C16CB">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（3）因发包人原因导致工期延误的违约责任：由发包人承担由此增加的费用和（或）顺延工期，并支付合理利润，具体索赔程序按照第23条〔索赔〕约定执行。</w:t>
      </w:r>
    </w:p>
    <w:p w14:paraId="008E83E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（4）因发包人原因未能在计划开工日期前7天内下达开工通知的违约责任：由发包人承担由此增加的费用和（或）顺延工期，并支付合理利润，具体索赔程序按照第23条〔索赔〕约定执行。</w:t>
      </w:r>
    </w:p>
    <w:p w14:paraId="40B2C8F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（5）根据第13.5.3项发包人或监理人要求重新检查的，经检查证明工程质量符合合同要求的，由发包人承担由此增加的费用和（或）顺延工期，并支付合理利润，具体索赔程序按照第23条〔索赔〕约定执行。</w:t>
      </w:r>
    </w:p>
    <w:p w14:paraId="07B71E11">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（6）因发包人原因未按合同约定支付合同价款的违约责任：发包人应向承包人支付违约金，自应当支付之日起28天后开始计算违约金，计算公式：</w:t>
      </w:r>
      <w:r>
        <w:rPr>
          <w:rFonts w:hint="eastAsia" w:ascii="宋体" w:hAnsi="宋体" w:cs="宋体"/>
          <w:color w:val="000000" w:themeColor="text1"/>
          <w:kern w:val="0"/>
          <w:szCs w:val="21"/>
          <w:highlight w:val="none"/>
          <w:u w:val="single"/>
          <w14:textFill>
            <w14:solidFill>
              <w14:schemeClr w14:val="tx1"/>
            </w14:solidFill>
          </w14:textFill>
        </w:rPr>
        <w:t>违约金=应付未付金额×中国人民银行  年  月公布的5年期贷款市场报价利率/360天×逾期天数</w:t>
      </w:r>
      <w:r>
        <w:rPr>
          <w:rFonts w:hint="eastAsia" w:ascii="宋体" w:hAnsi="宋体" w:cs="宋体"/>
          <w:color w:val="000000" w:themeColor="text1"/>
          <w:szCs w:val="21"/>
          <w:highlight w:val="none"/>
          <w:u w:val="single"/>
          <w14:textFill>
            <w14:solidFill>
              <w14:schemeClr w14:val="tx1"/>
            </w14:solidFill>
          </w14:textFill>
        </w:rPr>
        <w:t>（自第29天起计算）</w:t>
      </w:r>
      <w:r>
        <w:rPr>
          <w:rFonts w:hint="eastAsia" w:ascii="宋体" w:hAnsi="宋体" w:cs="宋体"/>
          <w:color w:val="000000" w:themeColor="text1"/>
          <w:kern w:val="0"/>
          <w:szCs w:val="21"/>
          <w:highlight w:val="none"/>
          <w:u w:val="single"/>
          <w14:textFill>
            <w14:solidFill>
              <w14:schemeClr w14:val="tx1"/>
            </w14:solidFill>
          </w14:textFill>
        </w:rPr>
        <w:t>；逾期天数超过56天的，超过部分天数按上述利率的两倍计算并支付违约金。</w:t>
      </w:r>
    </w:p>
    <w:p w14:paraId="68B7102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（7）发包人违反合同约定，自行实施或转由他人实施被取消的合同工作内容的违约责任：由发包人承担由此给承包人造成的实际损失并支付合理利润。</w:t>
      </w:r>
    </w:p>
    <w:p w14:paraId="729BE505">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3B70573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（9）因发包人原因造成工程质量未达到合同约定标准的，由发包人承担由此增加的费用和（或）延误的工期，并支付合理利润。</w:t>
      </w:r>
    </w:p>
    <w:p w14:paraId="4D3490B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（10）因发包人违反合同约定造成暂停施工的违约责任：由发包人承担由此增加的费用和（或）顺延工期，并支付合理利润，具体索赔程序按照第23条〔索赔〕约定执行。</w:t>
      </w:r>
    </w:p>
    <w:p w14:paraId="1483D62A">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（11）发包人无正当理由没有在约定期限内发出复工指示，导致承包人无法复工的违约责任：由发包人承担由此增加的费用和（或）顺延工期，并支付合理利润，具体索赔程序按照第23条〔索赔〕约定执行。</w:t>
      </w:r>
    </w:p>
    <w:p w14:paraId="31A8025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（12）因发包人原因导致工程无法按期办理竣工验收和竣工结算的违约责任：由发包人承担由此增加的费用和（或）顺延工期，并支付合理利润，具体索赔程序按照第23条〔索赔〕约定执行。</w:t>
      </w:r>
    </w:p>
    <w:p w14:paraId="730856B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r>
        <w:rPr>
          <w:rFonts w:hint="eastAsia" w:ascii="宋体" w:hAnsi="宋体" w:cs="宋体"/>
          <w:color w:val="000000" w:themeColor="text1"/>
          <w:kern w:val="0"/>
          <w:szCs w:val="21"/>
          <w:highlight w:val="none"/>
          <w14:textFill>
            <w14:solidFill>
              <w14:schemeClr w14:val="tx1"/>
            </w14:solidFill>
          </w14:textFill>
        </w:rPr>
        <w:t>发包人无正当理由未按约定退还履约担保、低价风险担保或质量保证金的违约责任：发包人应向承包人支付违约金，自应当退还之日起28天后开始计算违约金，</w:t>
      </w:r>
      <w:r>
        <w:rPr>
          <w:rFonts w:hint="eastAsia" w:ascii="宋体" w:hAnsi="宋体" w:cs="宋体"/>
          <w:color w:val="000000" w:themeColor="text1"/>
          <w:kern w:val="0"/>
          <w:szCs w:val="21"/>
          <w:highlight w:val="none"/>
          <w:u w:val="single"/>
          <w14:textFill>
            <w14:solidFill>
              <w14:schemeClr w14:val="tx1"/>
            </w14:solidFill>
          </w14:textFill>
        </w:rPr>
        <w:t>计算公式：违约金=应退未退担保金额×中国人民银行    年   月公布的5年期贷款市场报价利率/360天×逾期天数</w:t>
      </w:r>
      <w:r>
        <w:rPr>
          <w:rFonts w:hint="eastAsia" w:ascii="宋体" w:hAnsi="宋体" w:cs="宋体"/>
          <w:color w:val="000000" w:themeColor="text1"/>
          <w:szCs w:val="21"/>
          <w:highlight w:val="none"/>
          <w:u w:val="single"/>
          <w14:textFill>
            <w14:solidFill>
              <w14:schemeClr w14:val="tx1"/>
            </w14:solidFill>
          </w14:textFill>
        </w:rPr>
        <w:t>（自第29天起计算）</w:t>
      </w:r>
      <w:r>
        <w:rPr>
          <w:rFonts w:hint="eastAsia" w:ascii="宋体" w:hAnsi="宋体" w:cs="宋体"/>
          <w:color w:val="000000" w:themeColor="text1"/>
          <w:kern w:val="0"/>
          <w:szCs w:val="21"/>
          <w:highlight w:val="none"/>
          <w14:textFill>
            <w14:solidFill>
              <w14:schemeClr w14:val="tx1"/>
            </w14:solidFill>
          </w14:textFill>
        </w:rPr>
        <w:t>。</w:t>
      </w:r>
    </w:p>
    <w:p w14:paraId="5F2ADA94">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（14）发包人不当提取履约担保、低价风险担保或质量保证金的，应及时予以退还，若不当提取超过28天的，应承担违约责任：发包人应向承包人支付违约金，</w:t>
      </w:r>
      <w:r>
        <w:rPr>
          <w:rFonts w:hint="eastAsia" w:ascii="宋体" w:hAnsi="宋体" w:cs="宋体"/>
          <w:color w:val="000000" w:themeColor="text1"/>
          <w:szCs w:val="21"/>
          <w:highlight w:val="none"/>
          <w:u w:val="single"/>
          <w14:textFill>
            <w14:solidFill>
              <w14:schemeClr w14:val="tx1"/>
            </w14:solidFill>
          </w14:textFill>
        </w:rPr>
        <w:t>计算公式：违约金=不当提取的担保金额×中国人民银行    年   月公布的5年期贷款市场报价利率/360天×逾期天数（自第29天起计算）</w:t>
      </w:r>
      <w:r>
        <w:rPr>
          <w:rFonts w:hint="eastAsia" w:ascii="宋体" w:hAnsi="宋体" w:cs="宋体"/>
          <w:color w:val="000000" w:themeColor="text1"/>
          <w:szCs w:val="21"/>
          <w:highlight w:val="none"/>
          <w14:textFill>
            <w14:solidFill>
              <w14:schemeClr w14:val="tx1"/>
            </w14:solidFill>
          </w14:textFill>
        </w:rPr>
        <w:t>。</w:t>
      </w:r>
    </w:p>
    <w:p w14:paraId="2CC8E137">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（15）发包人未按合同约定接收全部或部分工作的违约责任：由发包人承担自应当接收工程之日起的工程照管、成品保护、保管等与工程有关的各项费用。</w:t>
      </w:r>
    </w:p>
    <w:p w14:paraId="380106C0">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（16）由于发包人原因对承包人造成的人员人身伤亡和财产损失的，由发包人负责赔偿，并承担由此增加的费用和（或）延误的工期，并支付合理利润。</w:t>
      </w:r>
    </w:p>
    <w:p w14:paraId="7FD28174">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（17）发包人未按合同约定办理保险的违约责任：除按18.6.1项约定执行外，每延迟1天，按500元/天支付违约金。</w:t>
      </w:r>
    </w:p>
    <w:p w14:paraId="685FA50F">
      <w:pPr>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（18）其他：</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152F1E96">
      <w:pPr>
        <w:snapToGrid w:val="0"/>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发包人发生除第22.2.1项（7）以外的违约情况时，承包人可向发包人发出通知，要求发包人采取有效措施纠正违约行为。发包人收到承包人通知后的28天内仍不履行合同义务，承包人有权暂停施工，并通知监理人。</w:t>
      </w:r>
    </w:p>
    <w:p w14:paraId="5DC67928">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59" w:name="_Toc59810426"/>
      <w:bookmarkStart w:id="1060" w:name="_Toc10084"/>
      <w:bookmarkStart w:id="1061" w:name="_Toc16590"/>
      <w:bookmarkStart w:id="1062" w:name="_Toc33183793"/>
      <w:r>
        <w:rPr>
          <w:rFonts w:hint="eastAsia" w:ascii="宋体" w:hAnsi="宋体" w:cs="宋体"/>
          <w:color w:val="000000" w:themeColor="text1"/>
          <w:sz w:val="21"/>
          <w:szCs w:val="21"/>
          <w:highlight w:val="none"/>
          <w14:textFill>
            <w14:solidFill>
              <w14:schemeClr w14:val="tx1"/>
            </w14:solidFill>
          </w14:textFill>
        </w:rPr>
        <w:t>23. 索赔</w:t>
      </w:r>
      <w:bookmarkEnd w:id="1059"/>
      <w:bookmarkEnd w:id="1060"/>
      <w:bookmarkEnd w:id="1061"/>
      <w:bookmarkEnd w:id="1062"/>
    </w:p>
    <w:p w14:paraId="3B7C1237">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63" w:name="_Toc33183794"/>
      <w:r>
        <w:rPr>
          <w:rFonts w:hint="eastAsia" w:ascii="宋体" w:hAnsi="宋体" w:cs="宋体"/>
          <w:color w:val="000000" w:themeColor="text1"/>
          <w:szCs w:val="21"/>
          <w:highlight w:val="none"/>
          <w14:textFill>
            <w14:solidFill>
              <w14:schemeClr w14:val="tx1"/>
            </w14:solidFill>
          </w14:textFill>
        </w:rPr>
        <w:t>23.1 承包人索赔的提出</w:t>
      </w:r>
      <w:bookmarkEnd w:id="1063"/>
    </w:p>
    <w:p w14:paraId="2763A77B">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根据合同约定，承包人认为有权得到追加付款和（或）延长工期的，应按以下程序向发包人提出索赔：</w:t>
      </w:r>
    </w:p>
    <w:p w14:paraId="735161AF">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（1）承包人应在索赔事件发生后28天内，向监理人递交索赔意向通知书，并说明发生索赔事件的事由；承包人未在前述28天内发出索赔意向通知书的，丧失要求追加付款和（或）延长工期的权利；</w:t>
      </w:r>
    </w:p>
    <w:p w14:paraId="2818DF3C">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4328387C">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（3）索赔事件具有持续影响的，承包人应按监理人要求的合理时间间隔继续递交延续索赔通知，说明持续影响的实际情况和记录，列出累计的追加付款金额和（或）工期延长天数；</w:t>
      </w:r>
    </w:p>
    <w:p w14:paraId="11A9A62A">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341EDD2E">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569CEC86">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64" w:name="_Toc33183795"/>
      <w:r>
        <w:rPr>
          <w:rFonts w:hint="eastAsia" w:ascii="宋体" w:hAnsi="宋体" w:cs="宋体"/>
          <w:color w:val="000000" w:themeColor="text1"/>
          <w:szCs w:val="21"/>
          <w:highlight w:val="none"/>
          <w14:textFill>
            <w14:solidFill>
              <w14:schemeClr w14:val="tx1"/>
            </w14:solidFill>
          </w14:textFill>
        </w:rPr>
        <w:t>23.2 承包人索赔处理程序</w:t>
      </w:r>
      <w:bookmarkEnd w:id="1064"/>
    </w:p>
    <w:p w14:paraId="1AB78BAE">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对承包人索赔的处理程序：</w:t>
      </w:r>
    </w:p>
    <w:p w14:paraId="68637943">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应按3.5目商定或确定追加的付款和（或）延长的工期，并在收到上述索赔通知书或有关索赔的进一步证明材料后的28天内，将索赔处理结果报发包人批准后答复承包人。如果承包人提出的索赔要求未能遵守23.1（2）～（4）项的规定，则承包人只限于索赔由监理人按当时记录予以核实的那部分款额和（或）工期延长天数。</w:t>
      </w:r>
    </w:p>
    <w:p w14:paraId="383F3E2C">
      <w:pPr>
        <w:rPr>
          <w:rFonts w:ascii="宋体" w:hAnsi="宋体" w:cs="宋体"/>
          <w:color w:val="000000" w:themeColor="text1"/>
          <w:szCs w:val="21"/>
          <w:highlight w:val="none"/>
          <w14:textFill>
            <w14:solidFill>
              <w14:schemeClr w14:val="tx1"/>
            </w14:solidFill>
          </w14:textFill>
        </w:rPr>
      </w:pPr>
    </w:p>
    <w:p w14:paraId="6F1C4E7C">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23.3 承包人/发包人提出索赔的期限</w:t>
      </w:r>
    </w:p>
    <w:p w14:paraId="7C33DA6C">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任一索赔事件发生后28天内，承包人/发包人未向对方发出索赔意向通知书的，视为其已放弃索赔权，无权再就该索赔事项提出任何索赔。</w:t>
      </w:r>
    </w:p>
    <w:p w14:paraId="677C4B31">
      <w:pPr>
        <w:spacing w:line="360" w:lineRule="auto"/>
        <w:rPr>
          <w:rFonts w:ascii="宋体" w:hAnsi="宋体" w:cs="宋体"/>
          <w:color w:val="000000" w:themeColor="text1"/>
          <w:szCs w:val="21"/>
          <w:highlight w:val="none"/>
          <w14:textFill>
            <w14:solidFill>
              <w14:schemeClr w14:val="tx1"/>
            </w14:solidFill>
          </w14:textFill>
        </w:rPr>
      </w:pPr>
    </w:p>
    <w:p w14:paraId="4D14EB63">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65" w:name="_Toc33183796"/>
      <w:r>
        <w:rPr>
          <w:rFonts w:hint="eastAsia" w:ascii="宋体" w:hAnsi="宋体" w:cs="宋体"/>
          <w:color w:val="000000" w:themeColor="text1"/>
          <w:szCs w:val="21"/>
          <w:highlight w:val="none"/>
          <w14:textFill>
            <w14:solidFill>
              <w14:schemeClr w14:val="tx1"/>
            </w14:solidFill>
          </w14:textFill>
        </w:rPr>
        <w:t>23.4 发包人的索赔</w:t>
      </w:r>
      <w:bookmarkEnd w:id="1065"/>
    </w:p>
    <w:p w14:paraId="28DF0525">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根据合同约定，发包人认为有权得到赔付金额和（或）延长缺陷责任期的，监理人应向承包人发出通知并附有详细的证明。</w:t>
      </w:r>
    </w:p>
    <w:p w14:paraId="3982E82D">
      <w:pPr>
        <w:pStyle w:val="2"/>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78C577BA">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对发包人索赔的处理如下：</w:t>
      </w:r>
    </w:p>
    <w:p w14:paraId="7955B0F0">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（1）承包人收到发包人提交的索赔报告后，应及时审查索赔报告的内容、查验发包人证明材料；</w:t>
      </w:r>
    </w:p>
    <w:p w14:paraId="614B6796">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071456D4">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（3）承包人接受索赔处理结果的，发包人可从应支付给承包人的合同价款中扣除赔付的金额或延长缺陷责任期；发包人不接受索赔处理结果的，按第24条〔争议的解决〕约定处理。</w:t>
      </w:r>
    </w:p>
    <w:p w14:paraId="6FDE4336">
      <w:pPr>
        <w:spacing w:line="360" w:lineRule="auto"/>
        <w:rPr>
          <w:rFonts w:ascii="宋体" w:hAnsi="宋体" w:cs="宋体"/>
          <w:color w:val="000000" w:themeColor="text1"/>
          <w:szCs w:val="21"/>
          <w:highlight w:val="none"/>
          <w14:textFill>
            <w14:solidFill>
              <w14:schemeClr w14:val="tx1"/>
            </w14:solidFill>
          </w14:textFill>
        </w:rPr>
      </w:pPr>
    </w:p>
    <w:p w14:paraId="1E406BE7">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66" w:name="_Toc59810427"/>
      <w:bookmarkStart w:id="1067" w:name="_Toc33183797"/>
      <w:bookmarkStart w:id="1068" w:name="_Toc19547"/>
      <w:bookmarkStart w:id="1069" w:name="_Toc12606"/>
      <w:r>
        <w:rPr>
          <w:rFonts w:hint="eastAsia" w:ascii="宋体" w:hAnsi="宋体" w:cs="宋体"/>
          <w:color w:val="000000" w:themeColor="text1"/>
          <w:sz w:val="21"/>
          <w:szCs w:val="21"/>
          <w:highlight w:val="none"/>
          <w14:textFill>
            <w14:solidFill>
              <w14:schemeClr w14:val="tx1"/>
            </w14:solidFill>
          </w14:textFill>
        </w:rPr>
        <w:t>24. 争议的解决</w:t>
      </w:r>
      <w:bookmarkEnd w:id="1044"/>
      <w:bookmarkEnd w:id="1045"/>
      <w:bookmarkEnd w:id="1046"/>
      <w:bookmarkEnd w:id="1047"/>
      <w:bookmarkEnd w:id="1048"/>
      <w:bookmarkEnd w:id="1049"/>
      <w:bookmarkEnd w:id="1066"/>
      <w:bookmarkEnd w:id="1067"/>
      <w:bookmarkEnd w:id="1068"/>
      <w:bookmarkEnd w:id="1069"/>
    </w:p>
    <w:p w14:paraId="76AE300F">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bookmarkStart w:id="1070" w:name="_Toc33183798"/>
      <w:bookmarkStart w:id="1071" w:name="_Toc221951335"/>
      <w:r>
        <w:rPr>
          <w:rFonts w:hint="eastAsia" w:ascii="宋体" w:hAnsi="宋体" w:cs="宋体"/>
          <w:color w:val="000000" w:themeColor="text1"/>
          <w:szCs w:val="21"/>
          <w:highlight w:val="none"/>
          <w14:textFill>
            <w14:solidFill>
              <w14:schemeClr w14:val="tx1"/>
            </w14:solidFill>
          </w14:textFill>
        </w:rPr>
        <w:t>24.1 争议的解决方式</w:t>
      </w:r>
      <w:bookmarkEnd w:id="1070"/>
    </w:p>
    <w:p w14:paraId="47AF8063">
      <w:pPr>
        <w:keepNext/>
        <w:keepLines/>
        <w:spacing w:line="360" w:lineRule="auto"/>
        <w:ind w:firstLine="420" w:firstLineChars="200"/>
        <w:outlineLvl w:val="3"/>
        <w:rPr>
          <w:rFonts w:ascii="宋体" w:hAnsi="宋体" w:cs="宋体"/>
          <w:color w:val="000000" w:themeColor="text1"/>
          <w:szCs w:val="21"/>
          <w:highlight w:val="none"/>
          <w14:textFill>
            <w14:solidFill>
              <w14:schemeClr w14:val="tx1"/>
            </w14:solidFill>
          </w14:textFill>
        </w:rPr>
      </w:pPr>
      <w:bookmarkStart w:id="1072" w:name="_Toc33183799"/>
      <w:r>
        <w:rPr>
          <w:rFonts w:hint="eastAsia" w:ascii="宋体" w:hAnsi="宋体" w:cs="宋体"/>
          <w:color w:val="000000" w:themeColor="text1"/>
          <w:szCs w:val="21"/>
          <w:highlight w:val="none"/>
          <w14:textFill>
            <w14:solidFill>
              <w14:schemeClr w14:val="tx1"/>
            </w14:solidFill>
          </w14:textFill>
        </w:rPr>
        <w:t>合同当事人友好协商解决不成、不愿提请争议评审或不接受争议评审组意见的，约定的合同争议解决方式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bookmarkEnd w:id="1071"/>
      <w:bookmarkEnd w:id="1072"/>
    </w:p>
    <w:p w14:paraId="31973980">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24.3 争议评审</w:t>
      </w:r>
    </w:p>
    <w:p w14:paraId="0533953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kern w:val="0"/>
          <w:szCs w:val="21"/>
          <w:highlight w:val="none"/>
          <w:u w:val="single"/>
          <w14:textFill>
            <w14:solidFill>
              <w14:schemeClr w14:val="tx1"/>
            </w14:solidFill>
          </w14:textFill>
        </w:rPr>
        <w:t xml:space="preserve"> 是 </w:t>
      </w:r>
      <w:r>
        <w:rPr>
          <w:rFonts w:hint="eastAsia" w:ascii="宋体" w:hAnsi="宋体" w:cs="宋体"/>
          <w:color w:val="000000" w:themeColor="text1"/>
          <w:kern w:val="0"/>
          <w:szCs w:val="21"/>
          <w:highlight w:val="none"/>
          <w14:textFill>
            <w14:solidFill>
              <w14:schemeClr w14:val="tx1"/>
            </w14:solidFill>
          </w14:textFill>
        </w:rPr>
        <w:t>。</w:t>
      </w:r>
    </w:p>
    <w:p w14:paraId="493045F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本款补充细化24.3.1项如下：</w:t>
      </w:r>
    </w:p>
    <w:p w14:paraId="7E45191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24.3.1采用争议评审的，发包人和承包人应在开工日后的28 天内或在争议发生后，协商成立争议评审组。争议评审组由</w:t>
      </w:r>
      <w:r>
        <w:rPr>
          <w:rFonts w:hint="eastAsia" w:ascii="宋体" w:hAnsi="宋体" w:cs="宋体"/>
          <w:color w:val="000000" w:themeColor="text1"/>
          <w:kern w:val="0"/>
          <w:szCs w:val="21"/>
          <w:highlight w:val="none"/>
          <w:u w:val="single"/>
          <w14:textFill>
            <w14:solidFill>
              <w14:schemeClr w14:val="tx1"/>
            </w14:solidFill>
          </w14:textFill>
        </w:rPr>
        <w:t>一名或三名</w:t>
      </w:r>
      <w:r>
        <w:rPr>
          <w:rFonts w:hint="eastAsia" w:ascii="宋体" w:hAnsi="宋体" w:cs="宋体"/>
          <w:color w:val="000000" w:themeColor="text1"/>
          <w:kern w:val="0"/>
          <w:szCs w:val="21"/>
          <w:highlight w:val="none"/>
          <w14:textFill>
            <w14:solidFill>
              <w14:schemeClr w14:val="tx1"/>
            </w14:solidFill>
          </w14:textFill>
        </w:rPr>
        <w:t>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3373BEF8">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24.4 仲裁或诉讼</w:t>
      </w:r>
    </w:p>
    <w:p w14:paraId="3BD0CAD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因合同及合同有关事项发生的争议，按下列第</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种方式解决：</w:t>
      </w:r>
    </w:p>
    <w:p w14:paraId="72385B5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（1）向</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仲裁委员会申请仲裁；</w:t>
      </w:r>
    </w:p>
    <w:p w14:paraId="4C3FBC5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（2）向</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人民法院起诉。</w:t>
      </w:r>
    </w:p>
    <w:p w14:paraId="666B8949">
      <w:pPr>
        <w:ind w:firstLine="420" w:firstLineChars="200"/>
        <w:rPr>
          <w:rFonts w:ascii="宋体" w:hAnsi="宋体" w:cs="宋体"/>
          <w:color w:val="000000" w:themeColor="text1"/>
          <w:kern w:val="0"/>
          <w:szCs w:val="21"/>
          <w:highlight w:val="none"/>
          <w14:textFill>
            <w14:solidFill>
              <w14:schemeClr w14:val="tx1"/>
            </w14:solidFill>
          </w14:textFill>
        </w:rPr>
      </w:pPr>
    </w:p>
    <w:p w14:paraId="70C38D53">
      <w:pPr>
        <w:pStyle w:val="2"/>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本合同补充第25、26条如下：</w:t>
      </w:r>
    </w:p>
    <w:p w14:paraId="1D0580D0">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73" w:name="_Toc11753"/>
      <w:bookmarkStart w:id="1074" w:name="_Toc59810428"/>
      <w:bookmarkStart w:id="1075" w:name="_Toc33183800"/>
      <w:bookmarkStart w:id="1076" w:name="_Toc17284"/>
      <w:r>
        <w:rPr>
          <w:rFonts w:hint="eastAsia" w:ascii="宋体" w:hAnsi="宋体" w:cs="宋体"/>
          <w:color w:val="000000" w:themeColor="text1"/>
          <w:sz w:val="21"/>
          <w:szCs w:val="21"/>
          <w:highlight w:val="none"/>
          <w14:textFill>
            <w14:solidFill>
              <w14:schemeClr w14:val="tx1"/>
            </w14:solidFill>
          </w14:textFill>
        </w:rPr>
        <w:t>25. 补充条款</w:t>
      </w:r>
      <w:bookmarkEnd w:id="1073"/>
      <w:bookmarkEnd w:id="1074"/>
      <w:bookmarkEnd w:id="1075"/>
      <w:bookmarkEnd w:id="1076"/>
    </w:p>
    <w:p w14:paraId="5594F4CA">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25.1 退出机制</w:t>
      </w:r>
    </w:p>
    <w:p w14:paraId="270F8964">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25.1.1有下列情形之一的，发包人有权解除合同，亦有权兑付履约担保，并对承包人做清退出场处理：</w:t>
      </w:r>
    </w:p>
    <w:p w14:paraId="7D43EDCC">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（1）因承包人原因造成较大及以上等级生产安全事故或工程质量事故的；</w:t>
      </w:r>
    </w:p>
    <w:p w14:paraId="75C36399">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（2）因承包人债权债务纠纷或其他纠纷导致工程无法正常施工的。</w:t>
      </w:r>
    </w:p>
    <w:p w14:paraId="58BC01EF">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B2C5CFE">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25.1.2有下列情形之一的，承包人有权解除合同，并按16.1.4约定执行：</w:t>
      </w:r>
    </w:p>
    <w:p w14:paraId="45F3D4DE">
      <w:pPr>
        <w:spacing w:line="360" w:lineRule="auto"/>
        <w:ind w:right="105" w:rightChars="50"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（1）因发包人征地、拆迁、补偿、审批手续等原因致使本工程延期开工超过90天的。</w:t>
      </w:r>
    </w:p>
    <w:p w14:paraId="2928F507">
      <w:pPr>
        <w:spacing w:line="360" w:lineRule="auto"/>
        <w:ind w:right="105" w:rightChars="50"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5BFA9B33">
      <w:pPr>
        <w:snapToGrid w:val="0"/>
        <w:spacing w:line="360" w:lineRule="auto"/>
        <w:ind w:firstLine="420" w:firstLineChars="200"/>
        <w:jc w:val="left"/>
        <w:rPr>
          <w:rFonts w:hint="eastAsia" w:ascii="宋体" w:hAnsi="宋体" w:cs="宋体"/>
          <w:b w:val="0"/>
          <w:bCs w:val="0"/>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25.</w:t>
      </w:r>
      <w:r>
        <w:rPr>
          <w:rFonts w:hint="eastAsia" w:ascii="宋体" w:hAnsi="宋体" w:cs="宋体"/>
          <w:color w:val="000000" w:themeColor="text1"/>
          <w:kern w:val="0"/>
          <w:szCs w:val="21"/>
          <w:highlight w:val="none"/>
          <w:lang w:val="en-US" w:eastAsia="zh-CN"/>
          <w14:textFill>
            <w14:solidFill>
              <w14:schemeClr w14:val="tx1"/>
            </w14:solidFill>
          </w14:textFill>
        </w:rPr>
        <w:t>3关于不平衡报价的约定：</w:t>
      </w:r>
      <w:r>
        <w:rPr>
          <w:rFonts w:ascii="宋体" w:hAnsi="宋体" w:cs="宋体"/>
          <w:b w:val="0"/>
          <w:bCs w:val="0"/>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b w:val="0"/>
          <w:bCs w:val="0"/>
          <w:color w:val="000000" w:themeColor="text1"/>
          <w:szCs w:val="21"/>
          <w:highlight w:val="none"/>
          <w:u w:val="single"/>
          <w14:textFill>
            <w14:solidFill>
              <w14:schemeClr w14:val="tx1"/>
            </w14:solidFill>
          </w14:textFill>
        </w:rPr>
        <w:t xml:space="preserve">     </w:t>
      </w:r>
      <w:r>
        <w:rPr>
          <w:rFonts w:hint="eastAsia" w:ascii="宋体" w:hAnsi="宋体" w:cs="宋体"/>
          <w:b w:val="0"/>
          <w:bCs w:val="0"/>
          <w:color w:val="000000" w:themeColor="text1"/>
          <w:szCs w:val="21"/>
          <w:highlight w:val="none"/>
          <w14:textFill>
            <w14:solidFill>
              <w14:schemeClr w14:val="tx1"/>
            </w14:solidFill>
          </w14:textFill>
        </w:rPr>
        <w:t>。</w:t>
      </w:r>
    </w:p>
    <w:p w14:paraId="48FB7346">
      <w:pPr>
        <w:pStyle w:val="5"/>
        <w:spacing w:line="360" w:lineRule="auto"/>
        <w:rPr>
          <w:rFonts w:ascii="宋体" w:hAnsi="宋体" w:cs="宋体"/>
          <w:color w:val="000000" w:themeColor="text1"/>
          <w:sz w:val="21"/>
          <w:szCs w:val="21"/>
          <w:highlight w:val="none"/>
          <w14:textFill>
            <w14:solidFill>
              <w14:schemeClr w14:val="tx1"/>
            </w14:solidFill>
          </w14:textFill>
        </w:rPr>
      </w:pPr>
      <w:bookmarkStart w:id="1077" w:name="_Toc20880"/>
      <w:bookmarkStart w:id="1078" w:name="_Toc33183801"/>
      <w:bookmarkStart w:id="1079" w:name="_Toc59810429"/>
      <w:bookmarkStart w:id="1080" w:name="_Toc484"/>
      <w:r>
        <w:rPr>
          <w:rFonts w:hint="eastAsia" w:ascii="宋体" w:hAnsi="宋体" w:cs="宋体"/>
          <w:color w:val="000000" w:themeColor="text1"/>
          <w:sz w:val="21"/>
          <w:szCs w:val="21"/>
          <w:highlight w:val="none"/>
          <w14:textFill>
            <w14:solidFill>
              <w14:schemeClr w14:val="tx1"/>
            </w14:solidFill>
          </w14:textFill>
        </w:rPr>
        <w:t>26. 合同附件</w:t>
      </w:r>
      <w:bookmarkEnd w:id="1077"/>
      <w:bookmarkEnd w:id="1078"/>
      <w:bookmarkEnd w:id="1079"/>
      <w:bookmarkEnd w:id="1080"/>
    </w:p>
    <w:p w14:paraId="3E1EF61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以下附件是本合同的有效组成部分：</w:t>
      </w:r>
    </w:p>
    <w:p w14:paraId="33A0FE2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附件1：主要建设工程文件目录</w:t>
      </w:r>
    </w:p>
    <w:p w14:paraId="5BFFBA3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附件2：承包人项目管理机构组成表</w:t>
      </w:r>
    </w:p>
    <w:p w14:paraId="21AE0FB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附件3：履约担保</w:t>
      </w:r>
    </w:p>
    <w:p w14:paraId="48FF039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附件4：预付款担保</w:t>
      </w:r>
    </w:p>
    <w:p w14:paraId="0681518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附件5：支付担保</w:t>
      </w:r>
    </w:p>
    <w:p w14:paraId="7FDB6E0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附件6：重庆市水利工程建设安全生产合同</w:t>
      </w:r>
    </w:p>
    <w:p w14:paraId="160E778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附件7：重庆市水利工程建设廉政合同</w:t>
      </w:r>
    </w:p>
    <w:p w14:paraId="286C13E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附件8：按期支付农民工工资合同</w:t>
      </w:r>
    </w:p>
    <w:p w14:paraId="10D2597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附件9：低价风险担保保函示范文本（独立保函）（如有）</w:t>
      </w:r>
    </w:p>
    <w:p w14:paraId="505BAF2A">
      <w:pPr>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附件</w:t>
      </w:r>
      <w:r>
        <w:rPr>
          <w:rFonts w:hint="eastAsia" w:ascii="宋体" w:hAnsi="宋体" w:cs="宋体"/>
          <w:color w:val="000000" w:themeColor="text1"/>
          <w:kern w:val="0"/>
          <w:szCs w:val="21"/>
          <w:highlight w:val="none"/>
          <w:lang w:val="en-US" w:eastAsia="zh-CN"/>
          <w14:textFill>
            <w14:solidFill>
              <w14:schemeClr w14:val="tx1"/>
            </w14:solidFill>
          </w14:textFill>
        </w:rPr>
        <w:t>10：质量保证金保函（如有）</w:t>
      </w:r>
    </w:p>
    <w:p w14:paraId="52321104">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color w:val="000000" w:themeColor="text1"/>
          <w:kern w:val="0"/>
          <w:szCs w:val="21"/>
          <w:highlight w:val="none"/>
          <w14:textFill>
            <w14:solidFill>
              <w14:schemeClr w14:val="tx1"/>
            </w14:solidFill>
          </w14:textFill>
        </w:rPr>
        <w:t>附件1：主要建设工程文件目录</w:t>
      </w:r>
    </w:p>
    <w:p w14:paraId="67156D93">
      <w:pPr>
        <w:pStyle w:val="2"/>
        <w:rPr>
          <w:color w:val="000000" w:themeColor="text1"/>
          <w:highlight w:val="none"/>
          <w14:textFill>
            <w14:solidFill>
              <w14:schemeClr w14:val="tx1"/>
            </w14:solidFill>
          </w14:textFill>
        </w:rPr>
      </w:pPr>
    </w:p>
    <w:p w14:paraId="1A70FA5D">
      <w:pPr>
        <w:spacing w:line="360" w:lineRule="auto"/>
        <w:ind w:firstLine="420" w:firstLineChars="20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主要工程文件目录</w:t>
      </w:r>
    </w:p>
    <w:tbl>
      <w:tblPr>
        <w:tblStyle w:val="4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4DE4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02115680">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文件名称</w:t>
            </w:r>
          </w:p>
        </w:tc>
        <w:tc>
          <w:tcPr>
            <w:tcW w:w="1418" w:type="dxa"/>
            <w:vAlign w:val="center"/>
          </w:tcPr>
          <w:p w14:paraId="107B3CD1">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套数</w:t>
            </w:r>
          </w:p>
        </w:tc>
        <w:tc>
          <w:tcPr>
            <w:tcW w:w="1418" w:type="dxa"/>
          </w:tcPr>
          <w:p w14:paraId="2FCA2BFA">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移交时间</w:t>
            </w:r>
          </w:p>
        </w:tc>
        <w:tc>
          <w:tcPr>
            <w:tcW w:w="2917" w:type="dxa"/>
          </w:tcPr>
          <w:p w14:paraId="1F322FAE">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责任人</w:t>
            </w:r>
          </w:p>
        </w:tc>
      </w:tr>
      <w:tr w14:paraId="42C8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6ED36F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27610CE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61C28AC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13AB13C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3CF5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B2A227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7C71EF1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5B7EF7B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239145B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0DF7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60CF91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6C012BC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61FC8B7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43A43AD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0F8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844AF5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2DADD90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534830F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31FD426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6C9E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280AB6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580CE2E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07F7E8F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537F679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7F56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FAFFCC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12768FE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6BEEEA0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0D9A63E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76DE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2F4EC8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384584C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54FFD00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1DF5847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65BB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1DD7F6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410955E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32AE689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3CB4A0C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7213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FE0F4A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56598E6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0820446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7C0CE40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31A9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3F3E3A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25D65ED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vAlign w:val="center"/>
          </w:tcPr>
          <w:p w14:paraId="1EF09FD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vAlign w:val="center"/>
          </w:tcPr>
          <w:p w14:paraId="5A7C7D6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7213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9737AD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0C44825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6E03071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7B29B0E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2F28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708758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5716771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1AD2F08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5E43EA8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3C6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A4D410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7E57DC3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425541E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4719EA1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365B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AE2EA3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63E65F9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0947163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0A02971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4F2E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8166D9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0E8DD52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431AC9A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670845D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43C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FDCF6E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5861521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5DB5B5E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23FF038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2C53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F30A6C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5822F55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24AF369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503AC02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r w14:paraId="2EB2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B4AFE3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2DDB16F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1418" w:type="dxa"/>
          </w:tcPr>
          <w:p w14:paraId="4F3F291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c>
          <w:tcPr>
            <w:tcW w:w="2917" w:type="dxa"/>
          </w:tcPr>
          <w:p w14:paraId="5EF2522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tc>
      </w:tr>
    </w:tbl>
    <w:p w14:paraId="4CF27E5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3AE08C3D">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color w:val="000000" w:themeColor="text1"/>
          <w:kern w:val="0"/>
          <w:szCs w:val="21"/>
          <w:highlight w:val="none"/>
          <w14:textFill>
            <w14:solidFill>
              <w14:schemeClr w14:val="tx1"/>
            </w14:solidFill>
          </w14:textFill>
        </w:rPr>
        <w:t>附件2：承包人项目管理机构组成表</w:t>
      </w:r>
    </w:p>
    <w:p w14:paraId="342AC4E6">
      <w:pPr>
        <w:spacing w:line="360" w:lineRule="auto"/>
        <w:ind w:firstLine="420" w:firstLineChars="200"/>
        <w:jc w:val="center"/>
        <w:rPr>
          <w:rFonts w:ascii="宋体" w:hAnsi="宋体" w:cs="宋体"/>
          <w:color w:val="000000" w:themeColor="text1"/>
          <w:kern w:val="0"/>
          <w:szCs w:val="21"/>
          <w:highlight w:val="none"/>
          <w14:textFill>
            <w14:solidFill>
              <w14:schemeClr w14:val="tx1"/>
            </w14:solidFill>
          </w14:textFill>
        </w:rPr>
      </w:pPr>
    </w:p>
    <w:p w14:paraId="5C4BB018">
      <w:pPr>
        <w:spacing w:line="360" w:lineRule="auto"/>
        <w:ind w:firstLine="420" w:firstLineChars="20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承包人项目管理机构组成表</w:t>
      </w:r>
    </w:p>
    <w:tbl>
      <w:tblPr>
        <w:tblStyle w:val="4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25"/>
        <w:gridCol w:w="1593"/>
        <w:gridCol w:w="992"/>
        <w:gridCol w:w="1276"/>
        <w:gridCol w:w="851"/>
        <w:gridCol w:w="1641"/>
        <w:gridCol w:w="1080"/>
        <w:gridCol w:w="720"/>
      </w:tblGrid>
      <w:tr w14:paraId="1A91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4A2138FB">
            <w:pPr>
              <w:rPr>
                <w:rFonts w:ascii="宋体" w:hAnsi="宋体" w:cs="宋体"/>
                <w:color w:val="000000" w:themeColor="text1"/>
                <w:kern w:val="0"/>
                <w:szCs w:val="21"/>
                <w:highlight w:val="none"/>
                <w14:textFill>
                  <w14:solidFill>
                    <w14:schemeClr w14:val="tx1"/>
                  </w14:solidFill>
                </w14:textFill>
              </w:rPr>
            </w:pPr>
          </w:p>
        </w:tc>
        <w:tc>
          <w:tcPr>
            <w:tcW w:w="1025" w:type="dxa"/>
            <w:vMerge w:val="restart"/>
            <w:tcBorders>
              <w:top w:val="single" w:color="auto" w:sz="4" w:space="0"/>
              <w:left w:val="single" w:color="auto" w:sz="4" w:space="0"/>
              <w:bottom w:val="single" w:color="auto" w:sz="4" w:space="0"/>
              <w:right w:val="single" w:color="auto" w:sz="4" w:space="0"/>
            </w:tcBorders>
            <w:vAlign w:val="center"/>
          </w:tcPr>
          <w:p w14:paraId="41B6BCA0">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1593" w:type="dxa"/>
            <w:vMerge w:val="restart"/>
            <w:tcBorders>
              <w:top w:val="single" w:color="auto" w:sz="4" w:space="0"/>
              <w:left w:val="single" w:color="auto" w:sz="4" w:space="0"/>
              <w:bottom w:val="single" w:color="auto" w:sz="4" w:space="0"/>
              <w:right w:val="single" w:color="auto" w:sz="4" w:space="0"/>
            </w:tcBorders>
            <w:vAlign w:val="center"/>
          </w:tcPr>
          <w:p w14:paraId="13E8082F">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6E98538">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职称</w:t>
            </w:r>
          </w:p>
        </w:tc>
        <w:tc>
          <w:tcPr>
            <w:tcW w:w="4848" w:type="dxa"/>
            <w:gridSpan w:val="4"/>
            <w:tcBorders>
              <w:top w:val="single" w:color="auto" w:sz="4" w:space="0"/>
              <w:left w:val="single" w:color="auto" w:sz="4" w:space="0"/>
              <w:bottom w:val="single" w:color="auto" w:sz="4" w:space="0"/>
              <w:right w:val="single" w:color="auto" w:sz="4" w:space="0"/>
            </w:tcBorders>
            <w:vAlign w:val="center"/>
          </w:tcPr>
          <w:p w14:paraId="40FE46BF">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执业或职业资格证明</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D5FB4D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594E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77376D98">
            <w:pPr>
              <w:rPr>
                <w:rFonts w:ascii="宋体" w:hAnsi="宋体" w:cs="宋体"/>
                <w:color w:val="000000" w:themeColor="text1"/>
                <w:kern w:val="0"/>
                <w:szCs w:val="21"/>
                <w:highlight w:val="none"/>
                <w14:textFill>
                  <w14:solidFill>
                    <w14:schemeClr w14:val="tx1"/>
                  </w14:solidFill>
                </w14:textFil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14:paraId="45D4EC64">
            <w:pPr>
              <w:rPr>
                <w:rFonts w:ascii="宋体" w:hAnsi="宋体" w:cs="宋体"/>
                <w:color w:val="000000" w:themeColor="text1"/>
                <w:kern w:val="0"/>
                <w:szCs w:val="21"/>
                <w:highlight w:val="none"/>
                <w14:textFill>
                  <w14:solidFill>
                    <w14:schemeClr w14:val="tx1"/>
                  </w14:solidFill>
                </w14:textFill>
              </w:rPr>
            </w:pPr>
          </w:p>
        </w:tc>
        <w:tc>
          <w:tcPr>
            <w:tcW w:w="1593" w:type="dxa"/>
            <w:vMerge w:val="continue"/>
            <w:tcBorders>
              <w:top w:val="single" w:color="auto" w:sz="4" w:space="0"/>
              <w:left w:val="single" w:color="auto" w:sz="4" w:space="0"/>
              <w:bottom w:val="single" w:color="auto" w:sz="4" w:space="0"/>
              <w:right w:val="single" w:color="auto" w:sz="4" w:space="0"/>
            </w:tcBorders>
            <w:vAlign w:val="center"/>
          </w:tcPr>
          <w:p w14:paraId="4688456D">
            <w:pPr>
              <w:rPr>
                <w:rFonts w:ascii="宋体" w:hAnsi="宋体" w:cs="宋体"/>
                <w:color w:val="000000" w:themeColor="text1"/>
                <w:kern w:val="0"/>
                <w:szCs w:val="21"/>
                <w:highlight w:val="none"/>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D78A9E2">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DF8D593">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证书名称</w:t>
            </w:r>
          </w:p>
        </w:tc>
        <w:tc>
          <w:tcPr>
            <w:tcW w:w="851" w:type="dxa"/>
            <w:tcBorders>
              <w:top w:val="single" w:color="auto" w:sz="4" w:space="0"/>
              <w:left w:val="single" w:color="auto" w:sz="4" w:space="0"/>
              <w:bottom w:val="single" w:color="auto" w:sz="4" w:space="0"/>
              <w:right w:val="single" w:color="auto" w:sz="4" w:space="0"/>
            </w:tcBorders>
            <w:vAlign w:val="center"/>
          </w:tcPr>
          <w:p w14:paraId="478DA2E4">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级别</w:t>
            </w:r>
          </w:p>
        </w:tc>
        <w:tc>
          <w:tcPr>
            <w:tcW w:w="1641" w:type="dxa"/>
            <w:tcBorders>
              <w:top w:val="single" w:color="auto" w:sz="4" w:space="0"/>
              <w:left w:val="single" w:color="auto" w:sz="4" w:space="0"/>
              <w:bottom w:val="single" w:color="auto" w:sz="4" w:space="0"/>
              <w:right w:val="single" w:color="auto" w:sz="4" w:space="0"/>
            </w:tcBorders>
            <w:vAlign w:val="center"/>
          </w:tcPr>
          <w:p w14:paraId="19A70B68">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证号</w:t>
            </w:r>
          </w:p>
        </w:tc>
        <w:tc>
          <w:tcPr>
            <w:tcW w:w="1080" w:type="dxa"/>
            <w:tcBorders>
              <w:top w:val="single" w:color="auto" w:sz="4" w:space="0"/>
              <w:left w:val="single" w:color="auto" w:sz="4" w:space="0"/>
              <w:bottom w:val="single" w:color="auto" w:sz="4" w:space="0"/>
              <w:right w:val="single" w:color="auto" w:sz="4" w:space="0"/>
            </w:tcBorders>
            <w:vAlign w:val="center"/>
          </w:tcPr>
          <w:p w14:paraId="1F1B8BAE">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专业</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AB63E54">
            <w:pPr>
              <w:rPr>
                <w:rFonts w:ascii="宋体" w:hAnsi="宋体" w:cs="宋体"/>
                <w:color w:val="000000" w:themeColor="text1"/>
                <w:kern w:val="0"/>
                <w:szCs w:val="21"/>
                <w:highlight w:val="none"/>
                <w14:textFill>
                  <w14:solidFill>
                    <w14:schemeClr w14:val="tx1"/>
                  </w14:solidFill>
                </w14:textFill>
              </w:rPr>
            </w:pPr>
          </w:p>
        </w:tc>
      </w:tr>
      <w:tr w14:paraId="4AF6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4F54DB88">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025" w:type="dxa"/>
            <w:tcBorders>
              <w:top w:val="single" w:color="auto" w:sz="4" w:space="0"/>
              <w:left w:val="single" w:color="auto" w:sz="4" w:space="0"/>
              <w:bottom w:val="single" w:color="auto" w:sz="4" w:space="0"/>
              <w:right w:val="single" w:color="auto" w:sz="4" w:space="0"/>
            </w:tcBorders>
            <w:vAlign w:val="center"/>
          </w:tcPr>
          <w:p w14:paraId="613D66AB">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669C2AB3">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C33A372">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6EEA16C">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6EF205F">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17265E01">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E7CECF0">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560DD889">
            <w:pPr>
              <w:rPr>
                <w:rFonts w:ascii="宋体" w:hAnsi="宋体" w:cs="宋体"/>
                <w:color w:val="000000" w:themeColor="text1"/>
                <w:kern w:val="0"/>
                <w:szCs w:val="21"/>
                <w:highlight w:val="none"/>
                <w14:textFill>
                  <w14:solidFill>
                    <w14:schemeClr w14:val="tx1"/>
                  </w14:solidFill>
                </w14:textFill>
              </w:rPr>
            </w:pPr>
          </w:p>
        </w:tc>
      </w:tr>
      <w:tr w14:paraId="00D5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4B281140">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025" w:type="dxa"/>
            <w:tcBorders>
              <w:top w:val="single" w:color="auto" w:sz="4" w:space="0"/>
              <w:left w:val="single" w:color="auto" w:sz="4" w:space="0"/>
              <w:bottom w:val="single" w:color="auto" w:sz="4" w:space="0"/>
              <w:right w:val="single" w:color="auto" w:sz="4" w:space="0"/>
            </w:tcBorders>
            <w:vAlign w:val="center"/>
          </w:tcPr>
          <w:p w14:paraId="0A7AC935">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4A6268E3">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F4467CA">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88E56E5">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735EAE5">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28A090B1">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044C0A9">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0D4A09A3">
            <w:pPr>
              <w:rPr>
                <w:rFonts w:ascii="宋体" w:hAnsi="宋体" w:cs="宋体"/>
                <w:color w:val="000000" w:themeColor="text1"/>
                <w:kern w:val="0"/>
                <w:szCs w:val="21"/>
                <w:highlight w:val="none"/>
                <w14:textFill>
                  <w14:solidFill>
                    <w14:schemeClr w14:val="tx1"/>
                  </w14:solidFill>
                </w14:textFill>
              </w:rPr>
            </w:pPr>
          </w:p>
        </w:tc>
      </w:tr>
      <w:tr w14:paraId="5242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7B6126E">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025" w:type="dxa"/>
            <w:tcBorders>
              <w:top w:val="single" w:color="auto" w:sz="4" w:space="0"/>
              <w:left w:val="single" w:color="auto" w:sz="4" w:space="0"/>
              <w:bottom w:val="single" w:color="auto" w:sz="4" w:space="0"/>
              <w:right w:val="single" w:color="auto" w:sz="4" w:space="0"/>
            </w:tcBorders>
            <w:vAlign w:val="center"/>
          </w:tcPr>
          <w:p w14:paraId="5CC1B187">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5F4E4BF7">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41DCAA6F">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E11EB3D">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5A6B5DC3">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52E574E5">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E941AAC">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7B874E33">
            <w:pPr>
              <w:rPr>
                <w:rFonts w:ascii="宋体" w:hAnsi="宋体" w:cs="宋体"/>
                <w:color w:val="000000" w:themeColor="text1"/>
                <w:kern w:val="0"/>
                <w:szCs w:val="21"/>
                <w:highlight w:val="none"/>
                <w14:textFill>
                  <w14:solidFill>
                    <w14:schemeClr w14:val="tx1"/>
                  </w14:solidFill>
                </w14:textFill>
              </w:rPr>
            </w:pPr>
          </w:p>
        </w:tc>
      </w:tr>
      <w:tr w14:paraId="5B2D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7DBAD4E">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025" w:type="dxa"/>
            <w:tcBorders>
              <w:top w:val="single" w:color="auto" w:sz="4" w:space="0"/>
              <w:left w:val="single" w:color="auto" w:sz="4" w:space="0"/>
              <w:bottom w:val="single" w:color="auto" w:sz="4" w:space="0"/>
              <w:right w:val="single" w:color="auto" w:sz="4" w:space="0"/>
            </w:tcBorders>
            <w:vAlign w:val="center"/>
          </w:tcPr>
          <w:p w14:paraId="30FEA80E">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4C68FD79">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CE70C15">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E907120">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65DFBDE">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0C52F39B">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00C5C51">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78CC0074">
            <w:pPr>
              <w:rPr>
                <w:rFonts w:ascii="宋体" w:hAnsi="宋体" w:cs="宋体"/>
                <w:color w:val="000000" w:themeColor="text1"/>
                <w:kern w:val="0"/>
                <w:szCs w:val="21"/>
                <w:highlight w:val="none"/>
                <w14:textFill>
                  <w14:solidFill>
                    <w14:schemeClr w14:val="tx1"/>
                  </w14:solidFill>
                </w14:textFill>
              </w:rPr>
            </w:pPr>
          </w:p>
        </w:tc>
      </w:tr>
      <w:tr w14:paraId="5606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055CBE87">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025" w:type="dxa"/>
            <w:tcBorders>
              <w:top w:val="single" w:color="auto" w:sz="4" w:space="0"/>
              <w:left w:val="single" w:color="auto" w:sz="4" w:space="0"/>
              <w:bottom w:val="single" w:color="auto" w:sz="4" w:space="0"/>
              <w:right w:val="single" w:color="auto" w:sz="4" w:space="0"/>
            </w:tcBorders>
            <w:vAlign w:val="center"/>
          </w:tcPr>
          <w:p w14:paraId="0F7F7794">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0EE7F95C">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5FC58C5C">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9FF2CB5">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79D67102">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5A68EF87">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F278F5D">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0A07002A">
            <w:pPr>
              <w:rPr>
                <w:rFonts w:ascii="宋体" w:hAnsi="宋体" w:cs="宋体"/>
                <w:color w:val="000000" w:themeColor="text1"/>
                <w:kern w:val="0"/>
                <w:szCs w:val="21"/>
                <w:highlight w:val="none"/>
                <w14:textFill>
                  <w14:solidFill>
                    <w14:schemeClr w14:val="tx1"/>
                  </w14:solidFill>
                </w14:textFill>
              </w:rPr>
            </w:pPr>
          </w:p>
        </w:tc>
      </w:tr>
      <w:tr w14:paraId="4F0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040D11A7">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025" w:type="dxa"/>
            <w:tcBorders>
              <w:top w:val="single" w:color="auto" w:sz="4" w:space="0"/>
              <w:left w:val="single" w:color="auto" w:sz="4" w:space="0"/>
              <w:bottom w:val="single" w:color="auto" w:sz="4" w:space="0"/>
              <w:right w:val="single" w:color="auto" w:sz="4" w:space="0"/>
            </w:tcBorders>
            <w:vAlign w:val="center"/>
          </w:tcPr>
          <w:p w14:paraId="565FAE24">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74453454">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1AE13E3">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A236025">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04B8A27">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6913F306">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E1EC34C">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4A331313">
            <w:pPr>
              <w:rPr>
                <w:rFonts w:ascii="宋体" w:hAnsi="宋体" w:cs="宋体"/>
                <w:color w:val="000000" w:themeColor="text1"/>
                <w:kern w:val="0"/>
                <w:szCs w:val="21"/>
                <w:highlight w:val="none"/>
                <w14:textFill>
                  <w14:solidFill>
                    <w14:schemeClr w14:val="tx1"/>
                  </w14:solidFill>
                </w14:textFill>
              </w:rPr>
            </w:pPr>
          </w:p>
        </w:tc>
      </w:tr>
      <w:tr w14:paraId="1FB2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67" w:type="dxa"/>
            <w:tcBorders>
              <w:top w:val="single" w:color="auto" w:sz="4" w:space="0"/>
              <w:left w:val="single" w:color="auto" w:sz="4" w:space="0"/>
              <w:bottom w:val="single" w:color="auto" w:sz="4" w:space="0"/>
              <w:right w:val="single" w:color="auto" w:sz="4" w:space="0"/>
            </w:tcBorders>
            <w:vAlign w:val="center"/>
          </w:tcPr>
          <w:p w14:paraId="5BB3EA7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025" w:type="dxa"/>
            <w:tcBorders>
              <w:top w:val="single" w:color="auto" w:sz="4" w:space="0"/>
              <w:left w:val="single" w:color="auto" w:sz="4" w:space="0"/>
              <w:bottom w:val="single" w:color="auto" w:sz="4" w:space="0"/>
              <w:right w:val="single" w:color="auto" w:sz="4" w:space="0"/>
            </w:tcBorders>
            <w:vAlign w:val="center"/>
          </w:tcPr>
          <w:p w14:paraId="28384324">
            <w:pPr>
              <w:rPr>
                <w:rFonts w:ascii="宋体" w:hAnsi="宋体" w:cs="宋体"/>
                <w:color w:val="000000" w:themeColor="text1"/>
                <w:kern w:val="0"/>
                <w:szCs w:val="21"/>
                <w:highlight w:val="none"/>
                <w14:textFill>
                  <w14:solidFill>
                    <w14:schemeClr w14:val="tx1"/>
                  </w14:solidFill>
                </w14:textFill>
              </w:rPr>
            </w:pPr>
          </w:p>
        </w:tc>
        <w:tc>
          <w:tcPr>
            <w:tcW w:w="1593" w:type="dxa"/>
            <w:tcBorders>
              <w:top w:val="single" w:color="auto" w:sz="4" w:space="0"/>
              <w:left w:val="single" w:color="auto" w:sz="4" w:space="0"/>
              <w:bottom w:val="single" w:color="auto" w:sz="4" w:space="0"/>
              <w:right w:val="single" w:color="auto" w:sz="4" w:space="0"/>
            </w:tcBorders>
            <w:vAlign w:val="center"/>
          </w:tcPr>
          <w:p w14:paraId="40A99D0E">
            <w:pP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304D20A">
            <w:pPr>
              <w:rPr>
                <w:rFonts w:ascii="宋体" w:hAnsi="宋体" w:cs="宋体"/>
                <w:color w:val="000000" w:themeColor="text1"/>
                <w:kern w:val="0"/>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E4E639D">
            <w:pPr>
              <w:rPr>
                <w:rFonts w:ascii="宋体" w:hAnsi="宋体" w:cs="宋体"/>
                <w:color w:val="000000" w:themeColor="text1"/>
                <w:kern w:val="0"/>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FC3E52F">
            <w:pPr>
              <w:rPr>
                <w:rFonts w:ascii="宋体" w:hAnsi="宋体" w:cs="宋体"/>
                <w:color w:val="000000" w:themeColor="text1"/>
                <w:kern w:val="0"/>
                <w:szCs w:val="21"/>
                <w:highlight w:val="none"/>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vAlign w:val="center"/>
          </w:tcPr>
          <w:p w14:paraId="606184FE">
            <w:pPr>
              <w:rPr>
                <w:rFonts w:ascii="宋体" w:hAnsi="宋体" w:cs="宋体"/>
                <w:color w:val="000000" w:themeColor="text1"/>
                <w:kern w:val="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3515577">
            <w:pPr>
              <w:rPr>
                <w:rFonts w:ascii="宋体" w:hAnsi="宋体" w:cs="宋体"/>
                <w:color w:val="000000" w:themeColor="text1"/>
                <w:kern w:val="0"/>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4A96A8AC">
            <w:pPr>
              <w:rPr>
                <w:rFonts w:ascii="宋体" w:hAnsi="宋体" w:cs="宋体"/>
                <w:color w:val="000000" w:themeColor="text1"/>
                <w:kern w:val="0"/>
                <w:szCs w:val="21"/>
                <w:highlight w:val="none"/>
                <w14:textFill>
                  <w14:solidFill>
                    <w14:schemeClr w14:val="tx1"/>
                  </w14:solidFill>
                </w14:textFill>
              </w:rPr>
            </w:pPr>
          </w:p>
        </w:tc>
      </w:tr>
    </w:tbl>
    <w:p w14:paraId="1254804D">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0EC710AD">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C774073">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5A8109BB">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1FEFF5DA">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3D8F298">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44E6A93B">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17123C35">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75D7026E">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502B91C">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8C28018">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5437FFFC">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18769A88">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3DDB4C5C">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6982D3E4">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76A1495D">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4175B8B9">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670C1BA3">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CC6B69D">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6934248A">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附件3：履约担保</w:t>
      </w:r>
    </w:p>
    <w:p w14:paraId="2A261117">
      <w:pPr>
        <w:pStyle w:val="2"/>
        <w:spacing w:line="360" w:lineRule="auto"/>
        <w:rPr>
          <w:rFonts w:ascii="宋体" w:hAnsi="宋体" w:cs="宋体"/>
          <w:color w:val="000000" w:themeColor="text1"/>
          <w:kern w:val="0"/>
          <w:szCs w:val="21"/>
          <w:highlight w:val="none"/>
          <w14:textFill>
            <w14:solidFill>
              <w14:schemeClr w14:val="tx1"/>
            </w14:solidFill>
          </w14:textFill>
        </w:rPr>
      </w:pPr>
    </w:p>
    <w:p w14:paraId="0FD3BA2D">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履约保函示范文本</w:t>
      </w:r>
    </w:p>
    <w:p w14:paraId="26C9F363">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313B13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申请人：</w:t>
      </w:r>
    </w:p>
    <w:p w14:paraId="3278159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39729D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w:t>
      </w:r>
    </w:p>
    <w:p w14:paraId="5486BC0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66AD906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开立人：</w:t>
      </w:r>
    </w:p>
    <w:p w14:paraId="10E697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003471F9">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p w14:paraId="453140D1">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（受益人名称）：</w:t>
      </w:r>
    </w:p>
    <w:p w14:paraId="493E2C5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（以下简称“申请人”）就工程</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（以下简称“本工程”）施工和有关事项协商一致，根据本工程中标通知书、</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比选文件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和投标文件，了解到申请人为本工程项下之承包人、受益人为本工程项下之发包人，基于申请人的请求，我方（即“开立人”）同意就申请人履行本工程依据中标通知书、</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比选文件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和投标文件签订的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（以下简称“基础合同”）约定的义务，向贵方提供不可撤销、不可转让的见索即付保函（以下简称“本保函”）。</w:t>
      </w:r>
    </w:p>
    <w:p w14:paraId="6834393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一、本保函担保范围：承包人未按照基础合同的约定履行义务，应当向贵方承担的违约责任和赔偿因此造成的损失、利息、律师费、诉讼费用等实现债权的费用。</w:t>
      </w:r>
    </w:p>
    <w:p w14:paraId="5A8AA44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99194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spacing w:val="6"/>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三、</w:t>
      </w:r>
      <w:r>
        <w:rPr>
          <w:rFonts w:hint="eastAsia" w:asciiTheme="minorEastAsia" w:hAnsiTheme="minorEastAsia" w:eastAsiaTheme="minorEastAsia" w:cstheme="minorEastAsia"/>
          <w:color w:val="000000" w:themeColor="text1"/>
          <w:spacing w:val="6"/>
          <w:kern w:val="2"/>
          <w:sz w:val="21"/>
          <w:szCs w:val="21"/>
          <w:highlight w:val="none"/>
          <w14:textFill>
            <w14:solidFill>
              <w14:schemeClr w14:val="tx1"/>
            </w14:solidFill>
          </w14:textFill>
        </w:rPr>
        <w:t>本保函有效期自</w:t>
      </w:r>
      <w:r>
        <w:rPr>
          <w:rFonts w:hint="eastAsia" w:asciiTheme="minorEastAsia" w:hAnsiTheme="minorEastAsia" w:eastAsiaTheme="minorEastAsia" w:cstheme="minorEastAsia"/>
          <w:color w:val="000000" w:themeColor="text1"/>
          <w:spacing w:val="6"/>
          <w:kern w:val="2"/>
          <w:sz w:val="21"/>
          <w:szCs w:val="21"/>
          <w:highlight w:val="none"/>
          <w:lang w:eastAsia="zh-CN"/>
          <w14:textFill>
            <w14:solidFill>
              <w14:schemeClr w14:val="tx1"/>
            </w14:solidFill>
          </w14:textFill>
        </w:rPr>
        <w:t>受益人与申请人签订的合同生效之日</w:t>
      </w:r>
      <w:r>
        <w:rPr>
          <w:rFonts w:hint="eastAsia" w:asciiTheme="minorEastAsia" w:hAnsiTheme="minorEastAsia" w:eastAsiaTheme="minorEastAsia" w:cstheme="minorEastAsia"/>
          <w:color w:val="000000" w:themeColor="text1"/>
          <w:spacing w:val="0"/>
          <w:kern w:val="2"/>
          <w:sz w:val="21"/>
          <w:szCs w:val="21"/>
          <w:highlight w:val="none"/>
          <w:lang w:eastAsia="zh-CN"/>
          <w14:textFill>
            <w14:solidFill>
              <w14:schemeClr w14:val="tx1"/>
            </w14:solidFill>
          </w14:textFill>
        </w:rPr>
        <w:t>起至合同约定的工期截止日后</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14:textFill>
            <w14:solidFill>
              <w14:schemeClr w14:val="tx1"/>
            </w14:solidFill>
          </w14:textFill>
        </w:rPr>
        <w:t>天</w:t>
      </w:r>
      <w:r>
        <w:rPr>
          <w:rFonts w:hint="eastAsia" w:asciiTheme="minorEastAsia" w:hAnsiTheme="minorEastAsia" w:eastAsiaTheme="minorEastAsia" w:cstheme="minorEastAsia"/>
          <w:color w:val="000000" w:themeColor="text1"/>
          <w:spacing w:val="0"/>
          <w:kern w:val="2"/>
          <w:sz w:val="21"/>
          <w:szCs w:val="21"/>
          <w:highlight w:val="none"/>
          <w:lang w:eastAsia="zh-CN"/>
          <w14:textFill>
            <w14:solidFill>
              <w14:schemeClr w14:val="tx1"/>
            </w14:solidFill>
          </w14:textFill>
        </w:rPr>
        <w:t>，最迟不超过</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日。</w:t>
      </w:r>
    </w:p>
    <w:p w14:paraId="2F4C5E5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四、我方承诺，在收到受益人发来的书面</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和本保函原件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后的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个工作日内无条件支付至受益人指定账户，前述书面</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通知即为付款要求之单据，且应满足以下要求：</w:t>
      </w:r>
    </w:p>
    <w:p w14:paraId="7DB0D2A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通知到达的日期在本保函的有效期内；</w:t>
      </w:r>
    </w:p>
    <w:p w14:paraId="545C60D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（2）载明要求支付的金额；</w:t>
      </w:r>
    </w:p>
    <w:p w14:paraId="6C49CD1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（3）载明申请人违反合同义务的条款和内容；</w:t>
      </w:r>
    </w:p>
    <w:p w14:paraId="2C773F7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（4）声明不存在合同文件约定或我国法律规定免除申请人或开立人支付责任的情形；</w:t>
      </w:r>
    </w:p>
    <w:p w14:paraId="153E136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通知应在本保函有效期内到达的地址是：</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02BE2E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受益人发出的书面索赔通知应由其为鉴明受益人法定代表人（负责人）或授权代理人签名或盖个人名章并加盖公章。</w:t>
      </w:r>
    </w:p>
    <w:p w14:paraId="140170E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6436CAC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六、与本保函有关的基础合同不成立、不生效、无效、被撤销、被解除，不影响本保函的独立有效。</w:t>
      </w:r>
    </w:p>
    <w:p w14:paraId="53F5F93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七、贵方应在本保函到期后的</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七个工作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日内将本保函正本退回我方注销，但是不论贵方是否按此要求将本保函正本退回我方，我方在本保函项下的义务和责任均在保函有效期到期后自动消灭。</w:t>
      </w:r>
    </w:p>
    <w:p w14:paraId="6145240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5140849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九、本保函自我方法定代表人或授权代表</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或盖个人名章并加盖公章或合同专用章之日起生效。</w:t>
      </w:r>
    </w:p>
    <w:p w14:paraId="19288A9A">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本保函在重庆市辖区范围内的核验地点：</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；核验方式：</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val="en-US" w:eastAsia="zh-CN"/>
          <w14:textFill>
            <w14:solidFill>
              <w14:schemeClr w14:val="tx1"/>
            </w14:solidFill>
          </w14:textFill>
        </w:rPr>
        <w:t>。</w:t>
      </w:r>
    </w:p>
    <w:p w14:paraId="4055BD87">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p w14:paraId="19EFABB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 立 人：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（公章）</w:t>
      </w:r>
    </w:p>
    <w:p w14:paraId="53244A5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法定代表人（或授权代表）：</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签名或盖个人名章</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74A9FE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地   </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0556F40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2AFDE04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45BA90DB">
      <w:pPr>
        <w:spacing w:beforeLines="0" w:line="360" w:lineRule="auto"/>
        <w:ind w:firstLine="420" w:firstLineChars="200"/>
        <w:jc w:val="left"/>
        <w:outlineLvl w:val="9"/>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0C1C60C0">
      <w:pPr>
        <w:spacing w:beforeLines="0" w:line="360" w:lineRule="auto"/>
        <w:ind w:left="0" w:firstLine="420" w:firstLineChars="200"/>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开立时间：    年    月    </w:t>
      </w:r>
      <w:r>
        <w:rPr>
          <w:rFonts w:hint="eastAsia" w:ascii="宋体" w:hAnsi="宋体" w:eastAsia="宋体" w:cs="宋体"/>
          <w:color w:val="000000" w:themeColor="text1"/>
          <w:sz w:val="21"/>
          <w:szCs w:val="21"/>
          <w:highlight w:val="none"/>
          <w:lang w:eastAsia="zh-CN"/>
          <w14:textFill>
            <w14:solidFill>
              <w14:schemeClr w14:val="tx1"/>
            </w14:solidFill>
          </w14:textFill>
        </w:rPr>
        <w:t>日</w:t>
      </w:r>
    </w:p>
    <w:p w14:paraId="1524013B">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color w:val="000000" w:themeColor="text1"/>
          <w:kern w:val="0"/>
          <w:szCs w:val="21"/>
          <w:highlight w:val="none"/>
          <w14:textFill>
            <w14:solidFill>
              <w14:schemeClr w14:val="tx1"/>
            </w14:solidFill>
          </w14:textFill>
        </w:rPr>
        <w:t>附件4：预付款担保</w:t>
      </w:r>
    </w:p>
    <w:p w14:paraId="52AB9AAC">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39534765">
      <w:pPr>
        <w:spacing w:before="120" w:beforeLines="50" w:after="120" w:afterLines="50"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预付款担保</w:t>
      </w:r>
    </w:p>
    <w:p w14:paraId="5C15FA21">
      <w:pPr>
        <w:spacing w:line="360" w:lineRule="auto"/>
        <w:rPr>
          <w:rFonts w:ascii="宋体" w:hAnsi="宋体" w:cs="宋体"/>
          <w:color w:val="000000" w:themeColor="text1"/>
          <w:szCs w:val="21"/>
          <w:highlight w:val="none"/>
          <w:u w:val="single"/>
          <w14:textFill>
            <w14:solidFill>
              <w14:schemeClr w14:val="tx1"/>
            </w14:solidFill>
          </w14:textFill>
        </w:rPr>
      </w:pPr>
    </w:p>
    <w:p w14:paraId="678CD06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（发包人名称）：</w:t>
      </w:r>
    </w:p>
    <w:p w14:paraId="140F1FA3">
      <w:pPr>
        <w:spacing w:line="360" w:lineRule="auto"/>
        <w:rPr>
          <w:rFonts w:ascii="宋体" w:hAnsi="宋体" w:cs="宋体"/>
          <w:color w:val="000000" w:themeColor="text1"/>
          <w:szCs w:val="21"/>
          <w:highlight w:val="none"/>
          <w14:textFill>
            <w14:solidFill>
              <w14:schemeClr w14:val="tx1"/>
            </w14:solidFill>
          </w14:textFill>
        </w:rPr>
      </w:pPr>
    </w:p>
    <w:p w14:paraId="3E3649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（承包人名称）（以下称“承包人”）与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（发包人名称）（以下简称“发包人”）于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日签订的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178FF92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担保金额人民币（大写）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8F1F88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2AE79C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A3E61B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你方和承包人按合同约定变更合同时，我方承担本保函规定的义务不变。</w:t>
      </w:r>
    </w:p>
    <w:p w14:paraId="2C5A1FE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因本保函发生的纠纷，可由双方协商解决，协商不成的，按下列第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种方式解决：</w:t>
      </w:r>
    </w:p>
    <w:p w14:paraId="5D88CD4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仲裁委员会申请仲裁；</w:t>
      </w:r>
    </w:p>
    <w:p w14:paraId="6297481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人民法院起诉。</w:t>
      </w:r>
    </w:p>
    <w:p w14:paraId="2FE6A13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本保函自我方法定代表人（或其授权代理人）</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并加盖公章之日起生效。</w:t>
      </w:r>
    </w:p>
    <w:p w14:paraId="1E54F01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（以下无正文）</w:t>
      </w:r>
    </w:p>
    <w:p w14:paraId="096DD83D">
      <w:pPr>
        <w:pStyle w:val="2"/>
        <w:spacing w:line="360" w:lineRule="auto"/>
        <w:rPr>
          <w:rFonts w:ascii="宋体" w:hAnsi="宋体" w:cs="宋体"/>
          <w:color w:val="000000" w:themeColor="text1"/>
          <w:szCs w:val="21"/>
          <w:highlight w:val="none"/>
          <w14:textFill>
            <w14:solidFill>
              <w14:schemeClr w14:val="tx1"/>
            </w14:solidFill>
          </w14:textFill>
        </w:rPr>
      </w:pPr>
    </w:p>
    <w:p w14:paraId="3477AD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担 保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148EC3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w:t>
      </w:r>
    </w:p>
    <w:p w14:paraId="55CA2C6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14:paraId="2B1461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681CAB85">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 xml:space="preserve">                                      </w:t>
      </w:r>
    </w:p>
    <w:p w14:paraId="490CF5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p>
    <w:p w14:paraId="3B8ABFCC">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p>
    <w:p w14:paraId="5B7069A8">
      <w:pPr>
        <w:spacing w:line="500" w:lineRule="exact"/>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2506E541">
      <w:pPr>
        <w:keepNext/>
        <w:keepLines/>
        <w:snapToGrid w:val="0"/>
        <w:spacing w:line="600" w:lineRule="exact"/>
        <w:ind w:firstLine="420" w:firstLineChars="200"/>
        <w:outlineLvl w:val="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color w:val="000000" w:themeColor="text1"/>
          <w:kern w:val="0"/>
          <w:szCs w:val="21"/>
          <w:highlight w:val="none"/>
          <w14:textFill>
            <w14:solidFill>
              <w14:schemeClr w14:val="tx1"/>
            </w14:solidFill>
          </w14:textFill>
        </w:rPr>
        <w:t>附件5: 支付担保</w:t>
      </w:r>
    </w:p>
    <w:p w14:paraId="6115E2D8">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2C9A46D4">
      <w:pPr>
        <w:spacing w:before="120" w:beforeLines="50" w:after="120" w:afterLines="50"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支付担保</w:t>
      </w:r>
    </w:p>
    <w:p w14:paraId="56E602EF">
      <w:pPr>
        <w:spacing w:line="360" w:lineRule="auto"/>
        <w:jc w:val="left"/>
        <w:rPr>
          <w:rFonts w:ascii="宋体" w:hAnsi="宋体" w:cs="宋体"/>
          <w:color w:val="000000" w:themeColor="text1"/>
          <w:szCs w:val="21"/>
          <w:highlight w:val="none"/>
          <w:u w:val="single"/>
          <w14:textFill>
            <w14:solidFill>
              <w14:schemeClr w14:val="tx1"/>
            </w14:solidFill>
          </w14:textFill>
        </w:rPr>
      </w:pPr>
    </w:p>
    <w:p w14:paraId="043EA49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w:t>
      </w:r>
    </w:p>
    <w:p w14:paraId="156EA0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鉴于你方作为承包人已经与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（发包人名称）（以下称“发包人”）于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日签订了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0A50E2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一、保证的范围及保证金额</w:t>
      </w:r>
    </w:p>
    <w:p w14:paraId="313EE7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我方的保证范围是主合同约定的工程款。</w:t>
      </w:r>
    </w:p>
    <w:p w14:paraId="763A59C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4A19B4C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我方保证的金额是主合同约定的工程款的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%，数额最高不超过人民币元（大写：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E13FE8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二、保证的方式及保证期间</w:t>
      </w:r>
    </w:p>
    <w:p w14:paraId="7FA97B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我方保证的方式为：连带责任保证。</w:t>
      </w:r>
    </w:p>
    <w:p w14:paraId="67F2B2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我方保证的期间为：自合同生效之日起至主合同约定的工程款支付完毕之日后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日内。</w:t>
      </w:r>
    </w:p>
    <w:p w14:paraId="0E175B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1EC432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三、承担保证责任的形式</w:t>
      </w:r>
    </w:p>
    <w:p w14:paraId="0718B2C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40D3E8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四、代偿的安排</w:t>
      </w:r>
    </w:p>
    <w:p w14:paraId="2A4BC7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6961E1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2CAA25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我方收到你方的书面索赔通知及相应的证明材料后７天内无条件支付。</w:t>
      </w:r>
    </w:p>
    <w:p w14:paraId="054739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五、保证责任的解除</w:t>
      </w:r>
    </w:p>
    <w:p w14:paraId="3CDF2C8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12FAA4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4EAD4E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750E6B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274F0D4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我方解除保证责任后，你方应自我方保证责任解除之日起  个工作日内，将本保函原件返还我方。</w:t>
      </w:r>
    </w:p>
    <w:p w14:paraId="694D61D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六、免责条款</w:t>
      </w:r>
    </w:p>
    <w:p w14:paraId="57A564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因你方违约致使发包人不能履行义务的，我方不承担保证责任。</w:t>
      </w:r>
    </w:p>
    <w:p w14:paraId="5BC57F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5A7B2C2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5A6A04C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因不可抗力造成发包人不能履行义务的，我方不承担保证责任。</w:t>
      </w:r>
    </w:p>
    <w:p w14:paraId="42B587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七、争议解决</w:t>
      </w:r>
    </w:p>
    <w:p w14:paraId="1C533F3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种方式解决：</w:t>
      </w:r>
    </w:p>
    <w:p w14:paraId="5870008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仲裁委员会申请仲裁；</w:t>
      </w:r>
    </w:p>
    <w:p w14:paraId="1D62D9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人民法院起诉。</w:t>
      </w:r>
    </w:p>
    <w:p w14:paraId="2D694D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八、保函的生效</w:t>
      </w:r>
    </w:p>
    <w:p w14:paraId="072506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本保函自我方法定代表人（或其授权代理人）</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并加盖公章之日起生效。</w:t>
      </w:r>
    </w:p>
    <w:p w14:paraId="4C527B1C">
      <w:pPr>
        <w:spacing w:line="360" w:lineRule="auto"/>
        <w:ind w:right="600"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担保人：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（盖章）</w:t>
      </w:r>
    </w:p>
    <w:p w14:paraId="65315042">
      <w:pPr>
        <w:spacing w:line="360" w:lineRule="auto"/>
        <w:ind w:right="1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w:t>
      </w:r>
    </w:p>
    <w:p w14:paraId="5443F15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14:paraId="7DB5510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7577F87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p>
    <w:p w14:paraId="2DBE825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br w:type="page"/>
      </w:r>
      <w:bookmarkStart w:id="1081" w:name="_Toc33183802"/>
    </w:p>
    <w:p w14:paraId="7DB9FDDA">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附件6：</w:t>
      </w:r>
      <w:bookmarkEnd w:id="1081"/>
      <w:r>
        <w:rPr>
          <w:rFonts w:hint="eastAsia" w:ascii="宋体" w:hAnsi="宋体" w:cs="宋体"/>
          <w:color w:val="000000" w:themeColor="text1"/>
          <w:kern w:val="0"/>
          <w:szCs w:val="21"/>
          <w:highlight w:val="none"/>
          <w14:textFill>
            <w14:solidFill>
              <w14:schemeClr w14:val="tx1"/>
            </w14:solidFill>
          </w14:textFill>
        </w:rPr>
        <w:t>重庆市水利工程建设安全生产合同</w:t>
      </w:r>
    </w:p>
    <w:p w14:paraId="3C550224">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126DA3B5">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重庆市水利工程建设安全生产合同</w:t>
      </w:r>
    </w:p>
    <w:p w14:paraId="31D8F9DB">
      <w:pPr>
        <w:tabs>
          <w:tab w:val="left" w:pos="6474"/>
        </w:tabs>
        <w:snapToGrid w:val="0"/>
        <w:spacing w:line="312" w:lineRule="auto"/>
        <w:ind w:firstLine="312" w:firstLineChars="14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b/>
      </w:r>
    </w:p>
    <w:p w14:paraId="0209C464">
      <w:pPr>
        <w:snapToGrid w:val="0"/>
        <w:spacing w:line="312"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施工工程合同编号：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4CC652D">
      <w:pPr>
        <w:snapToGrid w:val="0"/>
        <w:spacing w:line="312"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安全生产合同编号：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143FBD8">
      <w:pPr>
        <w:snapToGrid w:val="0"/>
        <w:spacing w:line="312"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甲方（建设工程的项目法人）：</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5769F173">
      <w:pPr>
        <w:snapToGrid w:val="0"/>
        <w:spacing w:line="312"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乙方（中标单位即施工单位）：</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9ADA565">
      <w:pPr>
        <w:snapToGrid w:val="0"/>
        <w:spacing w:line="312" w:lineRule="auto"/>
        <w:rPr>
          <w:rFonts w:ascii="宋体" w:hAnsi="宋体" w:cs="宋体"/>
          <w:color w:val="000000" w:themeColor="text1"/>
          <w:kern w:val="0"/>
          <w:szCs w:val="21"/>
          <w:highlight w:val="none"/>
          <w14:textFill>
            <w14:solidFill>
              <w14:schemeClr w14:val="tx1"/>
            </w14:solidFill>
          </w14:textFill>
        </w:rPr>
      </w:pPr>
    </w:p>
    <w:p w14:paraId="161AE508">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在工程实施过程中营造安全、高效的施工环境，切实搞好项目安全管理工作，根据《中华人民共和同合同法》、《中华人民共和国安全生产法》、《建设工程安全生产管理条例》以及《水利工程建设安全生产管理办法》等法律法规以及相关政策的规定，经甲、乙双方协商一致，特制定本合同。</w:t>
      </w:r>
    </w:p>
    <w:p w14:paraId="2ABEEBBA">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一、项目工程名称：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83B75E4">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二、项目所在地：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40237D26">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二、工程内容：</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BC47D8F">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三、合同履行期限：</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022A36F">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四、本工程主要危险源：</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1E5E3229">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五、双方的权利义务</w:t>
      </w:r>
    </w:p>
    <w:p w14:paraId="06570463">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 甲方的权利义务</w:t>
      </w:r>
    </w:p>
    <w:p w14:paraId="6B77DA28">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14:paraId="3A255267">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2．甲方不得调减和挪用中标价中所确定的水利工程建设有关安全作业环境及安全施工措施等所需费用。</w:t>
      </w:r>
    </w:p>
    <w:p w14:paraId="082AF32C">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14:paraId="58B1F8FF">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4．甲方不得对乙方提出不符合建设工程安全生产法律、法规和强制性标准规定的要求，不得压缩合同约定的工期。</w:t>
      </w:r>
    </w:p>
    <w:p w14:paraId="08758089">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5．甲方应编制保证安全生产的措施方案，并在规定时间内报有管辖权的水行政主管部门备案。</w:t>
      </w:r>
    </w:p>
    <w:p w14:paraId="6549E0A2">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6．在本水利工程开工前，甲方应当就落实保证安全生产的措施进行全面系统的布置，明确施工单位的安全生产责任。</w:t>
      </w:r>
    </w:p>
    <w:p w14:paraId="02DDACAB">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14:paraId="2AD7EECE">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8．甲方有权检查乙方执行有关安全生产方面的工作规定，对乙方不符合安全、文明施工要求的行为进行制止、纠正并发出安全整改通知书，直至清退出场。</w:t>
      </w:r>
    </w:p>
    <w:p w14:paraId="5E307391">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9．甲方应确保安全设施与主体工程建设“三同时”的原则，即：同时设计，同时施工，同时投入使用。 </w:t>
      </w:r>
    </w:p>
    <w:p w14:paraId="427727C5">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10．甲方不得明示或者暗示乙方购买、租赁、使用不符合安全施工要求的安全防护用具、机械设备、施工机具及配件、消防设施和器材。</w:t>
      </w:r>
    </w:p>
    <w:p w14:paraId="33810A21">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11．甲方应在事故发生后，按照事故处理的相关程序上报有关部门，不得延误。</w:t>
      </w:r>
    </w:p>
    <w:p w14:paraId="1AAA09D5">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1082" w:name="_Toc33183803"/>
      <w:r>
        <w:rPr>
          <w:rFonts w:hint="eastAsia" w:ascii="宋体" w:hAnsi="宋体" w:cs="宋体"/>
          <w:color w:val="000000" w:themeColor="text1"/>
          <w:kern w:val="0"/>
          <w:szCs w:val="21"/>
          <w:highlight w:val="none"/>
          <w14:textFill>
            <w14:solidFill>
              <w14:schemeClr w14:val="tx1"/>
            </w14:solidFill>
          </w14:textFill>
        </w:rPr>
        <w:t>（二）乙方的权利义务</w:t>
      </w:r>
      <w:bookmarkEnd w:id="1082"/>
    </w:p>
    <w:p w14:paraId="48DBE6C6">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1．乙方应严格执行安全生产法律法规，水行政主管部门的规定，按照工程建设规范要求，特别是强制性规范对安全施工的各项规定，依法履行安全生产管理职责和义务。</w:t>
      </w:r>
    </w:p>
    <w:p w14:paraId="755C779C">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2．乙方应承诺本单位依法取得符合本工程要求的《安全生产许可证》；本单位的主要负责人、拟投入项目负责人以及专职安全生产管理人员具有合法有效的安全资质证书。</w:t>
      </w:r>
    </w:p>
    <w:p w14:paraId="1D3BFFD1">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14:paraId="0B0724F6">
      <w:pPr>
        <w:snapToGrid w:val="0"/>
        <w:spacing w:line="312"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4．乙方应按照</w:t>
      </w:r>
      <w:r>
        <w:rPr>
          <w:rFonts w:hint="eastAsia" w:ascii="宋体" w:hAnsi="宋体"/>
          <w:color w:val="000000" w:themeColor="text1"/>
          <w:szCs w:val="21"/>
          <w:highlight w:val="none"/>
          <w:lang w:val="en-US" w:eastAsia="zh-CN"/>
          <w14:textFill>
            <w14:solidFill>
              <w14:schemeClr w14:val="tx1"/>
            </w14:solidFill>
          </w14:textFill>
        </w:rPr>
        <w:t>重庆市水利局办公室关于印发《重庆市水利局办公室关于调整水利工程计价依据安全生产费计算标准的通知》（渝水办建〔2023〕8 号）</w:t>
      </w:r>
      <w:r>
        <w:rPr>
          <w:rFonts w:hint="eastAsia" w:ascii="宋体" w:hAnsi="宋体" w:cs="宋体"/>
          <w:color w:val="000000" w:themeColor="text1"/>
          <w:kern w:val="0"/>
          <w:szCs w:val="21"/>
          <w:highlight w:val="none"/>
          <w14:textFill>
            <w14:solidFill>
              <w14:schemeClr w14:val="tx1"/>
            </w14:solidFill>
          </w14:textFill>
        </w:rPr>
        <w:t>的规定，以不低于建筑安装工程造价的</w:t>
      </w:r>
      <w:r>
        <w:rPr>
          <w:rFonts w:hint="eastAsia" w:ascii="宋体" w:hAnsi="宋体" w:cs="宋体"/>
          <w:color w:val="000000" w:themeColor="text1"/>
          <w:kern w:val="0"/>
          <w:szCs w:val="21"/>
          <w:highlight w:val="none"/>
          <w:u w:val="single"/>
          <w:lang w:val="en-US" w:eastAsia="zh-CN"/>
          <w14:textFill>
            <w14:solidFill>
              <w14:schemeClr w14:val="tx1"/>
            </w14:solidFill>
          </w14:textFill>
        </w:rPr>
        <w:t>2.5</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计提安全费用，保证安全生产投入。</w:t>
      </w:r>
    </w:p>
    <w:p w14:paraId="30BC8D67">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5．乙方应认可其投标报价已包括（但不限于）完成本工程实物工作量所需的安全管理、质量管理、安全培训、劳动保护、文明施工等全部费用。</w:t>
      </w:r>
    </w:p>
    <w:p w14:paraId="37E6AD05">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14:paraId="0342FFBE">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所有特种作业人员接受了与本工种相适应的、专门的安全技术培训，经安全技术理论考核实际操作技能考试合格，并取得有效的特种作业人员操作证书。</w:t>
      </w:r>
    </w:p>
    <w:p w14:paraId="5E456EE1">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7．乙方所有进场设备、机具、设备应符合安全技术规范要求。特种设备具有特种设备安全检测机构出具的有效的检测合格证书或审批手续。</w:t>
      </w:r>
    </w:p>
    <w:p w14:paraId="36F6E820">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8．乙方应遵守法律法规关于易燃易爆及危化物品购买、运输、储存、管理使用的相关规定，自觉接受当地公安部门的监管。</w:t>
      </w:r>
    </w:p>
    <w:p w14:paraId="540EF7CB">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9．乙方应按照《安全生产事故隐患排查治理暂行规定》的要求，主动承担起隐患排查、治理和防控的主体责任，建立并落实从主要负责人到每个从业人员的隐患排查治理和监控责任制。</w:t>
      </w:r>
    </w:p>
    <w:p w14:paraId="73AF37A6">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14:paraId="5A78D42C">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11．乙方应按照本工程项目特点，组织制定本工程实施中的生产安全事故应急救援预案；承担度汛要求的工程，还应当编制满足度汛要求的施工度汛方案，并按程序审批、备案。</w:t>
      </w:r>
    </w:p>
    <w:p w14:paraId="5B6BEBA1">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12．乙方应按照国务院《生产安全事故报告和调查处理条例》及相关规定的要求，及时上报有关部门，不得延误。</w:t>
      </w:r>
    </w:p>
    <w:p w14:paraId="64B6E47D">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13．乙方应承担施工期间因生产安全事故造成的刑事、行政、民事责任和全部直接经济损失。</w:t>
      </w:r>
    </w:p>
    <w:p w14:paraId="302C2F52">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乙方发生“七、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14:paraId="6650D324">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七、违约责任</w:t>
      </w:r>
    </w:p>
    <w:p w14:paraId="4F9E4525">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（一）甲方违反本合同约定的义务，导致乙方发生生产安全事故和经济损失的，应承担由此而产生的直接经济损失。</w:t>
      </w:r>
    </w:p>
    <w:p w14:paraId="696D512E">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（二）乙方如发生特别重大、重大、较大和一般生产安全事故，应当以安全生产行政主管部门出具的事故调查处理报告为依据，分别承担100万元、50万元、30万元、10万元的违约金。</w:t>
      </w:r>
    </w:p>
    <w:p w14:paraId="645F8143">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（三）乙方发生人身伤亡工伤事故或机械设备事故后，故意破坏或伪造事故现场，隐瞒不报、谎报、虚报，应承担违约金50万元。</w:t>
      </w:r>
    </w:p>
    <w:p w14:paraId="61FD7B42">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（四）乙方每发生一次本合同附件所列举的“习惯性违章行为”一条，乙方应承担违约金1万元；发生一次两条，乙方应承担违约金2万元，以此类推。</w:t>
      </w:r>
    </w:p>
    <w:p w14:paraId="6C13A63C">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八、甲、乙双方应自觉接受项目监理单位对本工程实施的安全监督和检查，并按要求承担违约责任。</w:t>
      </w:r>
    </w:p>
    <w:p w14:paraId="3DF9B829">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九、本合同有效期为：甲乙双方签署之日起至合同工程完工验收之日止。</w:t>
      </w:r>
    </w:p>
    <w:p w14:paraId="284ACAE8">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十、本合同一式陆份，甲乙双方各执份贰份，监理单位贰份，由双方加盖公章、法定代表人或其授权代理人</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后生效。</w:t>
      </w:r>
    </w:p>
    <w:p w14:paraId="479C0E9D">
      <w:pPr>
        <w:snapToGrid w:val="0"/>
        <w:spacing w:line="312"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十一、合同未尽事宜，各方协商解决。如协商不成，可提请有管辖权的仲裁机构或法院进行裁决。</w:t>
      </w:r>
    </w:p>
    <w:p w14:paraId="3774773B">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1EF02327">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甲方：（盖章）</w:t>
      </w:r>
    </w:p>
    <w:p w14:paraId="130E3E58">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法定代表人（或授权的代理人）</w:t>
      </w:r>
    </w:p>
    <w:p w14:paraId="54C4D977">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乙方：（盖章）</w:t>
      </w:r>
    </w:p>
    <w:p w14:paraId="3ACDFF92">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法定代表人（或授权的代理人）</w:t>
      </w:r>
    </w:p>
    <w:p w14:paraId="529A632B">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p w14:paraId="47FBD23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p w14:paraId="6D331DAA">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p>
    <w:p w14:paraId="62AA2674">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w:t>
      </w:r>
    </w:p>
    <w:p w14:paraId="06C97BF9">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习惯性违章行为</w:t>
      </w:r>
    </w:p>
    <w:p w14:paraId="57EBE6F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1．进入施工生产区域的人员不正确穿戴使用劳动防护用品。</w:t>
      </w:r>
    </w:p>
    <w:p w14:paraId="37CAA63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2．作业人员随意解除、挪动已设置的安全措施或擅自穿、跨越安全围栏或超越安全警戒线。</w:t>
      </w:r>
    </w:p>
    <w:p w14:paraId="58979E5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3．在行人道口或人口密集区从事高处作业，工作地点的下面不设围栏、未设专人看守或其他安全措施。</w:t>
      </w:r>
    </w:p>
    <w:p w14:paraId="4CDD9C7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4．高处作业不系安全带、安全带系在移动或不牢固的物件上、换位时失去安全带保护；高处作业人员不系安全绳、安全绳低挂高用。</w:t>
      </w:r>
    </w:p>
    <w:p w14:paraId="193535C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5．高处作业不用绳索传递物品，随手上下抛掷器具、材料。</w:t>
      </w:r>
    </w:p>
    <w:p w14:paraId="52E7432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6．施工现场临时搭建的建筑物不符合安全使用要求。</w:t>
      </w:r>
    </w:p>
    <w:p w14:paraId="35F330C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7．未对因建设工程施工可能造成损害的毗邻建筑物、构筑物和地下管线等采取专项防护措施。</w:t>
      </w:r>
    </w:p>
    <w:p w14:paraId="6EA65A9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8．施工现场的井、洞、坑、沟、口等危险处不设明显警示标志，未采取加盖板或设置围栏等防护措施。</w:t>
      </w:r>
    </w:p>
    <w:p w14:paraId="6AEB7E0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9．临水、临空、临边等部位不设安全防护栏杆和挡脚板。</w:t>
      </w:r>
    </w:p>
    <w:p w14:paraId="7118C1D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10．上下层垂直立体作业无隔离防护措施，或错开作业期间无专人监护。</w:t>
      </w:r>
    </w:p>
    <w:p w14:paraId="5CB12A9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11．在高处平台、孔洞边缘倚坐或跨越栏杆。</w:t>
      </w:r>
    </w:p>
    <w:p w14:paraId="3B709B3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12．高边坡作业未在作业面上方设置防护设施。</w:t>
      </w:r>
    </w:p>
    <w:p w14:paraId="63BBED4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13．隧洞作业未采取必要的安全措施。</w:t>
      </w:r>
    </w:p>
    <w:p w14:paraId="0F68709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14．将运行中转动设备的防护罩打开；将手伸入运动中转动设备的遮拦内；戴手套或用抹布对转动部分进行清扫或进行其他工作。</w:t>
      </w:r>
    </w:p>
    <w:p w14:paraId="15E3747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15．空气压缩机房的维修平台和电动机地坑的周围无防护栏杆，或栏杆下部无防护网（板），地沟未铺设盖板；移动式空压机无防雨、防晒、隔离防拦等设施。</w:t>
      </w:r>
    </w:p>
    <w:p w14:paraId="2C70C36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16．现场倒闸操作不戴绝缘手套，雷雨天气巡视或操作室外高压设备不穿绝缘靴。</w:t>
      </w:r>
    </w:p>
    <w:p w14:paraId="6435D8F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17．停电作业不验电接地或不按规定顺序装拆接地线、不按规定使用个人保安线。</w:t>
      </w:r>
    </w:p>
    <w:p w14:paraId="33EE501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18．在带电设备周围使用钢卷尺、皮卷尺和线尺（夹有金属丝者）进行测量工作。</w:t>
      </w:r>
    </w:p>
    <w:p w14:paraId="0C2AD1A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19．在带电设备周围使用金属梯子进行作业；在户外变电站和高压室内不按规定使用和搬运梯子、管子等长物。</w:t>
      </w:r>
    </w:p>
    <w:p w14:paraId="7997EA3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20．未经值班人员许可，擅自进入带电运行设备区域。</w:t>
      </w:r>
    </w:p>
    <w:p w14:paraId="397C899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21．水上作业不佩戴救生工具。</w:t>
      </w:r>
    </w:p>
    <w:p w14:paraId="5794CFC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22．建设项目施工单位不严格按照安全设施的施工图纸和设计要求施工。</w:t>
      </w:r>
    </w:p>
    <w:p w14:paraId="5E9B978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23．作业人员不按照审批后的施工方案进行作业或随意变动施工方案；擅自扩大工作范围、工作内容。</w:t>
      </w:r>
    </w:p>
    <w:p w14:paraId="137C2BA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24．开工前没有对所有作业人员进行安全技术交底、不明确工作范围、安全措施不交代或交代不清，盲目开工。</w:t>
      </w:r>
    </w:p>
    <w:p w14:paraId="23D0FB5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25．专责监护人不认真履行监护职责，从事与监护无关的工作。</w:t>
      </w:r>
    </w:p>
    <w:p w14:paraId="4F0D6C0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26．对基坑支护与降水、土方开挖与边坡防护、模板、起重吊装、脚手架、拆除、爆破等单项工程无专项施工方案和安全技术措施，或专项施工方案未完善编、审、批手续，或方案不符合强制性标准要求。</w:t>
      </w:r>
    </w:p>
    <w:p w14:paraId="31EA5D9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27．组立杆塔、撤杆、撤线或紧线前未按规定使用防倒杆装置等防倒杆措施或采取突然剪断导线、地线、拉线等方法撤杆撤线。</w:t>
      </w:r>
    </w:p>
    <w:p w14:paraId="17C401D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28．使用吊篮载人。</w:t>
      </w:r>
    </w:p>
    <w:p w14:paraId="30C8165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29．吊车起吊前未鸣笛示警或起重工作无专人指挥。</w:t>
      </w:r>
    </w:p>
    <w:p w14:paraId="3704FF6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30．起重时凭借栏杆、脚手架、瓷件等起吊物件。</w:t>
      </w:r>
    </w:p>
    <w:p w14:paraId="5A98167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31．在起吊或牵引过程中，受力钢丝绳周围、上下方、内角侧和起吊物下面，有人逗留和通过。吊运重物时从人头顶通过或吊臂下站人。</w:t>
      </w:r>
    </w:p>
    <w:p w14:paraId="137AF10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32．龙门吊、塔吊拆卸(安装)工程中未严格按照规定程序执行。</w:t>
      </w:r>
    </w:p>
    <w:p w14:paraId="2F9C20D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33．在梯子上作业，无人扶梯子或梯子架设在不稳定的支持物上。</w:t>
      </w:r>
    </w:p>
    <w:p w14:paraId="1BA3338A">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34．施工临时用电未严格执行“三相五线制”、线路敷设不整齐、绝缘不可靠、用其他金属丝代替熔断丝。</w:t>
      </w:r>
    </w:p>
    <w:p w14:paraId="65DDB73A">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35．配电箱、开关箱及漏电保护开关的配置未实行“三级配电、两级保护”，配电箱内电器设置应按“一机、一闸、一漏”原则设置。</w:t>
      </w:r>
    </w:p>
    <w:p w14:paraId="339550F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36．配电箱、开关箱无防雨、防尘和防砸措施。</w:t>
      </w:r>
    </w:p>
    <w:p w14:paraId="5BC7EAA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37．不按规定使用合格的安全工器具或超过检测周期的安全工器具进行作业。</w:t>
      </w:r>
    </w:p>
    <w:p w14:paraId="5A00C28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38．使用未经检验或检验不合格的特种设备。</w:t>
      </w:r>
    </w:p>
    <w:p w14:paraId="1867011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39．带电作业，不按规定使用绝缘工具。</w:t>
      </w:r>
    </w:p>
    <w:p w14:paraId="51BB261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40．使用电动工器具时未接入漏电保护装置、金属外壳不接地或接地不可靠、或不戴绝缘手套。</w:t>
      </w:r>
    </w:p>
    <w:p w14:paraId="1D07839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41．使用电动工具时将电源线直接插入插座孔或钩挂在闸刀开关上使用。</w:t>
      </w:r>
    </w:p>
    <w:p w14:paraId="714E986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42．爆破物、有害气体和液体存放处不设明显且符合国际标准的安全警示标志。</w:t>
      </w:r>
    </w:p>
    <w:p w14:paraId="442BA00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43．对有爆炸和火灾危险的场所，未按危险场所等级选择相应的防爆型照明器。</w:t>
      </w:r>
    </w:p>
    <w:p w14:paraId="636BA08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44．在易燃物品及重要设备上方进行焊接，下方无监护人，未采取防火等安全措施。</w:t>
      </w:r>
    </w:p>
    <w:p w14:paraId="294C886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45．在宿舍、办公室、休息室内存放易燃易爆物品，使用电炉。</w:t>
      </w:r>
    </w:p>
    <w:p w14:paraId="4F11AE9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46．未履行有关手续即对有压力、带电、充油的容器及管道施焊。</w:t>
      </w:r>
    </w:p>
    <w:p w14:paraId="0F7A737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47．消防设施配备不足或使用已过期失效的消防器材。</w:t>
      </w:r>
    </w:p>
    <w:p w14:paraId="1BE2454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48．爆破作业时无专人指挥、无统一信号和专人警戒。</w:t>
      </w:r>
    </w:p>
    <w:p w14:paraId="44214EC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49．特种作业人员不持证上岗或非特种作业人员进行特种作业。</w:t>
      </w:r>
    </w:p>
    <w:p w14:paraId="414CA1F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50．无证驾驶、酒后驾驶、客货混装。</w:t>
      </w:r>
    </w:p>
    <w:p w14:paraId="0A5AC1D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51．机器的传动部分没有装防护罩或其他防护设备，露出的轴端没有设护盖。</w:t>
      </w:r>
    </w:p>
    <w:p w14:paraId="52B0DA7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52．高空作业搭设的脚手架不符合安全要求。</w:t>
      </w:r>
    </w:p>
    <w:p w14:paraId="63AB4EB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53．深沟、深坑四周无安全警戒线，夜间无警告红灯。</w:t>
      </w:r>
    </w:p>
    <w:p w14:paraId="2929D31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54．起重机械，如绞磨、汽车吊、卷扬机等无制动和逆止装置，或制动装置失灵、不灵敏。</w:t>
      </w:r>
    </w:p>
    <w:p w14:paraId="50D8353A">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55．易燃易爆区、重点防火区内的防火设施不全或符合规定要求。</w:t>
      </w:r>
    </w:p>
    <w:p w14:paraId="43F7FC4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56．电器防误闭锁装置不全。</w:t>
      </w:r>
    </w:p>
    <w:p w14:paraId="4A79017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57．高低压线路对地、对建筑物等安全距离不够。</w:t>
      </w:r>
    </w:p>
    <w:p w14:paraId="2DC5544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58．电气设备外壳无接地。</w:t>
      </w:r>
    </w:p>
    <w:p w14:paraId="4EF9200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59．临时电源无漏电保护器。</w:t>
      </w:r>
    </w:p>
    <w:p w14:paraId="45C9177A">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60．未建立和完善各级人员安全生产责任制，使各级人员安全管理职责不清、安全责任不明。</w:t>
      </w:r>
    </w:p>
    <w:p w14:paraId="5530E69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61．不建立健全安全生产管理制度和基础台帐。</w:t>
      </w:r>
    </w:p>
    <w:p w14:paraId="405610A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62．未按规定设置安全监督机构和配置安全员。</w:t>
      </w:r>
    </w:p>
    <w:p w14:paraId="0F92106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63．未按规定落实安全生产措施、计划、资金。</w:t>
      </w:r>
    </w:p>
    <w:p w14:paraId="7EB2418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64．未按规定配备符合国家标准和行业标准的安全防护装置、安全工器具和个人防护用品。</w:t>
      </w:r>
    </w:p>
    <w:p w14:paraId="39D930A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65．施工单位不为现场从事危险作业人员依法办理保险的凭证。</w:t>
      </w:r>
    </w:p>
    <w:p w14:paraId="6F49606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66．新进场人员（包括农民工）未进行安全教育或未配证上岗作业的；或安排非特种作业人员进行特种作业的。</w:t>
      </w:r>
    </w:p>
    <w:p w14:paraId="2F42AE6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67．临时工从事有危险的工作时，未派专人监护。</w:t>
      </w:r>
    </w:p>
    <w:p w14:paraId="6AFFC97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68．违章指挥，强令工人冒险作业。</w:t>
      </w:r>
    </w:p>
    <w:p w14:paraId="5E0E0AD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69．对排查出的安全隐患未制定整改计划或未落实整改治理措施。</w:t>
      </w:r>
    </w:p>
    <w:p w14:paraId="0E5A903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70．使用无相应资质的单位在施工现场安装、拆卸施工起重机械和整体提升脚手架、模板等自升式架设设施。</w:t>
      </w:r>
    </w:p>
    <w:p w14:paraId="7B29085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71．对承包方未进行资质审查或违规进行工程发包。</w:t>
      </w:r>
    </w:p>
    <w:p w14:paraId="68362B4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72．承发包工程未依法签订安全协议，未明确双方应承担的安全责任。</w:t>
      </w:r>
    </w:p>
    <w:p w14:paraId="7960445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73．建设工程中租用未经安全性能检测或者经检测不合格的机械设备和施工机具。</w:t>
      </w:r>
    </w:p>
    <w:p w14:paraId="594B5FF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74.  未按要求编制生产安全事故应急救援预案和施工度汛方案。</w:t>
      </w:r>
    </w:p>
    <w:p w14:paraId="56C2B8F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75．在尚未竣工的建筑物内设置员工集体宿舍。</w:t>
      </w:r>
    </w:p>
    <w:p w14:paraId="46540FD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76．发生施工安全事故后，不按规定程序进行报告或不遵循“四不放过”原则组织开展事故调查及处理。</w:t>
      </w:r>
    </w:p>
    <w:p w14:paraId="0313B384">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77. 法律法规、强制性规范规定的其他违章行为。</w:t>
      </w:r>
    </w:p>
    <w:p w14:paraId="5F1874F9">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7182D46E">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甲方：（盖章）</w:t>
      </w:r>
    </w:p>
    <w:p w14:paraId="17028F05">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法定代表人（或授权的代理人）</w:t>
      </w:r>
    </w:p>
    <w:p w14:paraId="7AA4811B">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乙方：（盖章）</w:t>
      </w:r>
    </w:p>
    <w:p w14:paraId="0CD5E6A1">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法定代表人（或授权的代理人）</w:t>
      </w:r>
    </w:p>
    <w:p w14:paraId="15343645">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p w14:paraId="572A4202">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p w14:paraId="46653178">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6167DC07">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78FA1D85">
      <w:pPr>
        <w:snapToGrid w:val="0"/>
        <w:spacing w:line="324"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bookmarkStart w:id="1083" w:name="_Toc33183804"/>
    </w:p>
    <w:p w14:paraId="16485370">
      <w:pPr>
        <w:keepNext/>
        <w:keepLines/>
        <w:snapToGrid w:val="0"/>
        <w:spacing w:line="600" w:lineRule="exact"/>
        <w:ind w:firstLine="420"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附件7：</w:t>
      </w:r>
      <w:bookmarkEnd w:id="1083"/>
      <w:r>
        <w:rPr>
          <w:rFonts w:hint="eastAsia" w:ascii="宋体" w:hAnsi="宋体" w:cs="宋体"/>
          <w:color w:val="000000" w:themeColor="text1"/>
          <w:kern w:val="0"/>
          <w:szCs w:val="21"/>
          <w:highlight w:val="none"/>
          <w14:textFill>
            <w14:solidFill>
              <w14:schemeClr w14:val="tx1"/>
            </w14:solidFill>
          </w14:textFill>
        </w:rPr>
        <w:t>重庆市水利工程建设廉政合同</w:t>
      </w:r>
    </w:p>
    <w:p w14:paraId="57C69C6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p>
    <w:p w14:paraId="1844B5AF">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重庆市水利工程建设廉政合同</w:t>
      </w:r>
    </w:p>
    <w:p w14:paraId="6595676F">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5D102D9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廉政合同编号：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E88E84B">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336D65C">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工程项目地址：</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44BB78D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项目法人（甲方）：</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1335D6B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施工单位（乙方）：</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9CE2EB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为加强水利工程建设中的党风廉政建设，保证工程建设高效优质，保证建设资金的安全和有效使用以及投资效益，双方特订立本廉政合同。</w:t>
      </w:r>
    </w:p>
    <w:p w14:paraId="1E4DB86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第一条  双方的责任：</w:t>
      </w:r>
    </w:p>
    <w:p w14:paraId="05E8203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（一）严格遵守党和国家有关法律法规及水行政主管部门的规定。</w:t>
      </w:r>
    </w:p>
    <w:p w14:paraId="4646F598">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（二）严格执行</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建设工程的合同，自觉遵守合同。</w:t>
      </w:r>
    </w:p>
    <w:p w14:paraId="1B81772C">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（三）双方的业务活动坚持公开、公正、诚信、透明原则（法律认定的商业秘密和合同文件另有规定的除外），不得损害国家和集体利益，不得违反工程建设管理规章制度。</w:t>
      </w:r>
    </w:p>
    <w:p w14:paraId="6B0421D7">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（四）建立健全廉政制度，开展廉政教育，设立廉政告示牌，公布举报电话，监督并认真查处违法违纪行为。</w:t>
      </w:r>
    </w:p>
    <w:p w14:paraId="0BBD4F2C">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（五）任何一方发现对方在业务活动中有违反廉政规定的行为，有及时提醒对方纠正的权利和义务。</w:t>
      </w:r>
    </w:p>
    <w:p w14:paraId="412FF95A">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（六）发现对方严重违反本合同的行为，任何一方有向上级有关部门举报、建议给予处理并要求告知处理结果的权利。</w:t>
      </w:r>
    </w:p>
    <w:p w14:paraId="2C306A38">
      <w:pPr>
        <w:adjustRightInd w:val="0"/>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第二条  甲方应遵守的内容：</w:t>
      </w:r>
    </w:p>
    <w:p w14:paraId="3054D5F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（一）甲方及其工作人员不得索取、接受或者变相接受乙方的财物。不得在乙方报销任何应由甲方或个人支付的费用等。</w:t>
      </w:r>
    </w:p>
    <w:p w14:paraId="14D970F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（二）甲方工作人员不得接受可能影响公正执行公务的礼品、宴请以及旅游、健身、娱乐等活动安排，不得接受乙方提供的通讯工具、交通工具和高档办公用品等。</w:t>
      </w:r>
    </w:p>
    <w:p w14:paraId="490D08D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（三）甲方及其工作人员不得要求或者接受乙方为其住房装修、婚丧嫁娶活动、配偶子女的工作安排以及出国出境、旅游等提供方便等。</w:t>
      </w:r>
    </w:p>
    <w:p w14:paraId="7FFB0A9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（四）甲方工作人员的配偶、子女不得从事与甲方工程有关的材料设备供应、工程分包、劳务等经济活动等。</w:t>
      </w:r>
    </w:p>
    <w:p w14:paraId="15ABE2D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（五）除本合同规定外，甲方及其工作人员不得以任何理由向乙方推荐分包单位，不得要求乙方购买合同规定外的材料和设备。</w:t>
      </w:r>
    </w:p>
    <w:p w14:paraId="3A893C1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第三条  乙方应遵守的内容：</w:t>
      </w:r>
    </w:p>
    <w:p w14:paraId="35AB1E6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（一）乙方不得以任何理由向甲方及其工作人员行贿或馈赠财物。</w:t>
      </w:r>
    </w:p>
    <w:p w14:paraId="1157BBD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（二）乙方不得以任何名义为甲方及其工作人员报销应由甲方单位或个人支付的任何费用。</w:t>
      </w:r>
    </w:p>
    <w:p w14:paraId="75D86A9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（三）乙方不得以任何理由邀请甲方及其工作人员外出旅游或安排甲方工作人员参加超标准宴请及娱乐活动。</w:t>
      </w:r>
    </w:p>
    <w:p w14:paraId="3701E67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（四）乙方不得为甲方单位和个人购置或提供通讯工具、交通工具和高档办公用品等。</w:t>
      </w:r>
    </w:p>
    <w:p w14:paraId="31A4664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（五）乙方及其工作人员应严格按监理规程办事，不得为谋取私利向监理人员非法行贿，私下串通，损害甲方利益。同时必须对监理单位和工程监理人员履行向甲方承诺的上述其他廉政义务。</w:t>
      </w:r>
    </w:p>
    <w:p w14:paraId="674350C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042E31A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第四条  违约责任：</w:t>
      </w:r>
    </w:p>
    <w:p w14:paraId="3253A03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14:paraId="7E94C52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14:paraId="0E62630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乙方及其工作人员违反本《廉政合同》规定，根据查证金额的10倍，由乙方向甲方承担违约金，并在工程进度款中扣除，后续进度款不足的在履约保证金中扣除。若仍不足以支付违约金，甲方还可向乙方继续追讨。</w:t>
      </w:r>
    </w:p>
    <w:p w14:paraId="7894FB7A">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第五条  本《廉政合同》的监督单位为项目所在地水行政主管部门纪检监察机构。</w:t>
      </w:r>
    </w:p>
    <w:p w14:paraId="106D9EC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第六条  本合同有效期为甲乙双方签署之日起至该合同工程完工验收后止。</w:t>
      </w:r>
    </w:p>
    <w:p w14:paraId="1112872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第七条  本合同作为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工程施工合同的附件，与工程施工合同具有同等的法律效力，经甲乙双方监督单位加盖公章，法定代表人或授权代理人</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后生效。</w:t>
      </w:r>
    </w:p>
    <w:p w14:paraId="63CA5F5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第八条  本合同一式叁份，甲、乙双方及监督单位各执一份。</w:t>
      </w:r>
    </w:p>
    <w:p w14:paraId="5345A0BE">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152C367D">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66D29C8C">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甲方单位：（盖章）              乙方单位：（盖章）</w:t>
      </w:r>
    </w:p>
    <w:p w14:paraId="06BD228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                   法定代表人：</w:t>
      </w:r>
    </w:p>
    <w:p w14:paraId="09490ABD">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                         地址：</w:t>
      </w:r>
    </w:p>
    <w:p w14:paraId="0B231084">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                         电话：</w:t>
      </w:r>
    </w:p>
    <w:p w14:paraId="6A703ADA">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年   月   日                年   月   日 </w:t>
      </w:r>
    </w:p>
    <w:p w14:paraId="5BF179FE">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监督单位：（盖章）</w:t>
      </w:r>
    </w:p>
    <w:p w14:paraId="16AF4920">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p w14:paraId="10D9900B">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年   月   日</w:t>
      </w:r>
    </w:p>
    <w:p w14:paraId="394E787A">
      <w:pPr>
        <w:keepNext/>
        <w:keepLines/>
        <w:snapToGrid w:val="0"/>
        <w:spacing w:line="600" w:lineRule="exact"/>
        <w:ind w:firstLine="422" w:firstLineChars="200"/>
        <w:outlineLvl w:val="3"/>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bookmarkStart w:id="1084" w:name="_Toc33183805"/>
      <w:r>
        <w:rPr>
          <w:rFonts w:hint="eastAsia" w:ascii="宋体" w:hAnsi="宋体" w:cs="宋体"/>
          <w:color w:val="000000" w:themeColor="text1"/>
          <w:kern w:val="0"/>
          <w:szCs w:val="21"/>
          <w:highlight w:val="none"/>
          <w14:textFill>
            <w14:solidFill>
              <w14:schemeClr w14:val="tx1"/>
            </w14:solidFill>
          </w14:textFill>
        </w:rPr>
        <w:t>附件8：</w:t>
      </w:r>
      <w:bookmarkEnd w:id="1084"/>
      <w:r>
        <w:rPr>
          <w:rFonts w:hint="eastAsia" w:ascii="宋体" w:hAnsi="宋体" w:cs="宋体"/>
          <w:color w:val="000000" w:themeColor="text1"/>
          <w:kern w:val="0"/>
          <w:szCs w:val="21"/>
          <w:highlight w:val="none"/>
          <w14:textFill>
            <w14:solidFill>
              <w14:schemeClr w14:val="tx1"/>
            </w14:solidFill>
          </w14:textFill>
        </w:rPr>
        <w:t>按期支付农民工工资合同</w:t>
      </w:r>
    </w:p>
    <w:p w14:paraId="2C2149F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61274FA2">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p>
    <w:p w14:paraId="55FC1A74">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按期支付农民工工资合同</w:t>
      </w:r>
    </w:p>
    <w:p w14:paraId="638AA2FF">
      <w:pPr>
        <w:snapToGrid w:val="0"/>
        <w:spacing w:line="324" w:lineRule="auto"/>
        <w:jc w:val="center"/>
        <w:rPr>
          <w:rFonts w:ascii="宋体" w:hAnsi="宋体" w:cs="宋体"/>
          <w:color w:val="000000" w:themeColor="text1"/>
          <w:kern w:val="0"/>
          <w:szCs w:val="21"/>
          <w:highlight w:val="none"/>
          <w14:textFill>
            <w14:solidFill>
              <w14:schemeClr w14:val="tx1"/>
            </w14:solidFill>
          </w14:textFill>
        </w:rPr>
      </w:pPr>
    </w:p>
    <w:p w14:paraId="62361017">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B45DF6D">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施工工程合同编号：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5DDF5499">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支付农民工工资合同编号：</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021C798">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甲方（建设工程的项目法人）：</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0613292">
      <w:pPr>
        <w:snapToGrid w:val="0"/>
        <w:spacing w:line="324"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乙方（中标单位即施工单位）：</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07BAC5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为保证工程建设过程中对农民工管理规范有序，工资依法支付，切实保障农民工的合法权益，维护社会稳定，根据《中华人民共和国劳动法》、《中华人民共和国建筑法》、《劳动保障监察条例》、</w:t>
      </w:r>
      <w:r>
        <w:rPr>
          <w:rFonts w:hint="eastAsia"/>
          <w:color w:val="000000" w:themeColor="text1"/>
          <w:highlight w:val="none"/>
          <w14:textFill>
            <w14:solidFill>
              <w14:schemeClr w14:val="tx1"/>
            </w14:solidFill>
          </w14:textFill>
        </w:rPr>
        <w:t>《保障农民工工资支付条例》（中华人民共和国国务院令第724号）、</w:t>
      </w:r>
      <w:r>
        <w:rPr>
          <w:rFonts w:hint="eastAsia" w:ascii="宋体" w:hAnsi="宋体" w:cs="宋体"/>
          <w:color w:val="000000" w:themeColor="text1"/>
          <w:kern w:val="0"/>
          <w:szCs w:val="21"/>
          <w:highlight w:val="none"/>
          <w14:textFill>
            <w14:solidFill>
              <w14:schemeClr w14:val="tx1"/>
            </w14:solidFill>
          </w14:textFill>
        </w:rPr>
        <w:t>《重庆市建设领域农民工工资支付监管暂行办法》（渝人社发〔2009〕65号）</w:t>
      </w:r>
      <w:r>
        <w:rPr>
          <w:rFonts w:hint="eastAsia"/>
          <w:color w:val="000000" w:themeColor="text1"/>
          <w:highlight w:val="none"/>
          <w14:textFill>
            <w14:solidFill>
              <w14:schemeClr w14:val="tx1"/>
            </w14:solidFill>
          </w14:textFill>
        </w:rPr>
        <w:t>以及《重庆市人民政府办公厅关于全面治理拖欠农民工工资问题的实施意见》（渝府办发〔2016〕101号）</w:t>
      </w:r>
      <w:r>
        <w:rPr>
          <w:rFonts w:hint="eastAsia" w:ascii="宋体" w:hAnsi="宋体" w:cs="宋体"/>
          <w:color w:val="000000" w:themeColor="text1"/>
          <w:kern w:val="0"/>
          <w:szCs w:val="21"/>
          <w:highlight w:val="none"/>
          <w14:textFill>
            <w14:solidFill>
              <w14:schemeClr w14:val="tx1"/>
            </w14:solidFill>
          </w14:textFill>
        </w:rPr>
        <w:t>等相关法律法规的规定，</w:t>
      </w:r>
      <w:r>
        <w:rPr>
          <w:rFonts w:hint="eastAsia" w:ascii="宋体" w:hAnsi="宋体" w:cs="宋体"/>
          <w:color w:val="000000" w:themeColor="text1"/>
          <w:kern w:val="0"/>
          <w:szCs w:val="21"/>
          <w:highlight w:val="none"/>
          <w:u w:val="single"/>
          <w14:textFill>
            <w14:solidFill>
              <w14:schemeClr w14:val="tx1"/>
            </w14:solidFill>
          </w14:textFill>
        </w:rPr>
        <w:t xml:space="preserve">       工程（工程名称</w:t>
      </w:r>
      <w:r>
        <w:rPr>
          <w:rFonts w:hint="eastAsia" w:ascii="宋体" w:hAnsi="宋体" w:cs="宋体"/>
          <w:color w:val="000000" w:themeColor="text1"/>
          <w:kern w:val="0"/>
          <w:szCs w:val="21"/>
          <w:highlight w:val="none"/>
          <w14:textFill>
            <w14:solidFill>
              <w14:schemeClr w14:val="tx1"/>
            </w14:solidFill>
          </w14:textFill>
        </w:rPr>
        <w:t>）的项目法人（以下简称甲方），与中标单位即施工单位（以下简称乙方），特订立如下合同。</w:t>
      </w:r>
    </w:p>
    <w:p w14:paraId="0060FFE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第一条  基本要求</w:t>
      </w:r>
    </w:p>
    <w:p w14:paraId="28F6C1E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（一）本工程农民工工资支付实行项目业主责任制，即本合同甲方在工程项目发生拖欠农民工工资时，承担监督和维稳责任。</w:t>
      </w:r>
    </w:p>
    <w:p w14:paraId="2405EDB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（二）施工单位（本合同乙方）对农民工工资支付负总责，即本合同乙方对所承包工程的农民工工资支付负直接责任。</w:t>
      </w:r>
    </w:p>
    <w:p w14:paraId="068D7D2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（三）本工程监理单位对施工单位农民工工资支付行为加强监督，督促其按月结清农民工工资，施工单位应接受监理单位的监督管理。</w:t>
      </w:r>
    </w:p>
    <w:p w14:paraId="59B7FF2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（四）本工程农民工工资支付情况应当接受项目所在地人力资源与社会劳动保障主管部门和水行政主管部门的监督管理。</w:t>
      </w:r>
    </w:p>
    <w:p w14:paraId="0D86374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第二条  本工程实行农民工工资支付保证金制度。</w:t>
      </w:r>
    </w:p>
    <w:p w14:paraId="6660677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（一）保证金由乙方在签订工程承包合同时一次性交纳甲方，保证金比例为工程中标价的3%， 金额人民币：</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万元（大写</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）。甲方设立专用账户保管，不得挪作他用。甲方帐号</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，开户行：</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，如乙方未按时足额交纳保证金，甲方有权拒绝签订工程承包合同，并要求乙方承担缔约过失责任。</w:t>
      </w:r>
    </w:p>
    <w:p w14:paraId="3F070A4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（二）若乙方发生拖欠农民工工资和其他应付农民工的费用（包括工伤赔偿金等）的情况，甲方有权动用本工程农民工工资支付保证金专用帐户内的保证金，用于支付拖欠的农民工资和其他应付农民工的费用。</w:t>
      </w:r>
    </w:p>
    <w:p w14:paraId="6702044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农民工工资支付保证金专用帐户内的资金使用不足后，乙方应在接到甲方书面通知后5日内，补足等额资金。若乙方不补足资金，甲方可在工程进度款中直接扣取资金，用于补足等额保证金；如当月进度款不足以抵扣，在下月进度款中扣除余额，以此类推，扣完为止。</w:t>
      </w:r>
    </w:p>
    <w:p w14:paraId="59BF337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农民工工资保证金的退还：工程开工三个月后，如乙方按月结清了农民工工资，可向甲方申请从第四个月起，在每月支付工程进度款时，按工程形象进度同比例退还农民工工资保证金，申请时必须附上已结清申请之日前的所有农民工工资和其它应付费用的有效证据，甲方审查核实后可按完工形象进度同比例退还保证金。合同工程完工验收后，由乙方向甲方提交剩余保证金的退款申请，并同时提交农民工工资支付凭证、农民工工资支付表册或其它能证明农民工工资和可能产生的其它应付费用已付清的充分证据。甲方在接到报告后的3个工作日内，到施工工地张贴无欠薪欠费通告，在通告7个工作日后，如没有接到投诉，方可退还保证金，否则暂不予退还，直至满足上诉退还条件为止。</w:t>
      </w:r>
    </w:p>
    <w:p w14:paraId="2983873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五）甲方接到农民工关于工资拖欠的投诉时，应及时核实农民工投诉情况，对乙方拖欠工资属实的，应责成其立即纠正，对于不服从协调解决，拒不改正拖欠行为的，将告知农民工通过申请劳动仲裁等合法途径维护自身权益。</w:t>
      </w:r>
    </w:p>
    <w:p w14:paraId="64EDC22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第三条  甲乙双方的责任和义务</w:t>
      </w:r>
    </w:p>
    <w:p w14:paraId="698ADCE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（一）甲方负责按本工程施工承包合同约定及时支付工程款，并跟踪、监督乙方及时足额支付农民工工资，乙方应接受甲方监督。</w:t>
      </w:r>
    </w:p>
    <w:p w14:paraId="683B4D4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乙方招用农民工，应严格劳动用工制度，必须依照《中华人民共和国劳动法》及相关规定，与农民工签订劳动合同。劳动合同要明确合同期限、劳动报酬、工作内容、工作时间、劳动保护、劳动条件、工资支付的方式及违反劳动合同的责任等内容。</w:t>
      </w:r>
    </w:p>
    <w:p w14:paraId="04068FC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（三）乙方按照与农民工依法签订的集体合同或劳动合同约定的日期，按月支付农民工工资，实行月结月清制度，支付的工资不得低于当地最低工资标准。</w:t>
      </w:r>
    </w:p>
    <w:p w14:paraId="6DBA8EA0">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为确保农民工工资月结月清，甲方将乙方上月农民工工资支付清单作为拨付当月工程进度款的前置条件。若上月农民工工资未按约定付清，在水行政主管部门和劳动保障行政部门的监督下，甲方按照本合同第二条第二款及第三款规定使用农民工工资支付保证金账户内的保证金或应支付乙方的当月工程款直接支付农民工工资。</w:t>
      </w:r>
    </w:p>
    <w:p w14:paraId="2F72F41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1085" w:name="_Toc33183806"/>
      <w:r>
        <w:rPr>
          <w:rFonts w:hint="eastAsia" w:ascii="宋体" w:hAnsi="宋体" w:cs="宋体"/>
          <w:color w:val="000000" w:themeColor="text1"/>
          <w:kern w:val="0"/>
          <w:szCs w:val="21"/>
          <w:highlight w:val="none"/>
          <w14:textFill>
            <w14:solidFill>
              <w14:schemeClr w14:val="tx1"/>
            </w14:solidFill>
          </w14:textFill>
        </w:rPr>
        <w:t>（五）甲乙双方共同在项目施工现场设立“农民工维权告示牌”（见附件1）</w:t>
      </w:r>
      <w:bookmarkEnd w:id="1085"/>
    </w:p>
    <w:p w14:paraId="5CD83DB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乙方应建立农民工用工工资档案制度。农民工工资档案（含农民工花名册、农民工工资支付表、劳动用工及工资支付情况汇总表，格式见附件2、3、4）以书面形式记录支付农民工工资的数额、时间、领取者的姓名以及</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等，并保存两年以上以备查。</w:t>
      </w:r>
    </w:p>
    <w:p w14:paraId="2FEB5165">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第四条  接受监督管理的约定</w:t>
      </w:r>
    </w:p>
    <w:p w14:paraId="39E10FA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双方约定：本《合同》的监督管理单位为项目所在地劳动保障行政部门和水行政主管部门。监督管理单位负责对《合同》执行情况检查，提出在本《合同》规定范围内的裁定意见，执行本《合同》第五条所规定的处罚。</w:t>
      </w:r>
    </w:p>
    <w:p w14:paraId="6909B77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检查方式：本《合同》的履约情况检查由监督管理单位主持，甲乙双方共同派人参加，检查方式为座谈、问卷调查、查看资料或各方约定的其他方式等。检查时间、次数、检查方式、检查结论和处罚意见等由各方协商确定，如无法达成一致意见，由监督管理单位依据事实裁定。</w:t>
      </w:r>
    </w:p>
    <w:p w14:paraId="17CBAB1B">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（三）本《合同》有效期为：甲乙双方签署之日起至合同工程完工验收，且乙方结清本工程所有农民工工资和其他应付给农民工的费用之日止。</w:t>
      </w:r>
    </w:p>
    <w:p w14:paraId="67F7571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第五条  监管与处罚</w:t>
      </w:r>
    </w:p>
    <w:p w14:paraId="1A65435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（一）甲乙双方约定，本工程接受监督管理单位对农民工工资支付保证金专用账户的监管，接受监督管理单位视具体情节提出的资金使用、处理意见。</w:t>
      </w:r>
    </w:p>
    <w:p w14:paraId="15F0681E">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乙方违法拖欠或克扣农民工工资或拒绝纠正违法行为，甲方有权向监督单位建议将其列入工程建设不良行为并记入信用档案。如乙方发生两次及以上拖欠行为，拒不改正，甲方可向监督管理单位申请清退乙方。</w:t>
      </w:r>
    </w:p>
    <w:p w14:paraId="6F84537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第六条  不可抗力事件的合同责任</w:t>
      </w:r>
    </w:p>
    <w:p w14:paraId="5D53788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（一）由于战争、地震、水灾、火灾、暴风雪或其他不可抗力原因导致不能履行合同或延迟履行合同的，不适用第四条和第五条规定。</w:t>
      </w:r>
    </w:p>
    <w:p w14:paraId="47FEBED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按照本工程施工合同约定负责办理工程保险的一方，应及时投保“建筑工程一切险”、“安装工程一切险”和“人身意外伤害险”，由保险公司赔偿工程施工过程中因自然灾害或意外事故而引起的一切损失，乙方所获得的损失赔偿首先用于清欠不可抗力事件发生前的所有农民工工资和其他应付费用。当乙方有权获得工期顺延时，负责办理保险的一方应在保险合同有效期届满前办理保险的延续手续；若因乙方原因不能按期竣工，在延迟的施工时间内发生的不可抗力引起的一切损失由乙方自行负责。</w:t>
      </w:r>
    </w:p>
    <w:p w14:paraId="0E2938A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第七条  本《合同》为</w:t>
      </w:r>
      <w:r>
        <w:rPr>
          <w:rFonts w:hint="eastAsia" w:ascii="宋体" w:hAnsi="宋体" w:cs="宋体"/>
          <w:color w:val="000000" w:themeColor="text1"/>
          <w:kern w:val="0"/>
          <w:szCs w:val="21"/>
          <w:highlight w:val="none"/>
          <w:u w:val="single"/>
          <w14:textFill>
            <w14:solidFill>
              <w14:schemeClr w14:val="tx1"/>
            </w14:solidFill>
          </w14:textFill>
        </w:rPr>
        <w:t xml:space="preserve">           （工程名称）</w:t>
      </w:r>
      <w:r>
        <w:rPr>
          <w:rFonts w:hint="eastAsia" w:ascii="宋体" w:hAnsi="宋体" w:cs="宋体"/>
          <w:color w:val="000000" w:themeColor="text1"/>
          <w:kern w:val="0"/>
          <w:szCs w:val="21"/>
          <w:highlight w:val="none"/>
          <w14:textFill>
            <w14:solidFill>
              <w14:schemeClr w14:val="tx1"/>
            </w14:solidFill>
          </w14:textFill>
        </w:rPr>
        <w:t>施工承包合同的附件，与工程施工承包合同具有同等法律效力，经甲乙双方法定代表人（或其授权代表）签署，加盖公章立即生效。</w:t>
      </w:r>
    </w:p>
    <w:p w14:paraId="214FB4F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第八条  本《合同》一式陆份，甲、乙双方各执贰份，送交项目所在地的水行政主管部门和人力资源与社会劳动保障部门各一份备案。 </w:t>
      </w:r>
    </w:p>
    <w:p w14:paraId="5A20EA5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第九条  未尽事宜，双方另行协商或签订补充协议解决，补充协议及本合同附件与本合同具有同等法律效力。 </w:t>
      </w:r>
    </w:p>
    <w:p w14:paraId="46A7FCB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433CB04D">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附件：1．农民工维权告示牌</w:t>
      </w:r>
    </w:p>
    <w:p w14:paraId="77E697FF">
      <w:pPr>
        <w:snapToGrid w:val="0"/>
        <w:spacing w:line="324" w:lineRule="auto"/>
        <w:ind w:firstLine="1050" w:firstLineChars="5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2．农民工花名册</w:t>
      </w:r>
    </w:p>
    <w:p w14:paraId="39A52B70">
      <w:pPr>
        <w:snapToGrid w:val="0"/>
        <w:spacing w:line="324" w:lineRule="auto"/>
        <w:ind w:firstLine="1050" w:firstLineChars="5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3．农民工工资表</w:t>
      </w:r>
    </w:p>
    <w:p w14:paraId="03991040">
      <w:pPr>
        <w:snapToGrid w:val="0"/>
        <w:spacing w:line="324" w:lineRule="auto"/>
        <w:ind w:firstLine="1050" w:firstLineChars="5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4．劳动用工及工资支付情况汇总表</w:t>
      </w:r>
    </w:p>
    <w:p w14:paraId="3EC387FD">
      <w:pPr>
        <w:snapToGrid w:val="0"/>
        <w:spacing w:line="324" w:lineRule="auto"/>
        <w:ind w:firstLine="1050" w:firstLineChars="500"/>
        <w:rPr>
          <w:rFonts w:ascii="宋体" w:hAnsi="宋体" w:cs="宋体"/>
          <w:color w:val="000000" w:themeColor="text1"/>
          <w:kern w:val="0"/>
          <w:szCs w:val="21"/>
          <w:highlight w:val="none"/>
          <w14:textFill>
            <w14:solidFill>
              <w14:schemeClr w14:val="tx1"/>
            </w14:solidFill>
          </w14:textFill>
        </w:rPr>
      </w:pPr>
    </w:p>
    <w:p w14:paraId="234D36D9">
      <w:pPr>
        <w:snapToGrid w:val="0"/>
        <w:spacing w:line="324" w:lineRule="auto"/>
        <w:ind w:firstLine="1050" w:firstLineChars="500"/>
        <w:rPr>
          <w:rFonts w:ascii="宋体" w:hAnsi="宋体" w:cs="宋体"/>
          <w:color w:val="000000" w:themeColor="text1"/>
          <w:kern w:val="0"/>
          <w:szCs w:val="21"/>
          <w:highlight w:val="none"/>
          <w14:textFill>
            <w14:solidFill>
              <w14:schemeClr w14:val="tx1"/>
            </w14:solidFill>
          </w14:textFill>
        </w:rPr>
      </w:pPr>
    </w:p>
    <w:p w14:paraId="6B3D07D7">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甲方单位：（盖章）         乙方单位：（盖章）</w:t>
      </w:r>
    </w:p>
    <w:p w14:paraId="139D7576">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              法定代表人：</w:t>
      </w:r>
    </w:p>
    <w:p w14:paraId="61FC3B6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                    地址：</w:t>
      </w:r>
    </w:p>
    <w:p w14:paraId="3886278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                    电话：</w:t>
      </w:r>
    </w:p>
    <w:p w14:paraId="4DE73FE2">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    月    日            年    月    日</w:t>
      </w:r>
    </w:p>
    <w:p w14:paraId="61C62AE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1E3F6EF3">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0AD927B1">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监督单位（项目所在地劳动保障部门）（盖章）</w:t>
      </w:r>
    </w:p>
    <w:p w14:paraId="6DF5D43F">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    月    日</w:t>
      </w:r>
    </w:p>
    <w:p w14:paraId="7C244509">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4F499DA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监督单位（项目所在地水行政主管部门）（盖章）</w:t>
      </w:r>
    </w:p>
    <w:p w14:paraId="27DCFB2C">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    月    日</w:t>
      </w:r>
    </w:p>
    <w:p w14:paraId="134D0CAA">
      <w:pPr>
        <w:ind w:firstLine="420" w:firstLineChars="200"/>
        <w:rPr>
          <w:rFonts w:ascii="宋体" w:hAnsi="宋体" w:cs="宋体"/>
          <w:color w:val="000000" w:themeColor="text1"/>
          <w:kern w:val="0"/>
          <w:szCs w:val="21"/>
          <w:highlight w:val="none"/>
          <w14:textFill>
            <w14:solidFill>
              <w14:schemeClr w14:val="tx1"/>
            </w14:solidFill>
          </w14:textFill>
        </w:rPr>
      </w:pPr>
    </w:p>
    <w:p w14:paraId="589C6858">
      <w:pPr>
        <w:snapToGrid w:val="0"/>
        <w:spacing w:line="324"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1086" w:name="_Toc33183807"/>
    </w:p>
    <w:p w14:paraId="305F3B97">
      <w:pPr>
        <w:snapToGrid w:val="0"/>
        <w:spacing w:line="324" w:lineRule="auto"/>
        <w:rPr>
          <w:rFonts w:ascii="宋体" w:hAnsi="宋体" w:cs="宋体"/>
          <w:color w:val="000000" w:themeColor="text1"/>
          <w:kern w:val="0"/>
          <w:szCs w:val="21"/>
          <w:highlight w:val="none"/>
          <w14:textFill>
            <w14:solidFill>
              <w14:schemeClr w14:val="tx1"/>
            </w14:solidFill>
          </w14:textFill>
        </w:rPr>
      </w:pPr>
    </w:p>
    <w:p w14:paraId="6571E73A">
      <w:pPr>
        <w:pStyle w:val="341"/>
        <w:spacing w:before="120" w:after="120"/>
        <w:outlineLvl w:val="9"/>
        <w:rPr>
          <w:rFonts w:ascii="宋体" w:hAnsi="宋体" w:cs="宋体"/>
          <w:b w:val="0"/>
          <w:color w:val="000000" w:themeColor="text1"/>
          <w:sz w:val="21"/>
          <w:szCs w:val="21"/>
          <w:highlight w:val="none"/>
          <w14:textFill>
            <w14:solidFill>
              <w14:schemeClr w14:val="tx1"/>
            </w14:solidFill>
          </w14:textFill>
        </w:rPr>
      </w:pPr>
      <w:bookmarkStart w:id="1087" w:name="_Toc59810430"/>
      <w:bookmarkStart w:id="1088" w:name="_Toc19505"/>
      <w:bookmarkStart w:id="1089" w:name="_Toc7110"/>
      <w:r>
        <w:rPr>
          <w:rFonts w:hint="eastAsia" w:ascii="宋体" w:hAnsi="宋体" w:cs="宋体"/>
          <w:b w:val="0"/>
          <w:color w:val="000000" w:themeColor="text1"/>
          <w:sz w:val="21"/>
          <w:szCs w:val="21"/>
          <w:highlight w:val="none"/>
          <w14:textFill>
            <w14:solidFill>
              <w14:schemeClr w14:val="tx1"/>
            </w14:solidFill>
          </w14:textFill>
        </w:rPr>
        <w:t>附件：</w:t>
      </w:r>
      <w:bookmarkEnd w:id="1086"/>
      <w:bookmarkEnd w:id="1087"/>
      <w:bookmarkEnd w:id="1088"/>
      <w:bookmarkEnd w:id="1089"/>
    </w:p>
    <w:p w14:paraId="6F6A2793">
      <w:pPr>
        <w:pStyle w:val="341"/>
        <w:spacing w:before="120" w:after="120"/>
        <w:outlineLvl w:val="9"/>
        <w:rPr>
          <w:rFonts w:ascii="宋体" w:hAnsi="宋体" w:cs="宋体"/>
          <w:b w:val="0"/>
          <w:color w:val="000000" w:themeColor="text1"/>
          <w:sz w:val="21"/>
          <w:szCs w:val="21"/>
          <w:highlight w:val="none"/>
          <w14:textFill>
            <w14:solidFill>
              <w14:schemeClr w14:val="tx1"/>
            </w14:solidFill>
          </w14:textFill>
        </w:rPr>
      </w:pPr>
    </w:p>
    <w:tbl>
      <w:tblPr>
        <w:tblStyle w:val="4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7DA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0" w:hRule="atLeast"/>
          <w:jc w:val="center"/>
        </w:trPr>
        <w:tc>
          <w:tcPr>
            <w:tcW w:w="9180" w:type="dxa"/>
            <w:tcBorders>
              <w:top w:val="single" w:color="auto" w:sz="4" w:space="0"/>
              <w:left w:val="single" w:color="auto" w:sz="4" w:space="0"/>
              <w:bottom w:val="single" w:color="auto" w:sz="4" w:space="0"/>
              <w:right w:val="single" w:color="auto" w:sz="4" w:space="0"/>
            </w:tcBorders>
          </w:tcPr>
          <w:p w14:paraId="778727CB">
            <w:pPr>
              <w:spacing w:line="6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农民工维权告示牌</w:t>
            </w:r>
          </w:p>
          <w:p w14:paraId="584FF3F9">
            <w:pPr>
              <w:spacing w:line="400" w:lineRule="exact"/>
              <w:ind w:firstLine="629"/>
              <w:jc w:val="center"/>
              <w:rPr>
                <w:rFonts w:ascii="宋体" w:hAnsi="宋体" w:cs="宋体"/>
                <w:color w:val="000000" w:themeColor="text1"/>
                <w:kern w:val="0"/>
                <w:szCs w:val="21"/>
                <w:highlight w:val="none"/>
                <w14:textFill>
                  <w14:solidFill>
                    <w14:schemeClr w14:val="tx1"/>
                  </w14:solidFill>
                </w14:textFill>
              </w:rPr>
            </w:pPr>
          </w:p>
          <w:p w14:paraId="0EA980B6">
            <w:pPr>
              <w:spacing w:line="52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项目全体农民工：</w:t>
            </w:r>
          </w:p>
          <w:p w14:paraId="695BBBD8">
            <w:pPr>
              <w:pStyle w:val="26"/>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为保障你在项目劳动期间的合法权益，帮助你依法有序维权，现将有关情况告示如下：</w:t>
            </w:r>
          </w:p>
          <w:p w14:paraId="1B531252">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◆农民工劳动保障权益主要内容：</w:t>
            </w:r>
          </w:p>
          <w:p w14:paraId="4ED076D1">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建筑领域直接招用农民工的施工企业或劳务分包企业，必须依照《中华人民共和国劳动法》、《中华人民共和国劳动合同法》的规定，与农民工签订劳动合同，并提倡签订集体合同。</w:t>
            </w:r>
          </w:p>
          <w:p w14:paraId="74E2F91F">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建筑领域直接招用农民工的施工企业或劳务分包企业，必须按劳动合同约定或劳动保障法律法规规定足额支付工资。</w:t>
            </w:r>
          </w:p>
          <w:p w14:paraId="51A9555F">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◆特别提醒</w:t>
            </w:r>
          </w:p>
          <w:p w14:paraId="0D9EAF5E">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用人单位拒不与你签订劳动合同、集体合同，以及未按劳动合同、集体合同约定足额支付工资，请及时向劳工监督员或劳工管理员反映有关情况，由其协调解决；同时也可向项目所在地劳动保障监察机构投诉。</w:t>
            </w:r>
          </w:p>
          <w:p w14:paraId="26A52374">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为有效维护你的权益，你应妥善保留各种有效证据，如劳动合同或协议、工作证件、工资结算单等。</w:t>
            </w:r>
          </w:p>
          <w:p w14:paraId="2C89E446">
            <w:pPr>
              <w:spacing w:line="520" w:lineRule="exact"/>
              <w:ind w:firstLine="630"/>
              <w:rPr>
                <w:rFonts w:ascii="宋体" w:hAnsi="宋体" w:cs="宋体"/>
                <w:color w:val="000000" w:themeColor="text1"/>
                <w:kern w:val="0"/>
                <w:szCs w:val="21"/>
                <w:highlight w:val="none"/>
                <w14:textFill>
                  <w14:solidFill>
                    <w14:schemeClr w14:val="tx1"/>
                  </w14:solidFill>
                </w14:textFill>
              </w:rPr>
            </w:pPr>
          </w:p>
          <w:p w14:paraId="72A01869">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施工企业劳工管理员：             联系电话：</w:t>
            </w:r>
          </w:p>
          <w:p w14:paraId="5B948EBE">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分包企业劳工管理员：             联系电话：</w:t>
            </w:r>
          </w:p>
          <w:p w14:paraId="12EAC51C">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建设单位劳工监督员：             联系电话：</w:t>
            </w:r>
          </w:p>
          <w:p w14:paraId="16524594">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劳动保障监察机构：               联系电话：</w:t>
            </w:r>
          </w:p>
          <w:p w14:paraId="4F5C420E">
            <w:pPr>
              <w:spacing w:line="520" w:lineRule="exact"/>
              <w:ind w:firstLine="63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p>
          <w:p w14:paraId="4BEC9990">
            <w:pPr>
              <w:spacing w:line="640" w:lineRule="exact"/>
              <w:rPr>
                <w:rFonts w:ascii="宋体" w:hAnsi="宋体" w:cs="宋体"/>
                <w:color w:val="000000" w:themeColor="text1"/>
                <w:kern w:val="0"/>
                <w:szCs w:val="21"/>
                <w:highlight w:val="none"/>
                <w14:textFill>
                  <w14:solidFill>
                    <w14:schemeClr w14:val="tx1"/>
                  </w14:solidFill>
                </w14:textFill>
              </w:rPr>
            </w:pPr>
          </w:p>
        </w:tc>
      </w:tr>
    </w:tbl>
    <w:p w14:paraId="35C42BE0">
      <w:pPr>
        <w:widowControl/>
        <w:jc w:val="left"/>
        <w:rPr>
          <w:rFonts w:ascii="宋体" w:hAnsi="宋体" w:cs="宋体"/>
          <w:color w:val="000000" w:themeColor="text1"/>
          <w:kern w:val="0"/>
          <w:szCs w:val="21"/>
          <w:highlight w:val="none"/>
          <w14:textFill>
            <w14:solidFill>
              <w14:schemeClr w14:val="tx1"/>
            </w14:solidFill>
          </w14:textFill>
        </w:rPr>
        <w:sectPr>
          <w:pgSz w:w="11907" w:h="16840"/>
          <w:pgMar w:top="1418" w:right="1418" w:bottom="1418" w:left="1418" w:header="851" w:footer="1247" w:gutter="0"/>
          <w:pgBorders>
            <w:top w:val="none" w:sz="0" w:space="0"/>
            <w:left w:val="none" w:sz="0" w:space="0"/>
            <w:bottom w:val="none" w:sz="0" w:space="0"/>
            <w:right w:val="none" w:sz="0" w:space="0"/>
          </w:pgBorders>
          <w:pgNumType w:fmt="numberInDash"/>
          <w:cols w:space="720" w:num="1"/>
          <w:titlePg/>
        </w:sectPr>
      </w:pPr>
    </w:p>
    <w:p w14:paraId="48742CE6">
      <w:pPr>
        <w:pStyle w:val="341"/>
        <w:spacing w:before="120" w:after="120"/>
        <w:outlineLvl w:val="9"/>
        <w:rPr>
          <w:rFonts w:ascii="宋体" w:hAnsi="宋体" w:cs="宋体"/>
          <w:b w:val="0"/>
          <w:color w:val="000000" w:themeColor="text1"/>
          <w:sz w:val="21"/>
          <w:szCs w:val="21"/>
          <w:highlight w:val="none"/>
          <w14:textFill>
            <w14:solidFill>
              <w14:schemeClr w14:val="tx1"/>
            </w14:solidFill>
          </w14:textFill>
        </w:rPr>
      </w:pPr>
      <w:bookmarkStart w:id="1090" w:name="_Toc13123"/>
      <w:bookmarkStart w:id="1091" w:name="_Toc33183808"/>
      <w:bookmarkStart w:id="1092" w:name="_Toc59810431"/>
      <w:bookmarkStart w:id="1093" w:name="_Toc28158"/>
      <w:r>
        <w:rPr>
          <w:rFonts w:hint="eastAsia" w:ascii="宋体" w:hAnsi="宋体" w:cs="宋体"/>
          <w:b w:val="0"/>
          <w:color w:val="000000" w:themeColor="text1"/>
          <w:sz w:val="21"/>
          <w:szCs w:val="21"/>
          <w:highlight w:val="none"/>
          <w14:textFill>
            <w14:solidFill>
              <w14:schemeClr w14:val="tx1"/>
            </w14:solidFill>
          </w14:textFill>
        </w:rPr>
        <w:t>附件：</w:t>
      </w:r>
      <w:bookmarkEnd w:id="1090"/>
      <w:bookmarkEnd w:id="1091"/>
      <w:bookmarkEnd w:id="1092"/>
      <w:bookmarkEnd w:id="1093"/>
      <w:r>
        <w:rPr>
          <w:rFonts w:hint="eastAsia" w:ascii="宋体" w:hAnsi="宋体" w:cs="宋体"/>
          <w:b w:val="0"/>
          <w:color w:val="000000" w:themeColor="text1"/>
          <w:sz w:val="21"/>
          <w:szCs w:val="21"/>
          <w:highlight w:val="none"/>
          <w14:textFill>
            <w14:solidFill>
              <w14:schemeClr w14:val="tx1"/>
            </w14:solidFill>
          </w14:textFill>
        </w:rPr>
        <w:t xml:space="preserve"> </w:t>
      </w:r>
    </w:p>
    <w:p w14:paraId="49F7D044">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农民工花名册</w:t>
      </w:r>
    </w:p>
    <w:p w14:paraId="3D5D09B6">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                                              用工单位名称（盖章）：</w:t>
      </w:r>
    </w:p>
    <w:tbl>
      <w:tblPr>
        <w:tblStyle w:val="47"/>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74"/>
        <w:gridCol w:w="546"/>
        <w:gridCol w:w="2584"/>
        <w:gridCol w:w="1419"/>
        <w:gridCol w:w="966"/>
        <w:gridCol w:w="1266"/>
        <w:gridCol w:w="1266"/>
        <w:gridCol w:w="1266"/>
        <w:gridCol w:w="1266"/>
        <w:gridCol w:w="1266"/>
      </w:tblGrid>
      <w:tr w14:paraId="3E7A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3F2A6D9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274" w:type="dxa"/>
            <w:tcBorders>
              <w:top w:val="single" w:color="auto" w:sz="4" w:space="0"/>
              <w:left w:val="single" w:color="auto" w:sz="4" w:space="0"/>
              <w:bottom w:val="single" w:color="auto" w:sz="4" w:space="0"/>
              <w:right w:val="single" w:color="auto" w:sz="4" w:space="0"/>
            </w:tcBorders>
            <w:vAlign w:val="center"/>
          </w:tcPr>
          <w:p w14:paraId="13B7FD80">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546" w:type="dxa"/>
            <w:tcBorders>
              <w:top w:val="single" w:color="auto" w:sz="4" w:space="0"/>
              <w:left w:val="single" w:color="auto" w:sz="4" w:space="0"/>
              <w:bottom w:val="single" w:color="auto" w:sz="4" w:space="0"/>
              <w:right w:val="single" w:color="auto" w:sz="4" w:space="0"/>
            </w:tcBorders>
            <w:vAlign w:val="center"/>
          </w:tcPr>
          <w:p w14:paraId="245FE09F">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性别</w:t>
            </w:r>
          </w:p>
        </w:tc>
        <w:tc>
          <w:tcPr>
            <w:tcW w:w="2584" w:type="dxa"/>
            <w:tcBorders>
              <w:top w:val="single" w:color="auto" w:sz="4" w:space="0"/>
              <w:left w:val="single" w:color="auto" w:sz="4" w:space="0"/>
              <w:bottom w:val="single" w:color="auto" w:sz="4" w:space="0"/>
              <w:right w:val="single" w:color="auto" w:sz="4" w:space="0"/>
            </w:tcBorders>
            <w:vAlign w:val="center"/>
          </w:tcPr>
          <w:p w14:paraId="69113E54">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w:t>
            </w:r>
          </w:p>
        </w:tc>
        <w:tc>
          <w:tcPr>
            <w:tcW w:w="1419" w:type="dxa"/>
            <w:tcBorders>
              <w:top w:val="single" w:color="auto" w:sz="4" w:space="0"/>
              <w:left w:val="single" w:color="auto" w:sz="4" w:space="0"/>
              <w:bottom w:val="single" w:color="auto" w:sz="4" w:space="0"/>
              <w:right w:val="single" w:color="auto" w:sz="4" w:space="0"/>
            </w:tcBorders>
            <w:vAlign w:val="center"/>
          </w:tcPr>
          <w:p w14:paraId="36275991">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c>
          <w:tcPr>
            <w:tcW w:w="966" w:type="dxa"/>
            <w:tcBorders>
              <w:top w:val="single" w:color="auto" w:sz="4" w:space="0"/>
              <w:left w:val="single" w:color="auto" w:sz="4" w:space="0"/>
              <w:bottom w:val="single" w:color="auto" w:sz="4" w:space="0"/>
              <w:right w:val="single" w:color="auto" w:sz="4" w:space="0"/>
            </w:tcBorders>
            <w:vAlign w:val="center"/>
          </w:tcPr>
          <w:p w14:paraId="3DC2DDD2">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工种</w:t>
            </w:r>
          </w:p>
        </w:tc>
        <w:tc>
          <w:tcPr>
            <w:tcW w:w="1266" w:type="dxa"/>
            <w:tcBorders>
              <w:top w:val="single" w:color="auto" w:sz="4" w:space="0"/>
              <w:left w:val="single" w:color="auto" w:sz="4" w:space="0"/>
              <w:bottom w:val="single" w:color="auto" w:sz="4" w:space="0"/>
              <w:right w:val="single" w:color="auto" w:sz="4" w:space="0"/>
            </w:tcBorders>
            <w:vAlign w:val="center"/>
          </w:tcPr>
          <w:p w14:paraId="17FAD98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工作</w:t>
            </w:r>
          </w:p>
          <w:p w14:paraId="63F4B99A">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岗位</w:t>
            </w:r>
          </w:p>
        </w:tc>
        <w:tc>
          <w:tcPr>
            <w:tcW w:w="1266" w:type="dxa"/>
            <w:tcBorders>
              <w:top w:val="single" w:color="auto" w:sz="4" w:space="0"/>
              <w:left w:val="single" w:color="auto" w:sz="4" w:space="0"/>
              <w:bottom w:val="single" w:color="auto" w:sz="4" w:space="0"/>
              <w:right w:val="single" w:color="auto" w:sz="4" w:space="0"/>
            </w:tcBorders>
            <w:vAlign w:val="center"/>
          </w:tcPr>
          <w:p w14:paraId="79B040C7">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进场</w:t>
            </w:r>
          </w:p>
          <w:p w14:paraId="2CC04E3B">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tc>
        <w:tc>
          <w:tcPr>
            <w:tcW w:w="1266" w:type="dxa"/>
            <w:tcBorders>
              <w:top w:val="single" w:color="auto" w:sz="4" w:space="0"/>
              <w:left w:val="single" w:color="auto" w:sz="4" w:space="0"/>
              <w:bottom w:val="single" w:color="auto" w:sz="4" w:space="0"/>
              <w:right w:val="single" w:color="auto" w:sz="4" w:space="0"/>
            </w:tcBorders>
            <w:vAlign w:val="center"/>
          </w:tcPr>
          <w:p w14:paraId="558D372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劳动者签 名</w:t>
            </w:r>
          </w:p>
        </w:tc>
        <w:tc>
          <w:tcPr>
            <w:tcW w:w="1266" w:type="dxa"/>
            <w:tcBorders>
              <w:top w:val="single" w:color="auto" w:sz="4" w:space="0"/>
              <w:left w:val="single" w:color="auto" w:sz="4" w:space="0"/>
              <w:bottom w:val="single" w:color="auto" w:sz="4" w:space="0"/>
              <w:right w:val="single" w:color="auto" w:sz="4" w:space="0"/>
            </w:tcBorders>
            <w:vAlign w:val="center"/>
          </w:tcPr>
          <w:p w14:paraId="2681F4F2">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离场</w:t>
            </w:r>
          </w:p>
          <w:p w14:paraId="1A00D10C">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tc>
        <w:tc>
          <w:tcPr>
            <w:tcW w:w="1266" w:type="dxa"/>
            <w:tcBorders>
              <w:top w:val="single" w:color="auto" w:sz="4" w:space="0"/>
              <w:left w:val="single" w:color="auto" w:sz="4" w:space="0"/>
              <w:bottom w:val="single" w:color="auto" w:sz="4" w:space="0"/>
              <w:right w:val="single" w:color="auto" w:sz="4" w:space="0"/>
            </w:tcBorders>
            <w:vAlign w:val="center"/>
          </w:tcPr>
          <w:p w14:paraId="222FED3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劳动者签 名</w:t>
            </w:r>
          </w:p>
        </w:tc>
      </w:tr>
      <w:tr w14:paraId="583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21E13D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629316D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058D2D1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175BB8E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B08BCC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730B3C2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A37414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22A92F0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5ABDEDE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2A5DF6F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01719BD">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16F8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7F014C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3857195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10B3008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1FCA576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BDFE72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2DE0B56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C6CA83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4004C0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3F1EF51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DA3CAA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389F096">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5A36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02D9AF6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2524C40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02C3131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4123410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38D556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4508470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9FC948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2B2456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68EC9F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A7A729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2E94A74">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7FA8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EA017E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0458DD4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431FDA2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20D3433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F90F28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32FB65B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6EB143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3D961C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F630D2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067FDB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30684722">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4129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2E8B362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18DC448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74DF33F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6F371E9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C9EC9E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3D37EBB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79EDB2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53AE470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1D1C6D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2E10B70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BC476F3">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69D6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5C7C2D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5AB6914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3EB96ED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20E1AA6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D4C146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7141D2B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5AF9187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26D1C7C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5BCBF6B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A01ABF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3F57D66D">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679F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ED2126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2D0D24F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1AFEBE1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44C23E5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8AF0EA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23EF69F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285D4D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656FA5F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6AF41B4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639F497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EBC9989">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4DD5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0C2EF64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3DF4CF2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2B4DE33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2C44061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4FC36F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1AD7867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567675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5FE1931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6C5A84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E5DA91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BAAD39D">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5CFC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9D5B1C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6D89F7B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09BA799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6A9A766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97E178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7619370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1B5C1C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6D4841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6F89406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3932A94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809F0C0">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1594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EDA107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603F162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0D805F3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1F8B9E4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9B07D5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01A0380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E3B36D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F52CC3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27F4B1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F955E9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E88B3A7">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55FF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01C3D7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33165D5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7BA666E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5682ABF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0C83A4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2211EF2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21F48B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2F4FE7B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F43D65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64EBB0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14EED42C">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03CD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869BA9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227623B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14:paraId="38C48B6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2584" w:type="dxa"/>
            <w:tcBorders>
              <w:top w:val="single" w:color="auto" w:sz="4" w:space="0"/>
              <w:left w:val="single" w:color="auto" w:sz="4" w:space="0"/>
              <w:bottom w:val="single" w:color="auto" w:sz="4" w:space="0"/>
              <w:right w:val="single" w:color="auto" w:sz="4" w:space="0"/>
            </w:tcBorders>
            <w:vAlign w:val="center"/>
          </w:tcPr>
          <w:p w14:paraId="3F28DFF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F3E53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66" w:type="dxa"/>
            <w:tcBorders>
              <w:top w:val="single" w:color="auto" w:sz="4" w:space="0"/>
              <w:left w:val="single" w:color="auto" w:sz="4" w:space="0"/>
              <w:bottom w:val="single" w:color="auto" w:sz="4" w:space="0"/>
              <w:right w:val="single" w:color="auto" w:sz="4" w:space="0"/>
            </w:tcBorders>
            <w:vAlign w:val="center"/>
          </w:tcPr>
          <w:p w14:paraId="3FCEACD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7FF64B7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00AC694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883387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6FC04BD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14:paraId="4D5A22A1">
            <w:pPr>
              <w:spacing w:line="400" w:lineRule="exact"/>
              <w:jc w:val="center"/>
              <w:rPr>
                <w:rFonts w:ascii="宋体" w:hAnsi="宋体" w:cs="宋体"/>
                <w:color w:val="000000" w:themeColor="text1"/>
                <w:kern w:val="0"/>
                <w:szCs w:val="21"/>
                <w:highlight w:val="none"/>
                <w14:textFill>
                  <w14:solidFill>
                    <w14:schemeClr w14:val="tx1"/>
                  </w14:solidFill>
                </w14:textFill>
              </w:rPr>
            </w:pPr>
          </w:p>
        </w:tc>
      </w:tr>
    </w:tbl>
    <w:p w14:paraId="46A2DDCC">
      <w:pPr>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  页</w:t>
      </w:r>
    </w:p>
    <w:p w14:paraId="38D475C5">
      <w:pPr>
        <w:widowControl/>
        <w:jc w:val="left"/>
        <w:rPr>
          <w:rFonts w:ascii="宋体" w:hAnsi="宋体" w:cs="宋体"/>
          <w:color w:val="000000" w:themeColor="text1"/>
          <w:kern w:val="0"/>
          <w:szCs w:val="21"/>
          <w:highlight w:val="none"/>
          <w14:textFill>
            <w14:solidFill>
              <w14:schemeClr w14:val="tx1"/>
            </w14:solidFill>
          </w14:textFill>
        </w:rPr>
        <w:sectPr>
          <w:pgSz w:w="16840" w:h="11907" w:orient="landscape"/>
          <w:pgMar w:top="1418" w:right="1418" w:bottom="1418" w:left="1418" w:header="851" w:footer="1247" w:gutter="0"/>
          <w:pgBorders>
            <w:top w:val="none" w:sz="0" w:space="0"/>
            <w:left w:val="none" w:sz="0" w:space="0"/>
            <w:bottom w:val="none" w:sz="0" w:space="0"/>
            <w:right w:val="none" w:sz="0" w:space="0"/>
          </w:pgBorders>
          <w:pgNumType w:fmt="numberInDash"/>
          <w:cols w:space="720" w:num="1"/>
        </w:sectPr>
      </w:pPr>
    </w:p>
    <w:p w14:paraId="5C7D3C2E">
      <w:pPr>
        <w:pStyle w:val="341"/>
        <w:spacing w:before="156" w:after="156"/>
        <w:outlineLvl w:val="9"/>
        <w:rPr>
          <w:rFonts w:ascii="宋体" w:hAnsi="宋体" w:cs="宋体"/>
          <w:b w:val="0"/>
          <w:color w:val="000000" w:themeColor="text1"/>
          <w:sz w:val="21"/>
          <w:szCs w:val="21"/>
          <w:highlight w:val="none"/>
          <w14:textFill>
            <w14:solidFill>
              <w14:schemeClr w14:val="tx1"/>
            </w14:solidFill>
          </w14:textFill>
        </w:rPr>
      </w:pPr>
      <w:bookmarkStart w:id="1094" w:name="_Toc19494"/>
      <w:bookmarkStart w:id="1095" w:name="_Toc33183809"/>
      <w:bookmarkStart w:id="1096" w:name="_Toc59810432"/>
      <w:bookmarkStart w:id="1097" w:name="_Toc20703"/>
      <w:r>
        <w:rPr>
          <w:rFonts w:hint="eastAsia" w:ascii="宋体" w:hAnsi="宋体" w:cs="宋体"/>
          <w:b w:val="0"/>
          <w:color w:val="000000" w:themeColor="text1"/>
          <w:sz w:val="21"/>
          <w:szCs w:val="21"/>
          <w:highlight w:val="none"/>
          <w14:textFill>
            <w14:solidFill>
              <w14:schemeClr w14:val="tx1"/>
            </w14:solidFill>
          </w14:textFill>
        </w:rPr>
        <w:t>附件：</w:t>
      </w:r>
      <w:bookmarkEnd w:id="1094"/>
      <w:bookmarkEnd w:id="1095"/>
      <w:bookmarkEnd w:id="1096"/>
      <w:bookmarkEnd w:id="1097"/>
      <w:r>
        <w:rPr>
          <w:rFonts w:hint="eastAsia" w:ascii="宋体" w:hAnsi="宋体" w:cs="宋体"/>
          <w:b w:val="0"/>
          <w:color w:val="000000" w:themeColor="text1"/>
          <w:sz w:val="21"/>
          <w:szCs w:val="21"/>
          <w:highlight w:val="none"/>
          <w14:textFill>
            <w14:solidFill>
              <w14:schemeClr w14:val="tx1"/>
            </w14:solidFill>
          </w14:textFill>
        </w:rPr>
        <w:t xml:space="preserve"> </w:t>
      </w:r>
    </w:p>
    <w:p w14:paraId="2EEBBE98">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农民工工资表</w:t>
      </w:r>
    </w:p>
    <w:p w14:paraId="42688943">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                         班组名称：                                     时间：  年   月</w:t>
      </w:r>
    </w:p>
    <w:tbl>
      <w:tblPr>
        <w:tblStyle w:val="4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17"/>
        <w:gridCol w:w="997"/>
        <w:gridCol w:w="745"/>
        <w:gridCol w:w="745"/>
        <w:gridCol w:w="745"/>
        <w:gridCol w:w="745"/>
        <w:gridCol w:w="745"/>
        <w:gridCol w:w="745"/>
        <w:gridCol w:w="745"/>
        <w:gridCol w:w="746"/>
        <w:gridCol w:w="746"/>
      </w:tblGrid>
      <w:tr w14:paraId="2042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72499C83">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14:paraId="1F5D20B1">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773E0631">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w:t>
            </w:r>
          </w:p>
        </w:tc>
        <w:tc>
          <w:tcPr>
            <w:tcW w:w="1490" w:type="dxa"/>
            <w:gridSpan w:val="2"/>
            <w:tcBorders>
              <w:top w:val="single" w:color="auto" w:sz="4" w:space="0"/>
              <w:left w:val="single" w:color="auto" w:sz="4" w:space="0"/>
              <w:bottom w:val="single" w:color="auto" w:sz="4" w:space="0"/>
              <w:right w:val="single" w:color="auto" w:sz="4" w:space="0"/>
            </w:tcBorders>
            <w:vAlign w:val="center"/>
          </w:tcPr>
          <w:p w14:paraId="2389CB9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工作量</w:t>
            </w:r>
          </w:p>
        </w:tc>
        <w:tc>
          <w:tcPr>
            <w:tcW w:w="1490" w:type="dxa"/>
            <w:gridSpan w:val="2"/>
            <w:tcBorders>
              <w:top w:val="single" w:color="auto" w:sz="4" w:space="0"/>
              <w:left w:val="single" w:color="auto" w:sz="4" w:space="0"/>
              <w:bottom w:val="single" w:color="auto" w:sz="4" w:space="0"/>
              <w:right w:val="single" w:color="auto" w:sz="4" w:space="0"/>
            </w:tcBorders>
            <w:vAlign w:val="center"/>
          </w:tcPr>
          <w:p w14:paraId="66D00A1B">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工资计算标准</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184469A5">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应得</w:t>
            </w:r>
          </w:p>
          <w:p w14:paraId="5E855529">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工资</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5656AF13">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借支预支金额</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51E20DA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实得工资金额</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14:paraId="3FE66EA5">
            <w:pPr>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领取人</w:t>
            </w:r>
            <w:r>
              <w:rPr>
                <w:rFonts w:hint="eastAsia" w:ascii="宋体" w:hAnsi="宋体" w:cs="宋体"/>
                <w:color w:val="000000" w:themeColor="text1"/>
                <w:kern w:val="0"/>
                <w:szCs w:val="21"/>
                <w:highlight w:val="none"/>
                <w:lang w:eastAsia="zh-CN"/>
                <w14:textFill>
                  <w14:solidFill>
                    <w14:schemeClr w14:val="tx1"/>
                  </w14:solidFill>
                </w14:textFill>
              </w:rPr>
              <w:t>签名</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14:paraId="7B9AF26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758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7F24A2A3">
            <w:pPr>
              <w:widowControl/>
              <w:jc w:val="left"/>
              <w:rPr>
                <w:rFonts w:ascii="宋体" w:hAnsi="宋体" w:cs="宋体"/>
                <w:color w:val="000000" w:themeColor="text1"/>
                <w:kern w:val="0"/>
                <w:szCs w:val="21"/>
                <w:highlight w:val="none"/>
                <w14:textFill>
                  <w14:solidFill>
                    <w14:schemeClr w14:val="tx1"/>
                  </w14:solidFill>
                </w14:textFill>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14:paraId="5CE53D4E">
            <w:pPr>
              <w:widowControl/>
              <w:jc w:val="left"/>
              <w:rPr>
                <w:rFonts w:ascii="宋体" w:hAnsi="宋体" w:cs="宋体"/>
                <w:color w:val="000000" w:themeColor="text1"/>
                <w:kern w:val="0"/>
                <w:szCs w:val="21"/>
                <w:highlight w:val="none"/>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73F079AA">
            <w:pPr>
              <w:widowControl/>
              <w:jc w:val="left"/>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4B1A640">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计时</w:t>
            </w:r>
          </w:p>
        </w:tc>
        <w:tc>
          <w:tcPr>
            <w:tcW w:w="745" w:type="dxa"/>
            <w:tcBorders>
              <w:top w:val="single" w:color="auto" w:sz="4" w:space="0"/>
              <w:left w:val="single" w:color="auto" w:sz="4" w:space="0"/>
              <w:bottom w:val="single" w:color="auto" w:sz="4" w:space="0"/>
              <w:right w:val="single" w:color="auto" w:sz="4" w:space="0"/>
            </w:tcBorders>
            <w:vAlign w:val="center"/>
          </w:tcPr>
          <w:p w14:paraId="23AD6D22">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计件</w:t>
            </w:r>
          </w:p>
        </w:tc>
        <w:tc>
          <w:tcPr>
            <w:tcW w:w="745" w:type="dxa"/>
            <w:tcBorders>
              <w:top w:val="single" w:color="auto" w:sz="4" w:space="0"/>
              <w:left w:val="single" w:color="auto" w:sz="4" w:space="0"/>
              <w:bottom w:val="single" w:color="auto" w:sz="4" w:space="0"/>
              <w:right w:val="single" w:color="auto" w:sz="4" w:space="0"/>
            </w:tcBorders>
            <w:vAlign w:val="center"/>
          </w:tcPr>
          <w:p w14:paraId="6FEF6D89">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计时</w:t>
            </w:r>
          </w:p>
        </w:tc>
        <w:tc>
          <w:tcPr>
            <w:tcW w:w="745" w:type="dxa"/>
            <w:tcBorders>
              <w:top w:val="single" w:color="auto" w:sz="4" w:space="0"/>
              <w:left w:val="single" w:color="auto" w:sz="4" w:space="0"/>
              <w:bottom w:val="single" w:color="auto" w:sz="4" w:space="0"/>
              <w:right w:val="single" w:color="auto" w:sz="4" w:space="0"/>
            </w:tcBorders>
            <w:vAlign w:val="center"/>
          </w:tcPr>
          <w:p w14:paraId="2140AF74">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计件</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1395E631">
            <w:pPr>
              <w:widowControl/>
              <w:jc w:val="left"/>
              <w:rPr>
                <w:rFonts w:ascii="宋体" w:hAnsi="宋体" w:cs="宋体"/>
                <w:color w:val="000000" w:themeColor="text1"/>
                <w:kern w:val="0"/>
                <w:szCs w:val="21"/>
                <w:highlight w:val="none"/>
                <w14:textFill>
                  <w14:solidFill>
                    <w14:schemeClr w14:val="tx1"/>
                  </w14:solidFill>
                </w14:textFill>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73016EA8">
            <w:pPr>
              <w:widowControl/>
              <w:jc w:val="left"/>
              <w:rPr>
                <w:rFonts w:ascii="宋体" w:hAnsi="宋体" w:cs="宋体"/>
                <w:color w:val="000000" w:themeColor="text1"/>
                <w:kern w:val="0"/>
                <w:szCs w:val="21"/>
                <w:highlight w:val="none"/>
                <w14:textFill>
                  <w14:solidFill>
                    <w14:schemeClr w14:val="tx1"/>
                  </w14:solidFill>
                </w14:textFill>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5A8067E5">
            <w:pPr>
              <w:widowControl/>
              <w:jc w:val="left"/>
              <w:rPr>
                <w:rFonts w:ascii="宋体" w:hAnsi="宋体" w:cs="宋体"/>
                <w:color w:val="000000" w:themeColor="text1"/>
                <w:kern w:val="0"/>
                <w:szCs w:val="21"/>
                <w:highlight w:val="none"/>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2DB2EBD5">
            <w:pPr>
              <w:widowControl/>
              <w:jc w:val="left"/>
              <w:rPr>
                <w:rFonts w:ascii="宋体" w:hAnsi="宋体" w:cs="宋体"/>
                <w:color w:val="000000" w:themeColor="text1"/>
                <w:kern w:val="0"/>
                <w:szCs w:val="21"/>
                <w:highlight w:val="none"/>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6BFF1154">
            <w:pPr>
              <w:widowControl/>
              <w:jc w:val="left"/>
              <w:rPr>
                <w:rFonts w:ascii="宋体" w:hAnsi="宋体" w:cs="宋体"/>
                <w:color w:val="000000" w:themeColor="text1"/>
                <w:kern w:val="0"/>
                <w:szCs w:val="21"/>
                <w:highlight w:val="none"/>
                <w14:textFill>
                  <w14:solidFill>
                    <w14:schemeClr w14:val="tx1"/>
                  </w14:solidFill>
                </w14:textFill>
              </w:rPr>
            </w:pPr>
          </w:p>
        </w:tc>
      </w:tr>
      <w:tr w14:paraId="47D3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4826A4B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525EB7D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494D11E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04DFBA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0AA39CB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2A3182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0D2CD39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7A0C5D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2CA21A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116093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256519E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0CC9C4E2">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5D1A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49532F5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24C784F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3A985F0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7E5B4D0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663313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0BBDEAA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052867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AE6855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ADD6E8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609736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2B37D40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2A49812D">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2E6B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04AE6D6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64259AE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12CD67A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282906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EC562E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F2A55A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613450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493D71B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8C2612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748CC66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4E7DACF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3F3CBF6F">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2BBE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1E761D9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422530E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12CA0A8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926D6A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A1C67C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A96C3A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411D49D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9A1464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2E55FD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0E6F09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5174D91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454AFEF8">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40BA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243AD16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7D19758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1C54BB3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18390F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052AD9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0926947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A0FB9D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EF1CA1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C45830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4E7CC0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66E1AD1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34A17991">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3C93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4A85646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4E74BFF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516D61A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2994DC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713CA6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2C6808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D6A735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7145A8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05E4B2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0DF556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607D4F8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224FA56E">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5D1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71E30BF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340039B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01C246B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E724FC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CCEA5B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783F646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4B0A5B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072096D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72AE218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4DAB965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50ECC09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1C90881A">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4658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6FFF1FC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2FAA3A5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58FF4E4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E2FE8A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2ADF56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EE58A3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1BBFAC3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400BA38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743DFE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336B4B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2566F36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15337B3A">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0417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6346029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6B0E602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1D0B86A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85186F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66FC9CD">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7F91A5D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6ECF95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68B47A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BEA8B9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150065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191581B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72F709FB">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4E1A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4ABD845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vAlign w:val="center"/>
          </w:tcPr>
          <w:p w14:paraId="0168353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vAlign w:val="center"/>
          </w:tcPr>
          <w:p w14:paraId="3012B6F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2223323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5ED68EB2">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9D9778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0CF769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38A2656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FEC6849">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vAlign w:val="center"/>
          </w:tcPr>
          <w:p w14:paraId="639CC22F">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73395BE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vAlign w:val="center"/>
          </w:tcPr>
          <w:p w14:paraId="5DD756CD">
            <w:pPr>
              <w:spacing w:line="400" w:lineRule="exact"/>
              <w:jc w:val="center"/>
              <w:rPr>
                <w:rFonts w:ascii="宋体" w:hAnsi="宋体" w:cs="宋体"/>
                <w:color w:val="000000" w:themeColor="text1"/>
                <w:kern w:val="0"/>
                <w:szCs w:val="21"/>
                <w:highlight w:val="none"/>
                <w14:textFill>
                  <w14:solidFill>
                    <w14:schemeClr w14:val="tx1"/>
                  </w14:solidFill>
                </w14:textFill>
              </w:rPr>
            </w:pPr>
          </w:p>
        </w:tc>
      </w:tr>
    </w:tbl>
    <w:p w14:paraId="644B041C">
      <w:pPr>
        <w:spacing w:before="240"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用工单位负责人：                   用工单位劳工员：                       制表人：</w:t>
      </w:r>
    </w:p>
    <w:p w14:paraId="1EE15029">
      <w:pPr>
        <w:spacing w:line="400" w:lineRule="exact"/>
        <w:ind w:firstLine="3570" w:firstLineChars="17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   月   日（用人单位印章）</w:t>
      </w:r>
    </w:p>
    <w:p w14:paraId="172FAC12">
      <w:pPr>
        <w:snapToGrid w:val="0"/>
        <w:spacing w:before="240" w:line="324"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注：1．领取人</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后即表示当月工资已足额领取。</w:t>
      </w:r>
    </w:p>
    <w:p w14:paraId="1AA5772C">
      <w:pPr>
        <w:snapToGrid w:val="0"/>
        <w:spacing w:line="324"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2．以上情况属实，</w:t>
      </w:r>
      <w:r>
        <w:rPr>
          <w:rFonts w:hint="eastAsia" w:ascii="宋体" w:hAnsi="宋体" w:cs="宋体"/>
          <w:color w:val="000000" w:themeColor="text1"/>
          <w:kern w:val="0"/>
          <w:szCs w:val="21"/>
          <w:highlight w:val="none"/>
          <w:lang w:eastAsia="zh-CN"/>
          <w14:textFill>
            <w14:solidFill>
              <w14:schemeClr w14:val="tx1"/>
            </w14:solidFill>
          </w14:textFill>
        </w:rPr>
        <w:t>签名</w:t>
      </w:r>
      <w:r>
        <w:rPr>
          <w:rFonts w:hint="eastAsia" w:ascii="宋体" w:hAnsi="宋体" w:cs="宋体"/>
          <w:color w:val="000000" w:themeColor="text1"/>
          <w:kern w:val="0"/>
          <w:szCs w:val="21"/>
          <w:highlight w:val="none"/>
          <w14:textFill>
            <w14:solidFill>
              <w14:schemeClr w14:val="tx1"/>
            </w14:solidFill>
          </w14:textFill>
        </w:rPr>
        <w:t>人愿对其真实性负法律责任。</w:t>
      </w:r>
    </w:p>
    <w:p w14:paraId="7D78B7D8">
      <w:pPr>
        <w:jc w:val="left"/>
        <w:rPr>
          <w:rFonts w:ascii="宋体" w:hAnsi="宋体" w:cs="宋体"/>
          <w:color w:val="000000" w:themeColor="text1"/>
          <w:kern w:val="0"/>
          <w:szCs w:val="21"/>
          <w:highlight w:val="none"/>
          <w14:textFill>
            <w14:solidFill>
              <w14:schemeClr w14:val="tx1"/>
            </w14:solidFill>
          </w14:textFill>
        </w:rPr>
      </w:pPr>
    </w:p>
    <w:p w14:paraId="32AC12B7">
      <w:pPr>
        <w:jc w:val="left"/>
        <w:rPr>
          <w:rFonts w:ascii="宋体" w:hAnsi="宋体" w:cs="宋体"/>
          <w:color w:val="000000" w:themeColor="text1"/>
          <w:kern w:val="0"/>
          <w:szCs w:val="21"/>
          <w:highlight w:val="none"/>
          <w14:textFill>
            <w14:solidFill>
              <w14:schemeClr w14:val="tx1"/>
            </w14:solidFill>
          </w14:textFill>
        </w:rPr>
      </w:pPr>
    </w:p>
    <w:p w14:paraId="3A692FBD">
      <w:pPr>
        <w:jc w:val="left"/>
        <w:rPr>
          <w:rFonts w:ascii="宋体" w:hAnsi="宋体" w:cs="宋体"/>
          <w:color w:val="000000" w:themeColor="text1"/>
          <w:kern w:val="0"/>
          <w:szCs w:val="21"/>
          <w:highlight w:val="none"/>
          <w14:textFill>
            <w14:solidFill>
              <w14:schemeClr w14:val="tx1"/>
            </w14:solidFill>
          </w14:textFill>
        </w:rPr>
      </w:pPr>
    </w:p>
    <w:p w14:paraId="7196BA23">
      <w:pPr>
        <w:pStyle w:val="341"/>
        <w:spacing w:before="156" w:after="156"/>
        <w:outlineLvl w:val="9"/>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br w:type="page"/>
      </w:r>
      <w:bookmarkStart w:id="1098" w:name="_Toc33183810"/>
      <w:bookmarkStart w:id="1099" w:name="_Toc14465"/>
      <w:bookmarkStart w:id="1100" w:name="_Toc22003"/>
      <w:bookmarkStart w:id="1101" w:name="_Toc59810433"/>
      <w:r>
        <w:rPr>
          <w:rFonts w:hint="eastAsia" w:ascii="宋体" w:hAnsi="宋体" w:cs="宋体"/>
          <w:b w:val="0"/>
          <w:color w:val="000000" w:themeColor="text1"/>
          <w:sz w:val="21"/>
          <w:szCs w:val="21"/>
          <w:highlight w:val="none"/>
          <w14:textFill>
            <w14:solidFill>
              <w14:schemeClr w14:val="tx1"/>
            </w14:solidFill>
          </w14:textFill>
        </w:rPr>
        <w:t>附件：</w:t>
      </w:r>
      <w:bookmarkEnd w:id="1098"/>
      <w:bookmarkEnd w:id="1099"/>
      <w:bookmarkEnd w:id="1100"/>
      <w:bookmarkEnd w:id="1101"/>
      <w:r>
        <w:rPr>
          <w:rFonts w:hint="eastAsia" w:ascii="宋体" w:hAnsi="宋体" w:cs="宋体"/>
          <w:b w:val="0"/>
          <w:color w:val="000000" w:themeColor="text1"/>
          <w:sz w:val="21"/>
          <w:szCs w:val="21"/>
          <w:highlight w:val="none"/>
          <w14:textFill>
            <w14:solidFill>
              <w14:schemeClr w14:val="tx1"/>
            </w14:solidFill>
          </w14:textFill>
        </w:rPr>
        <w:t xml:space="preserve"> </w:t>
      </w:r>
    </w:p>
    <w:p w14:paraId="128B1302">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劳动用工及工资支付情况汇总表</w:t>
      </w:r>
    </w:p>
    <w:p w14:paraId="78504A4A">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                               时间：    年   季度</w:t>
      </w:r>
    </w:p>
    <w:tbl>
      <w:tblPr>
        <w:tblStyle w:val="47"/>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56"/>
        <w:gridCol w:w="1056"/>
        <w:gridCol w:w="1056"/>
        <w:gridCol w:w="1056"/>
        <w:gridCol w:w="1056"/>
        <w:gridCol w:w="1056"/>
        <w:gridCol w:w="1056"/>
        <w:gridCol w:w="1056"/>
      </w:tblGrid>
      <w:tr w14:paraId="2AD3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8FE54E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3168" w:type="dxa"/>
            <w:gridSpan w:val="3"/>
            <w:tcBorders>
              <w:top w:val="single" w:color="auto" w:sz="4" w:space="0"/>
              <w:left w:val="single" w:color="auto" w:sz="4" w:space="0"/>
              <w:bottom w:val="single" w:color="auto" w:sz="4" w:space="0"/>
              <w:right w:val="single" w:color="auto" w:sz="4" w:space="0"/>
            </w:tcBorders>
            <w:vAlign w:val="center"/>
          </w:tcPr>
          <w:p w14:paraId="1EBA5B9C">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用工变动情况</w:t>
            </w:r>
          </w:p>
        </w:tc>
        <w:tc>
          <w:tcPr>
            <w:tcW w:w="4224" w:type="dxa"/>
            <w:gridSpan w:val="4"/>
            <w:tcBorders>
              <w:top w:val="single" w:color="auto" w:sz="4" w:space="0"/>
              <w:left w:val="single" w:color="auto" w:sz="4" w:space="0"/>
              <w:bottom w:val="single" w:color="auto" w:sz="4" w:space="0"/>
              <w:right w:val="single" w:color="auto" w:sz="4" w:space="0"/>
            </w:tcBorders>
            <w:vAlign w:val="center"/>
          </w:tcPr>
          <w:p w14:paraId="685B8C1B">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工资支付情况</w:t>
            </w:r>
          </w:p>
        </w:tc>
        <w:tc>
          <w:tcPr>
            <w:tcW w:w="1056" w:type="dxa"/>
            <w:tcBorders>
              <w:top w:val="single" w:color="auto" w:sz="4" w:space="0"/>
              <w:left w:val="single" w:color="auto" w:sz="4" w:space="0"/>
              <w:bottom w:val="single" w:color="auto" w:sz="4" w:space="0"/>
              <w:right w:val="single" w:color="auto" w:sz="4" w:space="0"/>
            </w:tcBorders>
            <w:vAlign w:val="center"/>
          </w:tcPr>
          <w:p w14:paraId="79CCE73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w:t>
            </w:r>
          </w:p>
        </w:tc>
      </w:tr>
      <w:tr w14:paraId="0A6B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D2617A">
            <w:pPr>
              <w:widowControl/>
              <w:jc w:val="left"/>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4FA08004">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当月离场人数</w:t>
            </w:r>
          </w:p>
          <w:p w14:paraId="05DA8C9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056" w:type="dxa"/>
            <w:tcBorders>
              <w:top w:val="single" w:color="auto" w:sz="4" w:space="0"/>
              <w:left w:val="single" w:color="auto" w:sz="4" w:space="0"/>
              <w:bottom w:val="single" w:color="auto" w:sz="4" w:space="0"/>
              <w:right w:val="single" w:color="auto" w:sz="4" w:space="0"/>
            </w:tcBorders>
            <w:vAlign w:val="center"/>
          </w:tcPr>
          <w:p w14:paraId="7D5E3A74">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当月新增进场人数</w:t>
            </w:r>
          </w:p>
          <w:p w14:paraId="410FC7A5">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056" w:type="dxa"/>
            <w:tcBorders>
              <w:top w:val="single" w:color="auto" w:sz="4" w:space="0"/>
              <w:left w:val="single" w:color="auto" w:sz="4" w:space="0"/>
              <w:bottom w:val="single" w:color="auto" w:sz="4" w:space="0"/>
              <w:right w:val="single" w:color="auto" w:sz="4" w:space="0"/>
            </w:tcBorders>
            <w:vAlign w:val="center"/>
          </w:tcPr>
          <w:p w14:paraId="015B42E8">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月末</w:t>
            </w:r>
          </w:p>
          <w:p w14:paraId="0B54D5E1">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农民工人数（人）</w:t>
            </w:r>
          </w:p>
        </w:tc>
        <w:tc>
          <w:tcPr>
            <w:tcW w:w="1056" w:type="dxa"/>
            <w:tcBorders>
              <w:top w:val="single" w:color="auto" w:sz="4" w:space="0"/>
              <w:left w:val="single" w:color="auto" w:sz="4" w:space="0"/>
              <w:bottom w:val="single" w:color="auto" w:sz="4" w:space="0"/>
              <w:right w:val="single" w:color="auto" w:sz="4" w:space="0"/>
            </w:tcBorders>
            <w:vAlign w:val="center"/>
          </w:tcPr>
          <w:p w14:paraId="15AC8F64">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应付工资总额（元）</w:t>
            </w:r>
          </w:p>
        </w:tc>
        <w:tc>
          <w:tcPr>
            <w:tcW w:w="1056" w:type="dxa"/>
            <w:tcBorders>
              <w:top w:val="single" w:color="auto" w:sz="4" w:space="0"/>
              <w:left w:val="single" w:color="auto" w:sz="4" w:space="0"/>
              <w:bottom w:val="single" w:color="auto" w:sz="4" w:space="0"/>
              <w:right w:val="single" w:color="auto" w:sz="4" w:space="0"/>
            </w:tcBorders>
            <w:vAlign w:val="center"/>
          </w:tcPr>
          <w:p w14:paraId="7C596677">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应付工资人数（人）</w:t>
            </w:r>
          </w:p>
        </w:tc>
        <w:tc>
          <w:tcPr>
            <w:tcW w:w="1056" w:type="dxa"/>
            <w:tcBorders>
              <w:top w:val="single" w:color="auto" w:sz="4" w:space="0"/>
              <w:left w:val="single" w:color="auto" w:sz="4" w:space="0"/>
              <w:bottom w:val="single" w:color="auto" w:sz="4" w:space="0"/>
              <w:right w:val="single" w:color="auto" w:sz="4" w:space="0"/>
            </w:tcBorders>
            <w:vAlign w:val="center"/>
          </w:tcPr>
          <w:p w14:paraId="414C42DD">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实付工资总额（元）</w:t>
            </w:r>
          </w:p>
        </w:tc>
        <w:tc>
          <w:tcPr>
            <w:tcW w:w="1056" w:type="dxa"/>
            <w:tcBorders>
              <w:top w:val="single" w:color="auto" w:sz="4" w:space="0"/>
              <w:left w:val="single" w:color="auto" w:sz="4" w:space="0"/>
              <w:bottom w:val="single" w:color="auto" w:sz="4" w:space="0"/>
              <w:right w:val="single" w:color="auto" w:sz="4" w:space="0"/>
            </w:tcBorders>
            <w:vAlign w:val="center"/>
          </w:tcPr>
          <w:p w14:paraId="5D9DAE52">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实付工资人数（人）</w:t>
            </w:r>
          </w:p>
        </w:tc>
        <w:tc>
          <w:tcPr>
            <w:tcW w:w="1056" w:type="dxa"/>
            <w:tcBorders>
              <w:top w:val="single" w:color="auto" w:sz="4" w:space="0"/>
              <w:left w:val="single" w:color="auto" w:sz="4" w:space="0"/>
              <w:bottom w:val="single" w:color="auto" w:sz="4" w:space="0"/>
              <w:right w:val="single" w:color="auto" w:sz="4" w:space="0"/>
            </w:tcBorders>
            <w:vAlign w:val="center"/>
          </w:tcPr>
          <w:p w14:paraId="5A183B20">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签订劳动合同人数（人）</w:t>
            </w:r>
          </w:p>
        </w:tc>
      </w:tr>
      <w:tr w14:paraId="5EC8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20B4BE6">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本季度第一月</w:t>
            </w:r>
          </w:p>
        </w:tc>
        <w:tc>
          <w:tcPr>
            <w:tcW w:w="1056" w:type="dxa"/>
            <w:tcBorders>
              <w:top w:val="single" w:color="auto" w:sz="4" w:space="0"/>
              <w:left w:val="single" w:color="auto" w:sz="4" w:space="0"/>
              <w:bottom w:val="single" w:color="auto" w:sz="4" w:space="0"/>
              <w:right w:val="single" w:color="auto" w:sz="4" w:space="0"/>
            </w:tcBorders>
            <w:vAlign w:val="center"/>
          </w:tcPr>
          <w:p w14:paraId="5091903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69580F9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15CDB3C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754C13D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7028EE73">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2134BAA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4CBDB2B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22F2C249">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1013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A733A29">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本季度第二月</w:t>
            </w:r>
          </w:p>
        </w:tc>
        <w:tc>
          <w:tcPr>
            <w:tcW w:w="1056" w:type="dxa"/>
            <w:tcBorders>
              <w:top w:val="single" w:color="auto" w:sz="4" w:space="0"/>
              <w:left w:val="single" w:color="auto" w:sz="4" w:space="0"/>
              <w:bottom w:val="single" w:color="auto" w:sz="4" w:space="0"/>
              <w:right w:val="single" w:color="auto" w:sz="4" w:space="0"/>
            </w:tcBorders>
            <w:vAlign w:val="center"/>
          </w:tcPr>
          <w:p w14:paraId="656029EB">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3753261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6ED7B48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72B764E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38E986C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1E002E1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4A7A8D41">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1A432B2A">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700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132C20F">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本季度第三月</w:t>
            </w:r>
          </w:p>
        </w:tc>
        <w:tc>
          <w:tcPr>
            <w:tcW w:w="1056" w:type="dxa"/>
            <w:tcBorders>
              <w:top w:val="single" w:color="auto" w:sz="4" w:space="0"/>
              <w:left w:val="single" w:color="auto" w:sz="4" w:space="0"/>
              <w:bottom w:val="single" w:color="auto" w:sz="4" w:space="0"/>
              <w:right w:val="single" w:color="auto" w:sz="4" w:space="0"/>
            </w:tcBorders>
            <w:vAlign w:val="center"/>
          </w:tcPr>
          <w:p w14:paraId="17BCECE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17DE10A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44F815A5">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0299D2F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708293E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0716752A">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59FA963C">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074307B1">
            <w:pPr>
              <w:spacing w:line="400" w:lineRule="exact"/>
              <w:jc w:val="center"/>
              <w:rPr>
                <w:rFonts w:ascii="宋体" w:hAnsi="宋体" w:cs="宋体"/>
                <w:color w:val="000000" w:themeColor="text1"/>
                <w:kern w:val="0"/>
                <w:szCs w:val="21"/>
                <w:highlight w:val="none"/>
                <w14:textFill>
                  <w14:solidFill>
                    <w14:schemeClr w14:val="tx1"/>
                  </w14:solidFill>
                </w14:textFill>
              </w:rPr>
            </w:pPr>
          </w:p>
        </w:tc>
      </w:tr>
      <w:tr w14:paraId="3B14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5CBBE379">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季度合计</w:t>
            </w:r>
          </w:p>
        </w:tc>
        <w:tc>
          <w:tcPr>
            <w:tcW w:w="1056" w:type="dxa"/>
            <w:tcBorders>
              <w:top w:val="single" w:color="auto" w:sz="4" w:space="0"/>
              <w:left w:val="single" w:color="auto" w:sz="4" w:space="0"/>
              <w:bottom w:val="single" w:color="auto" w:sz="4" w:space="0"/>
              <w:right w:val="single" w:color="auto" w:sz="4" w:space="0"/>
            </w:tcBorders>
            <w:vAlign w:val="center"/>
          </w:tcPr>
          <w:p w14:paraId="0074329E">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3033302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72BC3A37">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12462570">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072DFB74">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3C0EA196">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4D9F6478">
            <w:pPr>
              <w:spacing w:line="400" w:lineRule="exact"/>
              <w:jc w:val="center"/>
              <w:rPr>
                <w:rFonts w:ascii="宋体" w:hAnsi="宋体" w:cs="宋体"/>
                <w:color w:val="000000" w:themeColor="text1"/>
                <w:kern w:val="0"/>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6EA31B1A">
            <w:pPr>
              <w:spacing w:line="400" w:lineRule="exact"/>
              <w:jc w:val="center"/>
              <w:rPr>
                <w:rFonts w:ascii="宋体" w:hAnsi="宋体" w:cs="宋体"/>
                <w:color w:val="000000" w:themeColor="text1"/>
                <w:kern w:val="0"/>
                <w:szCs w:val="21"/>
                <w:highlight w:val="none"/>
                <w14:textFill>
                  <w14:solidFill>
                    <w14:schemeClr w14:val="tx1"/>
                  </w14:solidFill>
                </w14:textFill>
              </w:rPr>
            </w:pPr>
          </w:p>
        </w:tc>
      </w:tr>
    </w:tbl>
    <w:p w14:paraId="29456D3C">
      <w:pPr>
        <w:spacing w:before="24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用工单位负责人：        用工单位劳工管理员：      填表时间：</w:t>
      </w:r>
    </w:p>
    <w:p w14:paraId="15442500">
      <w:pPr>
        <w:jc w:val="left"/>
        <w:rPr>
          <w:rFonts w:ascii="宋体" w:hAnsi="宋体" w:cs="宋体"/>
          <w:color w:val="000000" w:themeColor="text1"/>
          <w:kern w:val="0"/>
          <w:szCs w:val="21"/>
          <w:highlight w:val="none"/>
          <w14:textFill>
            <w14:solidFill>
              <w14:schemeClr w14:val="tx1"/>
            </w14:solidFill>
          </w14:textFill>
        </w:rPr>
      </w:pPr>
    </w:p>
    <w:p w14:paraId="369485D5">
      <w:pPr>
        <w:spacing w:line="440" w:lineRule="exact"/>
        <w:ind w:left="420" w:hanging="420" w:hanging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注：此表为每季度末后5天内向项目所在地区县（自治县）劳动和社会保障行政部门报送。</w:t>
      </w:r>
    </w:p>
    <w:p w14:paraId="4AF0250D">
      <w:pPr>
        <w:pStyle w:val="336"/>
        <w:rPr>
          <w:rFonts w:cs="宋体"/>
          <w:color w:val="000000" w:themeColor="text1"/>
          <w:sz w:val="21"/>
          <w:highlight w:val="none"/>
          <w14:textFill>
            <w14:solidFill>
              <w14:schemeClr w14:val="tx1"/>
            </w14:solidFill>
          </w14:textFill>
        </w:rPr>
      </w:pPr>
      <w:r>
        <w:rPr>
          <w:rFonts w:hint="eastAsia" w:cs="宋体"/>
          <w:color w:val="000000" w:themeColor="text1"/>
          <w:sz w:val="21"/>
          <w:highlight w:val="none"/>
          <w14:textFill>
            <w14:solidFill>
              <w14:schemeClr w14:val="tx1"/>
            </w14:solidFill>
          </w14:textFill>
        </w:rPr>
        <w:t>联系人：               联系电话：             传真：</w:t>
      </w:r>
    </w:p>
    <w:p w14:paraId="119F4A39">
      <w:pPr>
        <w:pStyle w:val="341"/>
        <w:spacing w:before="156" w:after="156"/>
        <w:outlineLvl w:val="9"/>
        <w:rPr>
          <w:rFonts w:ascii="宋体" w:hAnsi="宋体" w:cs="宋体"/>
          <w:b w:val="0"/>
          <w:color w:val="000000" w:themeColor="text1"/>
          <w:sz w:val="21"/>
          <w:szCs w:val="21"/>
          <w:highlight w:val="none"/>
          <w14:textFill>
            <w14:solidFill>
              <w14:schemeClr w14:val="tx1"/>
            </w14:solidFill>
          </w14:textFill>
        </w:rPr>
      </w:pPr>
    </w:p>
    <w:p w14:paraId="6EDA0691">
      <w:pPr>
        <w:pStyle w:val="341"/>
        <w:spacing w:before="156" w:after="156"/>
        <w:outlineLvl w:val="9"/>
        <w:rPr>
          <w:rFonts w:ascii="宋体" w:hAnsi="宋体" w:cs="宋体"/>
          <w:b w:val="0"/>
          <w:color w:val="000000" w:themeColor="text1"/>
          <w:sz w:val="21"/>
          <w:szCs w:val="21"/>
          <w:highlight w:val="none"/>
          <w14:textFill>
            <w14:solidFill>
              <w14:schemeClr w14:val="tx1"/>
            </w14:solidFill>
          </w14:textFill>
        </w:rPr>
      </w:pPr>
    </w:p>
    <w:p w14:paraId="63B6CD54">
      <w:pPr>
        <w:keepNext w:val="0"/>
        <w:keepLines w:val="0"/>
        <w:snapToGrid/>
        <w:spacing w:line="240" w:lineRule="auto"/>
        <w:ind w:firstLine="0" w:firstLineChars="0"/>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p>
    <w:p w14:paraId="0BDCB246">
      <w:pPr>
        <w:keepNext/>
        <w:keepLines/>
        <w:snapToGrid w:val="0"/>
        <w:spacing w:line="600" w:lineRule="exact"/>
        <w:ind w:firstLine="420" w:firstLineChars="200"/>
        <w:outlineLvl w:val="3"/>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附件9：低价风险担保保函示范文本（独立保函）</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如有</w:t>
      </w:r>
      <w:r>
        <w:rPr>
          <w:rFonts w:hint="eastAsia" w:ascii="宋体" w:hAnsi="宋体" w:cs="宋体"/>
          <w:color w:val="000000" w:themeColor="text1"/>
          <w:kern w:val="0"/>
          <w:szCs w:val="21"/>
          <w:highlight w:val="none"/>
          <w:lang w:eastAsia="zh-CN"/>
          <w14:textFill>
            <w14:solidFill>
              <w14:schemeClr w14:val="tx1"/>
            </w14:solidFill>
          </w14:textFill>
        </w:rPr>
        <w:t>）</w:t>
      </w:r>
    </w:p>
    <w:p w14:paraId="61AB0E2D">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20FA0ED7">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低价风险担保保函示范文本</w:t>
      </w:r>
    </w:p>
    <w:p w14:paraId="3AFABC80">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（独立保函）</w:t>
      </w:r>
    </w:p>
    <w:p w14:paraId="68066986">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编号：           </w:t>
      </w:r>
    </w:p>
    <w:p w14:paraId="1FE0AC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申请人：</w:t>
      </w:r>
    </w:p>
    <w:p w14:paraId="0987F2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6D3A7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受益人：</w:t>
      </w:r>
    </w:p>
    <w:p w14:paraId="07325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16F34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开立人：</w:t>
      </w:r>
    </w:p>
    <w:p w14:paraId="3C340C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5097C4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36C46FC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（受益人名称）： </w:t>
      </w:r>
    </w:p>
    <w:p w14:paraId="5DEE168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（以下简称“申请人”）于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日参加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（以下简称“受益人”）的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（项目名称）的投标，收到受益人于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4022A420">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0BE91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195AF6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三、本保函有效期自开立之日起至合同约定的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p>
    <w:p w14:paraId="77C83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工作日内无条件支付，前述书面付款通知即为付款要求之单据，且应满足以下要求：</w:t>
      </w:r>
    </w:p>
    <w:p w14:paraId="48B0CB0D">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（1）付款通知到达的日期在本保函的有效期内；</w:t>
      </w:r>
    </w:p>
    <w:p w14:paraId="42DF512C">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（2）载明要求支付的金额；</w:t>
      </w:r>
    </w:p>
    <w:p w14:paraId="61A8CAA3">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（3）载明申请人未按照中标通知书、招标文件和投标文件约定签订合同或违反合同义务的条款和内容；</w:t>
      </w:r>
    </w:p>
    <w:p w14:paraId="5DBB32B3">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（4）付款通知中应声明不存在招标文件约定、合同文件约定或我国法律规定免除申请人或开立人支付责任的情形；</w:t>
      </w:r>
    </w:p>
    <w:p w14:paraId="11F4C2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6ED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受益人发出的书面付款通知应由其为鉴明受益人法定代表人（负责人）或授权代理人签名加盖公章。</w:t>
      </w:r>
    </w:p>
    <w:p w14:paraId="28705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五、本保函项下的权利不得转让，不得设定担保。贵方未经我方书面同意转让本保函或其项下任何权利，对我方不发生法律效力。 </w:t>
      </w:r>
    </w:p>
    <w:p w14:paraId="6AB58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六、与本保函有关的合同不成立、不生效、无效、被撤销、被解除，不影响本保函的独立有效。 </w:t>
      </w:r>
    </w:p>
    <w:p w14:paraId="560D4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0ACF3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2031F2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九、本保函自我方法定代表人或授权代表签名并加盖公章之日起生效。 </w:t>
      </w:r>
    </w:p>
    <w:p w14:paraId="65B28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开 立 人：                              （公章） </w:t>
      </w:r>
    </w:p>
    <w:p w14:paraId="029AA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法定代表人（或授权代表）：              （</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签名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365734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地    址：                                       </w:t>
      </w:r>
    </w:p>
    <w:p w14:paraId="30BCF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邮政编码：                 </w:t>
      </w:r>
    </w:p>
    <w:p w14:paraId="6265B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电    话：                 </w:t>
      </w:r>
    </w:p>
    <w:p w14:paraId="3D145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传    真：                 </w:t>
      </w:r>
    </w:p>
    <w:p w14:paraId="2EC36EF8">
      <w:pPr>
        <w:spacing w:line="360" w:lineRule="auto"/>
        <w:ind w:firstLine="420" w:firstLineChars="20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开立时间：      年      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日</w:t>
      </w:r>
    </w:p>
    <w:p w14:paraId="475091D9">
      <w:pPr>
        <w:widowControl/>
        <w:jc w:val="left"/>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4A8ABEBE">
      <w:pPr>
        <w:keepNext/>
        <w:keepLines/>
        <w:snapToGrid w:val="0"/>
        <w:spacing w:line="600" w:lineRule="exact"/>
        <w:ind w:firstLine="420" w:firstLineChars="200"/>
        <w:outlineLvl w:val="3"/>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质量保证金保函</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如有</w:t>
      </w:r>
      <w:r>
        <w:rPr>
          <w:rFonts w:hint="eastAsia" w:ascii="宋体" w:hAnsi="宋体" w:cs="宋体"/>
          <w:color w:val="000000" w:themeColor="text1"/>
          <w:kern w:val="0"/>
          <w:szCs w:val="21"/>
          <w:highlight w:val="none"/>
          <w:lang w:eastAsia="zh-CN"/>
          <w14:textFill>
            <w14:solidFill>
              <w14:schemeClr w14:val="tx1"/>
            </w14:solidFill>
          </w14:textFill>
        </w:rPr>
        <w:t>）</w:t>
      </w:r>
    </w:p>
    <w:p w14:paraId="33A3B309">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工程质量保函示范文本</w:t>
      </w:r>
    </w:p>
    <w:p w14:paraId="219EC828">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E8AAD8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申请人：</w:t>
      </w:r>
    </w:p>
    <w:p w14:paraId="673CC19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3B32846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w:t>
      </w:r>
    </w:p>
    <w:p w14:paraId="3279528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5DC50F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开立人：</w:t>
      </w:r>
    </w:p>
    <w:p w14:paraId="470D7E4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23CB8C4B">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p w14:paraId="5152E330">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（受益人名称）： </w:t>
      </w:r>
    </w:p>
    <w:p w14:paraId="17169E4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日就</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（合同名称）合同编号</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2EB04CC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一、本保函担保范围：承包人未按照合同约定履行工程缺陷责任期内的保修义务，应当向贵方承担的违约责任和赔偿因此造成的损失、利息、律师费、诉讼费用等实现债权的费用。</w:t>
      </w:r>
    </w:p>
    <w:p w14:paraId="005C6AA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12CD9D9">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三、本保函有效期（保证期间）为以下第</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种：</w:t>
      </w:r>
    </w:p>
    <w:p w14:paraId="763AD18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本保函有效期至</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w:t>
      </w:r>
    </w:p>
    <w:p w14:paraId="010C009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1522FA5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四、我方承诺，在收到受益人发来的书面索赔通知和本保函原件后的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日内无条件支付至受益人指定账户，前述书面索赔通知即为付款要求之单据，且应满足以下要求：</w:t>
      </w:r>
    </w:p>
    <w:p w14:paraId="66613AA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（1）索赔通知到达的日期在本保函的有效期内；</w:t>
      </w:r>
    </w:p>
    <w:p w14:paraId="606C795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（2）载明要求支付的金额；</w:t>
      </w:r>
    </w:p>
    <w:p w14:paraId="56CA100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（3）载明申请人违反合同义务的条款和内容；</w:t>
      </w:r>
    </w:p>
    <w:p w14:paraId="55AE262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（4）声明不存在合同文件约定或我国法律规定免除申请人或开立人支付责任的情形；</w:t>
      </w:r>
    </w:p>
    <w:p w14:paraId="18FB0D3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（5）索赔通知应在本保函有效期内到达的地址是：</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A70354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受益人发出的书面索赔通知应由其为鉴明受益人法定代表人（负责人）或授权代理人签名或盖个人名章并加盖公章。</w:t>
      </w:r>
    </w:p>
    <w:p w14:paraId="1482890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59673F0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六、与本保函有关的合同不成立、不生效、无效、被撤销、被解除，不影响本保函的独立有效。 </w:t>
      </w:r>
    </w:p>
    <w:p w14:paraId="79A2877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七、贵方应在本保函到期后的</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七个工作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日内将本保函正本退回我方注销，但是不论贵方是否按此要求将本保函正本退回我方，我方在本保函项下的义务和责任均在保函有效期到期后自动消灭。</w:t>
      </w:r>
    </w:p>
    <w:p w14:paraId="2A5BF63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30C3DEC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九、本保函自我方法定代表人或授权代表</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或盖个人名章并加盖公章或合同专用章之日起生效。</w:t>
      </w:r>
    </w:p>
    <w:p w14:paraId="0DEE831B">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本保函在重庆市辖区范围内的核验地点：</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；核验方式：</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val="en-US" w:eastAsia="zh-CN"/>
          <w14:textFill>
            <w14:solidFill>
              <w14:schemeClr w14:val="tx1"/>
            </w14:solidFill>
          </w14:textFill>
        </w:rPr>
        <w:t>。</w:t>
      </w:r>
    </w:p>
    <w:p w14:paraId="6ACB64D6">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p w14:paraId="27596C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 立 人：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（公章）</w:t>
      </w:r>
    </w:p>
    <w:p w14:paraId="7AAF688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法定代表人（或授权代表）：</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签名或盖个人名章</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2E50AAE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2D4234B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204AB18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52EFA11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3A3ADCB2">
      <w:pPr>
        <w:pStyle w:val="2"/>
        <w:ind w:firstLine="420" w:firstLineChars="20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开立时间：    年    月    </w:t>
      </w:r>
      <w:r>
        <w:rPr>
          <w:rFonts w:hint="eastAsia" w:ascii="宋体" w:hAnsi="宋体" w:eastAsia="宋体" w:cs="宋体"/>
          <w:color w:val="000000" w:themeColor="text1"/>
          <w:sz w:val="21"/>
          <w:szCs w:val="21"/>
          <w:highlight w:val="none"/>
          <w14:textFill>
            <w14:solidFill>
              <w14:schemeClr w14:val="tx1"/>
            </w14:solidFill>
          </w14:textFill>
        </w:rPr>
        <w:t>日</w:t>
      </w:r>
    </w:p>
    <w:p w14:paraId="45F9B013">
      <w:pPr>
        <w:pStyle w:val="45"/>
        <w:rPr>
          <w:rFonts w:hint="default"/>
          <w:color w:val="000000" w:themeColor="text1"/>
          <w:highlight w:val="none"/>
          <w:lang w:val="en-US" w:eastAsia="zh-CN"/>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72702C53">
      <w:pPr>
        <w:rPr>
          <w:rFonts w:ascii="方正仿宋_GBK" w:hAnsi="仿宋" w:cs="方正仿宋_GBK"/>
          <w:color w:val="000000" w:themeColor="text1"/>
          <w:highlight w:val="none"/>
          <w14:textFill>
            <w14:solidFill>
              <w14:schemeClr w14:val="tx1"/>
            </w14:solidFill>
          </w14:textFill>
        </w:rPr>
      </w:pPr>
    </w:p>
    <w:p w14:paraId="5356F0FD">
      <w:pPr>
        <w:rPr>
          <w:color w:val="000000" w:themeColor="text1"/>
          <w:highlight w:val="none"/>
          <w14:textFill>
            <w14:solidFill>
              <w14:schemeClr w14:val="tx1"/>
            </w14:solidFill>
          </w14:textFill>
        </w:rPr>
      </w:pPr>
    </w:p>
    <w:p w14:paraId="667147F7">
      <w:pPr>
        <w:pStyle w:val="3"/>
        <w:spacing w:line="360" w:lineRule="auto"/>
        <w:jc w:val="center"/>
        <w:rPr>
          <w:rFonts w:ascii="宋体" w:hAnsi="宋体" w:cs="宋体"/>
          <w:snapToGrid w:val="0"/>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 xml:space="preserve"> </w:t>
      </w:r>
      <w:bookmarkStart w:id="1102" w:name="_Toc32348"/>
      <w:bookmarkStart w:id="1103" w:name="_Toc3824"/>
      <w:bookmarkStart w:id="1104" w:name="_Toc1985"/>
      <w:r>
        <w:rPr>
          <w:rFonts w:hint="eastAsia" w:ascii="宋体" w:hAnsi="宋体" w:cs="宋体"/>
          <w:color w:val="000000" w:themeColor="text1"/>
          <w:kern w:val="0"/>
          <w:sz w:val="36"/>
          <w:szCs w:val="36"/>
          <w:highlight w:val="none"/>
          <w14:textFill>
            <w14:solidFill>
              <w14:schemeClr w14:val="tx1"/>
            </w14:solidFill>
          </w14:textFill>
        </w:rPr>
        <w:t xml:space="preserve">第五章 </w:t>
      </w:r>
      <w:r>
        <w:rPr>
          <w:rFonts w:hint="eastAsia" w:ascii="宋体" w:hAnsi="宋体" w:cs="宋体"/>
          <w:snapToGrid w:val="0"/>
          <w:color w:val="000000" w:themeColor="text1"/>
          <w:kern w:val="0"/>
          <w:sz w:val="36"/>
          <w:szCs w:val="36"/>
          <w:highlight w:val="none"/>
          <w14:textFill>
            <w14:solidFill>
              <w14:schemeClr w14:val="tx1"/>
            </w14:solidFill>
          </w14:textFill>
        </w:rPr>
        <w:t>工程量清单</w:t>
      </w:r>
      <w:bookmarkEnd w:id="707"/>
      <w:bookmarkEnd w:id="708"/>
      <w:bookmarkEnd w:id="709"/>
      <w:bookmarkEnd w:id="710"/>
      <w:bookmarkEnd w:id="711"/>
      <w:bookmarkEnd w:id="1102"/>
      <w:bookmarkEnd w:id="1103"/>
      <w:bookmarkEnd w:id="1104"/>
      <w:bookmarkStart w:id="1105" w:name="招标文件05章工程量清单01"/>
      <w:bookmarkEnd w:id="1105"/>
      <w:bookmarkStart w:id="1106" w:name="_Toc224103477"/>
      <w:bookmarkStart w:id="1107" w:name="_Toc287607856"/>
      <w:bookmarkStart w:id="1108" w:name="_Toc287620798"/>
      <w:bookmarkStart w:id="1109" w:name="_Toc277082638"/>
      <w:bookmarkStart w:id="1110" w:name="_Toc430530514"/>
    </w:p>
    <w:p w14:paraId="354216F8">
      <w:pPr>
        <w:widowControl/>
        <w:jc w:val="left"/>
        <w:rPr>
          <w:rFonts w:ascii="宋体" w:hAnsi="宋体" w:cs="宋体"/>
          <w:b/>
          <w:color w:val="000000" w:themeColor="text1"/>
          <w:kern w:val="0"/>
          <w:sz w:val="43"/>
          <w:szCs w:val="43"/>
          <w:highlight w:val="none"/>
          <w14:textFill>
            <w14:solidFill>
              <w14:schemeClr w14:val="tx1"/>
            </w14:solidFill>
          </w14:textFill>
        </w:rPr>
      </w:pPr>
    </w:p>
    <w:p w14:paraId="7F51D2A0">
      <w:pPr>
        <w:widowControl/>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请各潜在</w:t>
      </w:r>
      <w:r>
        <w:rPr>
          <w:rFonts w:hint="eastAsia" w:ascii="宋体" w:hAnsi="宋体" w:cs="宋体"/>
          <w:color w:val="000000" w:themeColor="text1"/>
          <w:kern w:val="0"/>
          <w:sz w:val="24"/>
          <w:highlight w:val="none"/>
          <w:u w:val="none"/>
          <w:lang w:eastAsia="zh-CN"/>
          <w14:textFill>
            <w14:solidFill>
              <w14:schemeClr w14:val="tx1"/>
            </w14:solidFill>
          </w14:textFill>
        </w:rPr>
        <w:t>投标人在重庆市公共资源交易网（南川区）限额以下工程项目交易系统下载</w:t>
      </w:r>
      <w:r>
        <w:rPr>
          <w:rFonts w:hint="eastAsia" w:ascii="宋体" w:hAnsi="宋体" w:cs="宋体"/>
          <w:color w:val="000000" w:themeColor="text1"/>
          <w:kern w:val="0"/>
          <w:sz w:val="24"/>
          <w:highlight w:val="none"/>
          <w14:textFill>
            <w14:solidFill>
              <w14:schemeClr w14:val="tx1"/>
            </w14:solidFill>
          </w14:textFill>
        </w:rPr>
        <w:t>。</w:t>
      </w:r>
    </w:p>
    <w:p w14:paraId="67C9EE82">
      <w:pPr>
        <w:widowControl/>
        <w:jc w:val="left"/>
        <w:rPr>
          <w:rFonts w:ascii="宋体" w:hAnsi="宋体" w:cs="宋体"/>
          <w:b/>
          <w:color w:val="000000" w:themeColor="text1"/>
          <w:kern w:val="0"/>
          <w:sz w:val="43"/>
          <w:szCs w:val="43"/>
          <w:highlight w:val="none"/>
          <w14:textFill>
            <w14:solidFill>
              <w14:schemeClr w14:val="tx1"/>
            </w14:solidFill>
          </w14:textFill>
        </w:rPr>
      </w:pPr>
    </w:p>
    <w:p w14:paraId="4F0F0749">
      <w:pPr>
        <w:widowControl/>
        <w:jc w:val="left"/>
        <w:rPr>
          <w:rFonts w:ascii="宋体" w:hAnsi="宋体" w:cs="宋体"/>
          <w:b/>
          <w:color w:val="000000" w:themeColor="text1"/>
          <w:kern w:val="0"/>
          <w:sz w:val="43"/>
          <w:szCs w:val="43"/>
          <w:highlight w:val="none"/>
          <w14:textFill>
            <w14:solidFill>
              <w14:schemeClr w14:val="tx1"/>
            </w14:solidFill>
          </w14:textFill>
        </w:rPr>
      </w:pPr>
    </w:p>
    <w:p w14:paraId="669CDCE0">
      <w:pPr>
        <w:widowControl/>
        <w:jc w:val="left"/>
        <w:rPr>
          <w:rFonts w:ascii="宋体" w:hAnsi="宋体" w:cs="宋体"/>
          <w:b/>
          <w:color w:val="000000" w:themeColor="text1"/>
          <w:kern w:val="0"/>
          <w:sz w:val="43"/>
          <w:szCs w:val="43"/>
          <w:highlight w:val="none"/>
          <w14:textFill>
            <w14:solidFill>
              <w14:schemeClr w14:val="tx1"/>
            </w14:solidFill>
          </w14:textFill>
        </w:rPr>
      </w:pPr>
    </w:p>
    <w:p w14:paraId="6D7F11E9">
      <w:pPr>
        <w:widowControl/>
        <w:jc w:val="left"/>
        <w:rPr>
          <w:rFonts w:ascii="宋体" w:hAnsi="宋体" w:cs="宋体"/>
          <w:b/>
          <w:color w:val="000000" w:themeColor="text1"/>
          <w:kern w:val="0"/>
          <w:sz w:val="43"/>
          <w:szCs w:val="43"/>
          <w:highlight w:val="none"/>
          <w14:textFill>
            <w14:solidFill>
              <w14:schemeClr w14:val="tx1"/>
            </w14:solidFill>
          </w14:textFill>
        </w:rPr>
      </w:pPr>
    </w:p>
    <w:p w14:paraId="52706D62">
      <w:pPr>
        <w:widowControl/>
        <w:jc w:val="left"/>
        <w:rPr>
          <w:rFonts w:ascii="宋体" w:hAnsi="宋体" w:cs="宋体"/>
          <w:b/>
          <w:color w:val="000000" w:themeColor="text1"/>
          <w:kern w:val="0"/>
          <w:sz w:val="43"/>
          <w:szCs w:val="43"/>
          <w:highlight w:val="none"/>
          <w14:textFill>
            <w14:solidFill>
              <w14:schemeClr w14:val="tx1"/>
            </w14:solidFill>
          </w14:textFill>
        </w:rPr>
      </w:pPr>
    </w:p>
    <w:p w14:paraId="1F111F6A">
      <w:pPr>
        <w:widowControl/>
        <w:jc w:val="left"/>
        <w:rPr>
          <w:rFonts w:ascii="宋体" w:hAnsi="宋体" w:cs="宋体"/>
          <w:b/>
          <w:color w:val="000000" w:themeColor="text1"/>
          <w:kern w:val="0"/>
          <w:sz w:val="43"/>
          <w:szCs w:val="43"/>
          <w:highlight w:val="none"/>
          <w14:textFill>
            <w14:solidFill>
              <w14:schemeClr w14:val="tx1"/>
            </w14:solidFill>
          </w14:textFill>
        </w:rPr>
      </w:pPr>
    </w:p>
    <w:p w14:paraId="5DC301C7">
      <w:pPr>
        <w:widowControl/>
        <w:jc w:val="left"/>
        <w:rPr>
          <w:rFonts w:ascii="宋体" w:hAnsi="宋体" w:cs="宋体"/>
          <w:b/>
          <w:color w:val="000000" w:themeColor="text1"/>
          <w:kern w:val="0"/>
          <w:sz w:val="43"/>
          <w:szCs w:val="43"/>
          <w:highlight w:val="none"/>
          <w14:textFill>
            <w14:solidFill>
              <w14:schemeClr w14:val="tx1"/>
            </w14:solidFill>
          </w14:textFill>
        </w:rPr>
      </w:pPr>
    </w:p>
    <w:p w14:paraId="3B03C810">
      <w:pPr>
        <w:pStyle w:val="2"/>
        <w:rPr>
          <w:rFonts w:ascii="宋体" w:hAnsi="宋体" w:cs="宋体"/>
          <w:b/>
          <w:color w:val="000000" w:themeColor="text1"/>
          <w:kern w:val="0"/>
          <w:sz w:val="43"/>
          <w:szCs w:val="43"/>
          <w:highlight w:val="none"/>
          <w14:textFill>
            <w14:solidFill>
              <w14:schemeClr w14:val="tx1"/>
            </w14:solidFill>
          </w14:textFill>
        </w:rPr>
      </w:pPr>
    </w:p>
    <w:p w14:paraId="76A75728">
      <w:pPr>
        <w:pStyle w:val="66"/>
        <w:rPr>
          <w:rFonts w:ascii="宋体" w:hAnsi="宋体" w:cs="宋体"/>
          <w:b/>
          <w:color w:val="000000" w:themeColor="text1"/>
          <w:kern w:val="0"/>
          <w:sz w:val="43"/>
          <w:szCs w:val="43"/>
          <w:highlight w:val="none"/>
          <w14:textFill>
            <w14:solidFill>
              <w14:schemeClr w14:val="tx1"/>
            </w14:solidFill>
          </w14:textFill>
        </w:rPr>
      </w:pPr>
    </w:p>
    <w:p w14:paraId="0D101D13">
      <w:pPr>
        <w:rPr>
          <w:rFonts w:ascii="宋体" w:hAnsi="宋体" w:cs="宋体"/>
          <w:b/>
          <w:color w:val="000000" w:themeColor="text1"/>
          <w:kern w:val="0"/>
          <w:sz w:val="43"/>
          <w:szCs w:val="43"/>
          <w:highlight w:val="none"/>
          <w14:textFill>
            <w14:solidFill>
              <w14:schemeClr w14:val="tx1"/>
            </w14:solidFill>
          </w14:textFill>
        </w:rPr>
      </w:pPr>
    </w:p>
    <w:p w14:paraId="5C13C21D">
      <w:pPr>
        <w:pStyle w:val="2"/>
        <w:rPr>
          <w:rFonts w:ascii="宋体" w:hAnsi="宋体" w:cs="宋体"/>
          <w:b/>
          <w:color w:val="000000" w:themeColor="text1"/>
          <w:kern w:val="0"/>
          <w:sz w:val="43"/>
          <w:szCs w:val="43"/>
          <w:highlight w:val="none"/>
          <w14:textFill>
            <w14:solidFill>
              <w14:schemeClr w14:val="tx1"/>
            </w14:solidFill>
          </w14:textFill>
        </w:rPr>
      </w:pPr>
    </w:p>
    <w:p w14:paraId="3CB9A4DC">
      <w:pPr>
        <w:pStyle w:val="66"/>
        <w:rPr>
          <w:rFonts w:ascii="宋体" w:hAnsi="宋体" w:cs="宋体"/>
          <w:b/>
          <w:color w:val="000000" w:themeColor="text1"/>
          <w:kern w:val="0"/>
          <w:sz w:val="43"/>
          <w:szCs w:val="43"/>
          <w:highlight w:val="none"/>
          <w14:textFill>
            <w14:solidFill>
              <w14:schemeClr w14:val="tx1"/>
            </w14:solidFill>
          </w14:textFill>
        </w:rPr>
      </w:pPr>
    </w:p>
    <w:p w14:paraId="42F7E8C9">
      <w:pPr>
        <w:rPr>
          <w:rFonts w:ascii="宋体" w:hAnsi="宋体" w:cs="宋体"/>
          <w:b/>
          <w:color w:val="000000" w:themeColor="text1"/>
          <w:kern w:val="0"/>
          <w:sz w:val="43"/>
          <w:szCs w:val="43"/>
          <w:highlight w:val="none"/>
          <w14:textFill>
            <w14:solidFill>
              <w14:schemeClr w14:val="tx1"/>
            </w14:solidFill>
          </w14:textFill>
        </w:rPr>
      </w:pPr>
    </w:p>
    <w:p w14:paraId="0F597CD9">
      <w:pPr>
        <w:pStyle w:val="2"/>
        <w:rPr>
          <w:rFonts w:ascii="宋体" w:hAnsi="宋体" w:cs="宋体"/>
          <w:b/>
          <w:color w:val="000000" w:themeColor="text1"/>
          <w:kern w:val="0"/>
          <w:sz w:val="43"/>
          <w:szCs w:val="43"/>
          <w:highlight w:val="none"/>
          <w14:textFill>
            <w14:solidFill>
              <w14:schemeClr w14:val="tx1"/>
            </w14:solidFill>
          </w14:textFill>
        </w:rPr>
      </w:pPr>
    </w:p>
    <w:p w14:paraId="28435943">
      <w:pPr>
        <w:pStyle w:val="66"/>
        <w:rPr>
          <w:rFonts w:ascii="宋体" w:hAnsi="宋体" w:cs="宋体"/>
          <w:b/>
          <w:color w:val="000000" w:themeColor="text1"/>
          <w:kern w:val="0"/>
          <w:sz w:val="43"/>
          <w:szCs w:val="43"/>
          <w:highlight w:val="none"/>
          <w14:textFill>
            <w14:solidFill>
              <w14:schemeClr w14:val="tx1"/>
            </w14:solidFill>
          </w14:textFill>
        </w:rPr>
      </w:pPr>
    </w:p>
    <w:p w14:paraId="03C2D61C">
      <w:pPr>
        <w:rPr>
          <w:rFonts w:ascii="宋体" w:hAnsi="宋体" w:cs="宋体"/>
          <w:b/>
          <w:color w:val="000000" w:themeColor="text1"/>
          <w:kern w:val="0"/>
          <w:sz w:val="43"/>
          <w:szCs w:val="43"/>
          <w:highlight w:val="none"/>
          <w14:textFill>
            <w14:solidFill>
              <w14:schemeClr w14:val="tx1"/>
            </w14:solidFill>
          </w14:textFill>
        </w:rPr>
      </w:pPr>
    </w:p>
    <w:p w14:paraId="7ABBE178">
      <w:pPr>
        <w:pStyle w:val="2"/>
        <w:rPr>
          <w:rFonts w:ascii="宋体" w:hAnsi="宋体" w:cs="宋体"/>
          <w:b/>
          <w:color w:val="000000" w:themeColor="text1"/>
          <w:kern w:val="0"/>
          <w:sz w:val="43"/>
          <w:szCs w:val="43"/>
          <w:highlight w:val="none"/>
          <w14:textFill>
            <w14:solidFill>
              <w14:schemeClr w14:val="tx1"/>
            </w14:solidFill>
          </w14:textFill>
        </w:rPr>
      </w:pPr>
    </w:p>
    <w:p w14:paraId="65185A7A">
      <w:pPr>
        <w:pStyle w:val="66"/>
        <w:rPr>
          <w:rFonts w:ascii="宋体" w:hAnsi="宋体" w:cs="宋体"/>
          <w:b/>
          <w:color w:val="000000" w:themeColor="text1"/>
          <w:kern w:val="0"/>
          <w:sz w:val="43"/>
          <w:szCs w:val="43"/>
          <w:highlight w:val="none"/>
          <w14:textFill>
            <w14:solidFill>
              <w14:schemeClr w14:val="tx1"/>
            </w14:solidFill>
          </w14:textFill>
        </w:rPr>
      </w:pPr>
    </w:p>
    <w:p w14:paraId="63B7845D">
      <w:pPr>
        <w:rPr>
          <w:rFonts w:ascii="宋体" w:hAnsi="宋体" w:cs="宋体"/>
          <w:b/>
          <w:color w:val="000000" w:themeColor="text1"/>
          <w:kern w:val="0"/>
          <w:sz w:val="43"/>
          <w:szCs w:val="43"/>
          <w:highlight w:val="none"/>
          <w14:textFill>
            <w14:solidFill>
              <w14:schemeClr w14:val="tx1"/>
            </w14:solidFill>
          </w14:textFill>
        </w:rPr>
      </w:pPr>
    </w:p>
    <w:p w14:paraId="7172A439">
      <w:pPr>
        <w:pStyle w:val="3"/>
        <w:spacing w:line="360" w:lineRule="auto"/>
        <w:jc w:val="center"/>
        <w:rPr>
          <w:rFonts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 xml:space="preserve"> </w:t>
      </w:r>
      <w:bookmarkStart w:id="1111" w:name="_Toc27371"/>
      <w:bookmarkStart w:id="1112" w:name="_Toc5659"/>
      <w:bookmarkStart w:id="1113" w:name="_Toc9351"/>
      <w:r>
        <w:rPr>
          <w:rFonts w:hint="eastAsia" w:ascii="宋体" w:hAnsi="宋体" w:cs="宋体"/>
          <w:color w:val="000000" w:themeColor="text1"/>
          <w:kern w:val="0"/>
          <w:sz w:val="36"/>
          <w:szCs w:val="36"/>
          <w:highlight w:val="none"/>
          <w14:textFill>
            <w14:solidFill>
              <w14:schemeClr w14:val="tx1"/>
            </w14:solidFill>
          </w14:textFill>
        </w:rPr>
        <w:t xml:space="preserve">第六章 </w:t>
      </w:r>
      <w:bookmarkEnd w:id="1111"/>
      <w:bookmarkEnd w:id="1112"/>
      <w:bookmarkEnd w:id="1113"/>
      <w:r>
        <w:rPr>
          <w:rFonts w:hint="eastAsia" w:ascii="宋体" w:hAnsi="宋体" w:eastAsia="宋体" w:cs="宋体"/>
          <w:color w:val="000000" w:themeColor="text1"/>
          <w:kern w:val="0"/>
          <w:sz w:val="36"/>
          <w:szCs w:val="36"/>
          <w:highlight w:val="none"/>
          <w14:textFill>
            <w14:solidFill>
              <w14:schemeClr w14:val="tx1"/>
            </w14:solidFill>
          </w14:textFill>
        </w:rPr>
        <w:t xml:space="preserve"> 图纸</w:t>
      </w:r>
    </w:p>
    <w:p w14:paraId="420A8351">
      <w:pPr>
        <w:pStyle w:val="2"/>
        <w:rPr>
          <w:rFonts w:ascii="宋体" w:hAnsi="宋体" w:cs="宋体"/>
          <w:color w:val="000000" w:themeColor="text1"/>
          <w:highlight w:val="none"/>
          <w14:textFill>
            <w14:solidFill>
              <w14:schemeClr w14:val="tx1"/>
            </w14:solidFill>
          </w14:textFill>
        </w:rPr>
      </w:pPr>
    </w:p>
    <w:p w14:paraId="2D12CDE6">
      <w:pPr>
        <w:pStyle w:val="66"/>
        <w:rPr>
          <w:rFonts w:ascii="宋体" w:hAnsi="宋体" w:cs="宋体"/>
          <w:color w:val="000000" w:themeColor="text1"/>
          <w:highlight w:val="none"/>
          <w14:textFill>
            <w14:solidFill>
              <w14:schemeClr w14:val="tx1"/>
            </w14:solidFill>
          </w14:textFill>
        </w:rPr>
      </w:pPr>
    </w:p>
    <w:p w14:paraId="2007BF6E">
      <w:pPr>
        <w:widowControl/>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请各潜在</w:t>
      </w:r>
      <w:r>
        <w:rPr>
          <w:rFonts w:hint="eastAsia" w:ascii="宋体" w:hAnsi="宋体" w:cs="宋体"/>
          <w:color w:val="000000" w:themeColor="text1"/>
          <w:kern w:val="0"/>
          <w:sz w:val="24"/>
          <w:highlight w:val="none"/>
          <w:u w:val="none"/>
          <w:lang w:eastAsia="zh-CN"/>
          <w14:textFill>
            <w14:solidFill>
              <w14:schemeClr w14:val="tx1"/>
            </w14:solidFill>
          </w14:textFill>
        </w:rPr>
        <w:t>投标人在重庆市公共资源交易网（南川区）限额以下工程项目交易系统下载。</w:t>
      </w:r>
    </w:p>
    <w:p w14:paraId="1DA94389">
      <w:pPr>
        <w:rPr>
          <w:rFonts w:ascii="宋体" w:hAnsi="宋体" w:cs="宋体"/>
          <w:color w:val="000000" w:themeColor="text1"/>
          <w:highlight w:val="none"/>
          <w14:textFill>
            <w14:solidFill>
              <w14:schemeClr w14:val="tx1"/>
            </w14:solidFill>
          </w14:textFill>
        </w:rPr>
      </w:pPr>
    </w:p>
    <w:bookmarkEnd w:id="1106"/>
    <w:bookmarkEnd w:id="1107"/>
    <w:bookmarkEnd w:id="1108"/>
    <w:bookmarkEnd w:id="1109"/>
    <w:bookmarkEnd w:id="1110"/>
    <w:p w14:paraId="6A6620E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98D03D">
      <w:pPr>
        <w:pStyle w:val="2"/>
        <w:rPr>
          <w:rFonts w:ascii="宋体" w:hAnsi="宋体" w:cs="宋体"/>
          <w:color w:val="000000" w:themeColor="text1"/>
          <w:highlight w:val="none"/>
          <w14:textFill>
            <w14:solidFill>
              <w14:schemeClr w14:val="tx1"/>
            </w14:solidFill>
          </w14:textFill>
        </w:rPr>
      </w:pPr>
    </w:p>
    <w:p w14:paraId="2FBE9230">
      <w:pPr>
        <w:ind w:right="56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1A523E39">
      <w:pPr>
        <w:pStyle w:val="3"/>
        <w:spacing w:line="360" w:lineRule="auto"/>
        <w:jc w:val="center"/>
        <w:rPr>
          <w:rFonts w:ascii="宋体" w:hAnsi="宋体" w:cs="宋体"/>
          <w:color w:val="000000" w:themeColor="text1"/>
          <w:kern w:val="0"/>
          <w:sz w:val="36"/>
          <w:szCs w:val="36"/>
          <w:highlight w:val="none"/>
          <w14:textFill>
            <w14:solidFill>
              <w14:schemeClr w14:val="tx1"/>
            </w14:solidFill>
          </w14:textFill>
        </w:rPr>
      </w:pPr>
      <w:bookmarkStart w:id="1114" w:name="招标文件06章图纸"/>
      <w:bookmarkEnd w:id="1114"/>
      <w:bookmarkStart w:id="1115" w:name="_Toc509218846"/>
      <w:bookmarkStart w:id="1116" w:name="_Toc430530519"/>
      <w:bookmarkStart w:id="1117" w:name="_Toc287620803"/>
      <w:bookmarkStart w:id="1118" w:name="_Toc287607861"/>
      <w:bookmarkStart w:id="1119" w:name="_Toc534185825"/>
      <w:bookmarkStart w:id="1120" w:name="_Toc31301"/>
      <w:bookmarkStart w:id="1121" w:name="_Toc30904"/>
      <w:bookmarkStart w:id="1122" w:name="_Toc24785"/>
      <w:r>
        <w:rPr>
          <w:rFonts w:hint="eastAsia" w:ascii="宋体" w:hAnsi="宋体" w:cs="宋体"/>
          <w:color w:val="000000" w:themeColor="text1"/>
          <w:kern w:val="0"/>
          <w:sz w:val="36"/>
          <w:szCs w:val="36"/>
          <w:highlight w:val="none"/>
          <w14:textFill>
            <w14:solidFill>
              <w14:schemeClr w14:val="tx1"/>
            </w14:solidFill>
          </w14:textFill>
        </w:rPr>
        <w:t xml:space="preserve">第七章  </w:t>
      </w:r>
      <w:bookmarkEnd w:id="1115"/>
      <w:bookmarkEnd w:id="1116"/>
      <w:bookmarkEnd w:id="1117"/>
      <w:bookmarkEnd w:id="1118"/>
      <w:bookmarkEnd w:id="1119"/>
      <w:bookmarkStart w:id="1123" w:name="招标文件06章图纸01"/>
      <w:bookmarkEnd w:id="1123"/>
      <w:bookmarkStart w:id="1124" w:name="招标文件07章技术标准和要求"/>
      <w:bookmarkEnd w:id="1124"/>
      <w:r>
        <w:rPr>
          <w:rFonts w:hint="eastAsia" w:ascii="宋体" w:hAnsi="宋体" w:cs="宋体"/>
          <w:color w:val="000000" w:themeColor="text1"/>
          <w:kern w:val="0"/>
          <w:sz w:val="36"/>
          <w:szCs w:val="36"/>
          <w:highlight w:val="none"/>
          <w14:textFill>
            <w14:solidFill>
              <w14:schemeClr w14:val="tx1"/>
            </w14:solidFill>
          </w14:textFill>
        </w:rPr>
        <w:t>技术标准和要求</w:t>
      </w:r>
      <w:bookmarkEnd w:id="1120"/>
      <w:bookmarkEnd w:id="1121"/>
      <w:bookmarkEnd w:id="1122"/>
      <w:bookmarkStart w:id="1125" w:name="招标文件07章技术标准和要求01"/>
      <w:bookmarkEnd w:id="1125"/>
      <w:bookmarkStart w:id="1126" w:name="_Toc430530524"/>
      <w:bookmarkStart w:id="1127" w:name="_Toc287620808"/>
    </w:p>
    <w:bookmarkEnd w:id="1126"/>
    <w:bookmarkEnd w:id="1127"/>
    <w:p w14:paraId="60ACE6A8">
      <w:pPr>
        <w:spacing w:line="400" w:lineRule="exact"/>
        <w:ind w:firstLine="420" w:firstLineChars="200"/>
        <w:jc w:val="left"/>
        <w:rPr>
          <w:rFonts w:ascii="宋体" w:hAnsi="宋体" w:cs="宋体"/>
          <w:color w:val="000000" w:themeColor="text1"/>
          <w:highlight w:val="none"/>
          <w14:textFill>
            <w14:solidFill>
              <w14:schemeClr w14:val="tx1"/>
            </w14:solidFill>
          </w14:textFill>
        </w:rPr>
      </w:pPr>
    </w:p>
    <w:p w14:paraId="04AEC3EF">
      <w:pPr>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1、满足符合国家、行业、重庆市最新相关技术标准、规范、规程要求。</w:t>
      </w:r>
    </w:p>
    <w:p w14:paraId="1C4E4C78">
      <w:pPr>
        <w:spacing w:line="360" w:lineRule="exact"/>
        <w:ind w:firstLine="638" w:firstLineChars="30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2、在合同履行期间，若工程适用的技术标准或规范有修改或重新颁布，应遵守执行。</w:t>
      </w:r>
    </w:p>
    <w:p w14:paraId="1A321823">
      <w:pPr>
        <w:ind w:firstLine="630" w:firstLineChars="30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Cs w:val="21"/>
          <w:highlight w:val="none"/>
          <w:lang w:eastAsia="zh-CN"/>
          <w14:textFill>
            <w14:solidFill>
              <w14:schemeClr w14:val="tx1"/>
            </w14:solidFill>
          </w14:textFill>
        </w:rPr>
        <w:t>技术要求：</w:t>
      </w:r>
      <w:r>
        <w:rPr>
          <w:rFonts w:hint="eastAsia" w:ascii="宋体" w:hAnsi="宋体" w:cs="宋体"/>
          <w:bCs/>
          <w:color w:val="000000" w:themeColor="text1"/>
          <w:szCs w:val="21"/>
          <w:highlight w:val="none"/>
          <w:lang w:val="en-US" w:eastAsia="zh-CN"/>
          <w14:textFill>
            <w14:solidFill>
              <w14:schemeClr w14:val="tx1"/>
            </w14:solidFill>
          </w14:textFill>
        </w:rPr>
        <w:t>详见工程量清单和施工图纸(如有）</w:t>
      </w:r>
    </w:p>
    <w:p w14:paraId="6B6B491A">
      <w:pPr>
        <w:pStyle w:val="2"/>
        <w:rPr>
          <w:rFonts w:ascii="宋体" w:hAnsi="宋体" w:cs="宋体"/>
          <w:color w:val="000000" w:themeColor="text1"/>
          <w:highlight w:val="none"/>
          <w14:textFill>
            <w14:solidFill>
              <w14:schemeClr w14:val="tx1"/>
            </w14:solidFill>
          </w14:textFill>
        </w:rPr>
      </w:pPr>
    </w:p>
    <w:p w14:paraId="322F1FAE">
      <w:pPr>
        <w:pStyle w:val="2"/>
        <w:rPr>
          <w:rFonts w:ascii="宋体" w:hAnsi="宋体" w:cs="宋体"/>
          <w:color w:val="000000" w:themeColor="text1"/>
          <w:highlight w:val="none"/>
          <w14:textFill>
            <w14:solidFill>
              <w14:schemeClr w14:val="tx1"/>
            </w14:solidFill>
          </w14:textFill>
        </w:rPr>
      </w:pPr>
    </w:p>
    <w:p w14:paraId="488729E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1AB1933">
      <w:pPr>
        <w:pStyle w:val="3"/>
        <w:spacing w:line="360" w:lineRule="auto"/>
        <w:jc w:val="center"/>
        <w:rPr>
          <w:rFonts w:ascii="宋体" w:hAnsi="宋体" w:cs="宋体"/>
          <w:color w:val="000000" w:themeColor="text1"/>
          <w:kern w:val="0"/>
          <w:sz w:val="36"/>
          <w:szCs w:val="36"/>
          <w:highlight w:val="none"/>
          <w14:textFill>
            <w14:solidFill>
              <w14:schemeClr w14:val="tx1"/>
            </w14:solidFill>
          </w14:textFill>
        </w:rPr>
      </w:pPr>
      <w:bookmarkStart w:id="1128" w:name="招标文件08章投标文件格式"/>
      <w:bookmarkEnd w:id="1128"/>
      <w:bookmarkStart w:id="1129" w:name="_Toc534185829"/>
      <w:bookmarkStart w:id="1130" w:name="_Toc287607865"/>
      <w:bookmarkStart w:id="1131" w:name="_Toc287620812"/>
      <w:bookmarkStart w:id="1132" w:name="_Toc430530528"/>
      <w:bookmarkStart w:id="1133" w:name="_Toc4469"/>
      <w:bookmarkStart w:id="1134" w:name="_Toc32596"/>
      <w:bookmarkStart w:id="1135" w:name="_Toc509218852"/>
      <w:bookmarkStart w:id="1136" w:name="_Toc403"/>
      <w:r>
        <w:rPr>
          <w:rFonts w:hint="eastAsia" w:ascii="宋体" w:hAnsi="宋体" w:cs="宋体"/>
          <w:color w:val="000000" w:themeColor="text1"/>
          <w:kern w:val="0"/>
          <w:sz w:val="36"/>
          <w:szCs w:val="36"/>
          <w:highlight w:val="none"/>
          <w14:textFill>
            <w14:solidFill>
              <w14:schemeClr w14:val="tx1"/>
            </w14:solidFill>
          </w14:textFill>
        </w:rPr>
        <w:t>第八章  投标文件格式</w:t>
      </w:r>
      <w:bookmarkEnd w:id="1129"/>
      <w:bookmarkEnd w:id="1130"/>
      <w:bookmarkEnd w:id="1131"/>
      <w:bookmarkEnd w:id="1132"/>
      <w:bookmarkEnd w:id="1133"/>
      <w:bookmarkEnd w:id="1134"/>
      <w:bookmarkEnd w:id="1135"/>
      <w:bookmarkEnd w:id="1136"/>
    </w:p>
    <w:p w14:paraId="65931B97">
      <w:pPr>
        <w:spacing w:line="360" w:lineRule="auto"/>
        <w:rPr>
          <w:rFonts w:ascii="宋体" w:hAnsi="宋体" w:cs="宋体"/>
          <w:color w:val="000000" w:themeColor="text1"/>
          <w:sz w:val="32"/>
          <w:szCs w:val="32"/>
          <w:highlight w:val="none"/>
          <w14:textFill>
            <w14:solidFill>
              <w14:schemeClr w14:val="tx1"/>
            </w14:solidFill>
          </w14:textFill>
        </w:rPr>
      </w:pPr>
    </w:p>
    <w:p w14:paraId="5A608F46">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br w:type="page"/>
      </w:r>
      <w:bookmarkStart w:id="1137" w:name="_Toc224103493"/>
      <w:r>
        <w:rPr>
          <w:rFonts w:hint="eastAsia" w:ascii="宋体" w:hAnsi="宋体" w:cs="宋体"/>
          <w:b/>
          <w:bCs/>
          <w:color w:val="000000" w:themeColor="text1"/>
          <w:sz w:val="36"/>
          <w:szCs w:val="36"/>
          <w:highlight w:val="none"/>
          <w14:textFill>
            <w14:solidFill>
              <w14:schemeClr w14:val="tx1"/>
            </w14:solidFill>
          </w14:textFill>
        </w:rPr>
        <w:t>目  录</w:t>
      </w:r>
      <w:bookmarkEnd w:id="1137"/>
    </w:p>
    <w:p w14:paraId="38A240CC">
      <w:pPr>
        <w:spacing w:line="360" w:lineRule="auto"/>
        <w:jc w:val="center"/>
        <w:rPr>
          <w:rFonts w:ascii="宋体" w:hAnsi="宋体" w:cs="宋体"/>
          <w:color w:val="000000" w:themeColor="text1"/>
          <w:szCs w:val="20"/>
          <w:highlight w:val="none"/>
          <w14:textFill>
            <w14:solidFill>
              <w14:schemeClr w14:val="tx1"/>
            </w14:solidFill>
          </w14:textFill>
        </w:rPr>
      </w:pPr>
    </w:p>
    <w:p w14:paraId="1C13125C">
      <w:pPr>
        <w:spacing w:line="360" w:lineRule="auto"/>
        <w:outlineLvl w:val="1"/>
        <w:rPr>
          <w:rFonts w:ascii="宋体" w:hAnsi="宋体" w:cs="宋体"/>
          <w:b/>
          <w:color w:val="000000" w:themeColor="text1"/>
          <w:highlight w:val="none"/>
          <w14:textFill>
            <w14:solidFill>
              <w14:schemeClr w14:val="tx1"/>
            </w14:solidFill>
          </w14:textFill>
        </w:rPr>
      </w:pPr>
      <w:bookmarkStart w:id="1138" w:name="_Toc18364"/>
      <w:bookmarkStart w:id="1139" w:name="_Toc68"/>
      <w:r>
        <w:rPr>
          <w:rFonts w:hint="eastAsia" w:ascii="宋体" w:hAnsi="宋体" w:cs="宋体"/>
          <w:b/>
          <w:color w:val="000000" w:themeColor="text1"/>
          <w:highlight w:val="none"/>
          <w14:textFill>
            <w14:solidFill>
              <w14:schemeClr w14:val="tx1"/>
            </w14:solidFill>
          </w14:textFill>
        </w:rPr>
        <w:t>一、投标函部分</w:t>
      </w:r>
      <w:bookmarkEnd w:id="1138"/>
      <w:bookmarkEnd w:id="1139"/>
    </w:p>
    <w:p w14:paraId="6750340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（一）投标函</w:t>
      </w:r>
    </w:p>
    <w:p w14:paraId="29BC91B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（二）投标函附录</w:t>
      </w:r>
    </w:p>
    <w:p w14:paraId="173D54FC">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（三）法定代表人身份证明或附有法定代表人身份证明的授权委托书</w:t>
      </w:r>
    </w:p>
    <w:p w14:paraId="51E5A507">
      <w:pPr>
        <w:spacing w:line="360" w:lineRule="auto"/>
        <w:outlineLvl w:val="1"/>
        <w:rPr>
          <w:rFonts w:ascii="宋体" w:hAnsi="宋体" w:cs="宋体"/>
          <w:b/>
          <w:color w:val="000000" w:themeColor="text1"/>
          <w:highlight w:val="none"/>
          <w14:textFill>
            <w14:solidFill>
              <w14:schemeClr w14:val="tx1"/>
            </w14:solidFill>
          </w14:textFill>
        </w:rPr>
      </w:pPr>
      <w:bookmarkStart w:id="1140" w:name="_Toc4301"/>
      <w:bookmarkStart w:id="1141" w:name="_Toc16933"/>
      <w:r>
        <w:rPr>
          <w:rFonts w:hint="eastAsia" w:ascii="宋体" w:hAnsi="宋体" w:cs="宋体"/>
          <w:b/>
          <w:color w:val="000000" w:themeColor="text1"/>
          <w:highlight w:val="none"/>
          <w14:textFill>
            <w14:solidFill>
              <w14:schemeClr w14:val="tx1"/>
            </w14:solidFill>
          </w14:textFill>
        </w:rPr>
        <w:t>二、经济部分</w:t>
      </w:r>
      <w:bookmarkEnd w:id="1140"/>
      <w:bookmarkEnd w:id="1141"/>
    </w:p>
    <w:p w14:paraId="2C2DBCE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已标价工程量清单</w:t>
      </w:r>
    </w:p>
    <w:p w14:paraId="0C99330F">
      <w:pPr>
        <w:spacing w:line="360" w:lineRule="auto"/>
        <w:outlineLvl w:val="1"/>
        <w:rPr>
          <w:rFonts w:hint="eastAsia" w:ascii="宋体" w:hAnsi="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三、</w:t>
      </w:r>
      <w:r>
        <w:rPr>
          <w:rFonts w:hint="eastAsia" w:ascii="宋体" w:hAnsi="宋体" w:cs="宋体"/>
          <w:b/>
          <w:color w:val="000000" w:themeColor="text1"/>
          <w:highlight w:val="none"/>
          <w:lang w:eastAsia="zh-CN"/>
          <w14:textFill>
            <w14:solidFill>
              <w14:schemeClr w14:val="tx1"/>
            </w14:solidFill>
          </w14:textFill>
        </w:rPr>
        <w:t>技术部分</w:t>
      </w:r>
    </w:p>
    <w:p w14:paraId="16F3EFAB">
      <w:pPr>
        <w:spacing w:line="360" w:lineRule="auto"/>
        <w:outlineLvl w:val="1"/>
        <w:rPr>
          <w:rFonts w:ascii="宋体" w:hAnsi="宋体" w:cs="宋体"/>
          <w:b/>
          <w:color w:val="000000" w:themeColor="text1"/>
          <w:highlight w:val="none"/>
          <w14:textFill>
            <w14:solidFill>
              <w14:schemeClr w14:val="tx1"/>
            </w14:solidFill>
          </w14:textFill>
        </w:rPr>
      </w:pPr>
      <w:bookmarkStart w:id="1142" w:name="_Toc27025"/>
      <w:bookmarkStart w:id="1143" w:name="_Toc6679"/>
      <w:r>
        <w:rPr>
          <w:rFonts w:hint="eastAsia" w:ascii="宋体" w:hAnsi="宋体" w:cs="宋体"/>
          <w:b/>
          <w:color w:val="000000" w:themeColor="text1"/>
          <w:highlight w:val="none"/>
          <w:lang w:eastAsia="zh-CN"/>
          <w14:textFill>
            <w14:solidFill>
              <w14:schemeClr w14:val="tx1"/>
            </w14:solidFill>
          </w14:textFill>
        </w:rPr>
        <w:t>四</w:t>
      </w:r>
      <w:r>
        <w:rPr>
          <w:rFonts w:hint="eastAsia" w:ascii="宋体" w:hAnsi="宋体" w:cs="宋体"/>
          <w:b/>
          <w:color w:val="000000" w:themeColor="text1"/>
          <w:highlight w:val="none"/>
          <w14:textFill>
            <w14:solidFill>
              <w14:schemeClr w14:val="tx1"/>
            </w14:solidFill>
          </w14:textFill>
        </w:rPr>
        <w:t>、资格审查部分</w:t>
      </w:r>
      <w:bookmarkEnd w:id="1142"/>
      <w:bookmarkEnd w:id="1143"/>
    </w:p>
    <w:p w14:paraId="202E766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（一）法定代表人身份证明或附有法定代表人身份证明的授权委托书</w:t>
      </w:r>
    </w:p>
    <w:p w14:paraId="34F179C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基本情况表</w:t>
      </w:r>
    </w:p>
    <w:p w14:paraId="488C90F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（三）项目管理机构</w:t>
      </w:r>
    </w:p>
    <w:p w14:paraId="6B6C04B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（四）承诺</w:t>
      </w:r>
    </w:p>
    <w:p w14:paraId="2206449C">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五</w:t>
      </w:r>
      <w:r>
        <w:rPr>
          <w:rFonts w:hint="eastAsia" w:ascii="宋体" w:hAnsi="宋体" w:cs="宋体"/>
          <w:color w:val="000000" w:themeColor="text1"/>
          <w:highlight w:val="none"/>
          <w14:textFill>
            <w14:solidFill>
              <w14:schemeClr w14:val="tx1"/>
            </w14:solidFill>
          </w14:textFill>
        </w:rPr>
        <w:t>）其他资料</w:t>
      </w:r>
    </w:p>
    <w:p w14:paraId="68B0F638">
      <w:pPr>
        <w:pStyle w:val="2"/>
        <w:rPr>
          <w:color w:val="000000" w:themeColor="text1"/>
          <w:highlight w:val="none"/>
          <w14:textFill>
            <w14:solidFill>
              <w14:schemeClr w14:val="tx1"/>
            </w14:solidFill>
          </w14:textFill>
        </w:rPr>
      </w:pPr>
    </w:p>
    <w:p w14:paraId="5966B5C2">
      <w:pPr>
        <w:autoSpaceDE w:val="0"/>
        <w:autoSpaceDN w:val="0"/>
        <w:adjustRightInd w:val="0"/>
        <w:spacing w:line="276" w:lineRule="auto"/>
        <w:ind w:right="-23"/>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br w:type="page"/>
      </w:r>
      <w:bookmarkStart w:id="1144" w:name="_Toc277082642"/>
      <w:bookmarkStart w:id="1145" w:name="_Toc287607866"/>
      <w:bookmarkStart w:id="1146" w:name="_Toc287620813"/>
      <w:bookmarkStart w:id="1147" w:name="_Toc224103494"/>
      <w:bookmarkStart w:id="1148" w:name="_Toc32128"/>
      <w:bookmarkStart w:id="1149" w:name="_Toc430530529"/>
    </w:p>
    <w:p w14:paraId="70C6F443">
      <w:pPr>
        <w:autoSpaceDE w:val="0"/>
        <w:autoSpaceDN w:val="0"/>
        <w:adjustRightInd w:val="0"/>
        <w:spacing w:line="276" w:lineRule="auto"/>
        <w:ind w:right="-23"/>
        <w:jc w:val="left"/>
        <w:rPr>
          <w:rFonts w:ascii="宋体" w:hAnsi="宋体" w:cs="宋体"/>
          <w:b/>
          <w:color w:val="000000" w:themeColor="text1"/>
          <w:kern w:val="0"/>
          <w:sz w:val="24"/>
          <w:highlight w:val="none"/>
          <w14:textFill>
            <w14:solidFill>
              <w14:schemeClr w14:val="tx1"/>
            </w14:solidFill>
          </w14:textFill>
        </w:rPr>
      </w:pPr>
    </w:p>
    <w:p w14:paraId="56A6A4E4">
      <w:pPr>
        <w:autoSpaceDE w:val="0"/>
        <w:autoSpaceDN w:val="0"/>
        <w:adjustRightInd w:val="0"/>
        <w:spacing w:line="276" w:lineRule="auto"/>
        <w:ind w:right="-23"/>
        <w:jc w:val="left"/>
        <w:rPr>
          <w:rFonts w:ascii="宋体" w:hAnsi="宋体" w:cs="宋体"/>
          <w:b/>
          <w:color w:val="000000" w:themeColor="text1"/>
          <w:kern w:val="0"/>
          <w:sz w:val="24"/>
          <w:highlight w:val="none"/>
          <w14:textFill>
            <w14:solidFill>
              <w14:schemeClr w14:val="tx1"/>
            </w14:solidFill>
          </w14:textFill>
        </w:rPr>
      </w:pPr>
    </w:p>
    <w:p w14:paraId="4CD37B5B">
      <w:pPr>
        <w:autoSpaceDE w:val="0"/>
        <w:autoSpaceDN w:val="0"/>
        <w:adjustRightInd w:val="0"/>
        <w:spacing w:line="276" w:lineRule="auto"/>
        <w:ind w:right="-23"/>
        <w:jc w:val="center"/>
        <w:rPr>
          <w:rFonts w:hint="eastAsia" w:ascii="宋体" w:hAnsi="宋体" w:cs="宋体"/>
          <w:b/>
          <w:bCs/>
          <w:color w:val="000000" w:themeColor="text1"/>
          <w:sz w:val="36"/>
          <w:szCs w:val="36"/>
          <w:highlight w:val="none"/>
          <w14:textFill>
            <w14:solidFill>
              <w14:schemeClr w14:val="tx1"/>
            </w14:solidFill>
          </w14:textFill>
        </w:rPr>
      </w:pPr>
    </w:p>
    <w:p w14:paraId="5C2AB97E">
      <w:pPr>
        <w:autoSpaceDE w:val="0"/>
        <w:autoSpaceDN w:val="0"/>
        <w:adjustRightInd w:val="0"/>
        <w:spacing w:line="276" w:lineRule="auto"/>
        <w:ind w:right="-23"/>
        <w:jc w:val="center"/>
        <w:rPr>
          <w:rFonts w:ascii="宋体" w:hAnsi="宋体" w:cs="宋体"/>
          <w:b/>
          <w:bCs/>
          <w:color w:val="000000" w:themeColor="text1"/>
          <w:kern w:val="0"/>
          <w:sz w:val="36"/>
          <w:szCs w:val="36"/>
          <w:highlight w:val="none"/>
          <w:u w:val="singl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一、投标函部分</w:t>
      </w:r>
      <w:bookmarkEnd w:id="1144"/>
      <w:bookmarkEnd w:id="1145"/>
      <w:bookmarkEnd w:id="1146"/>
      <w:bookmarkEnd w:id="1147"/>
      <w:bookmarkEnd w:id="1148"/>
      <w:bookmarkEnd w:id="1149"/>
    </w:p>
    <w:p w14:paraId="3EB16611">
      <w:pPr>
        <w:widowControl/>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p>
    <w:p w14:paraId="70BC99F1">
      <w:pPr>
        <w:tabs>
          <w:tab w:val="left" w:pos="2580"/>
          <w:tab w:val="left" w:pos="5940"/>
        </w:tabs>
        <w:autoSpaceDE w:val="0"/>
        <w:autoSpaceDN w:val="0"/>
        <w:adjustRightInd w:val="0"/>
        <w:snapToGrid w:val="0"/>
        <w:spacing w:line="360" w:lineRule="auto"/>
        <w:jc w:val="left"/>
        <w:rPr>
          <w:rFonts w:ascii="宋体" w:hAnsi="宋体" w:cs="宋体"/>
          <w:color w:val="000000" w:themeColor="text1"/>
          <w:kern w:val="0"/>
          <w:sz w:val="28"/>
          <w:szCs w:val="28"/>
          <w:highlight w:val="none"/>
          <w:u w:val="single"/>
          <w14:textFill>
            <w14:solidFill>
              <w14:schemeClr w14:val="tx1"/>
            </w14:solidFill>
          </w14:textFill>
        </w:rPr>
      </w:pPr>
    </w:p>
    <w:p w14:paraId="2CED6BF7">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u w:val="single"/>
          <w14:textFill>
            <w14:solidFill>
              <w14:schemeClr w14:val="tx1"/>
            </w14:solidFill>
          </w14:textFill>
        </w:rPr>
        <w:t xml:space="preserve">                   （项目名称）</w:t>
      </w:r>
    </w:p>
    <w:p w14:paraId="272AC26D">
      <w:pPr>
        <w:tabs>
          <w:tab w:val="left" w:pos="3600"/>
          <w:tab w:val="left" w:pos="4480"/>
          <w:tab w:val="left" w:pos="5360"/>
        </w:tabs>
        <w:autoSpaceDE w:val="0"/>
        <w:autoSpaceDN w:val="0"/>
        <w:adjustRightInd w:val="0"/>
        <w:snapToGrid w:val="0"/>
        <w:spacing w:line="360" w:lineRule="auto"/>
        <w:jc w:val="left"/>
        <w:rPr>
          <w:rFonts w:ascii="宋体" w:hAnsi="宋体" w:cs="宋体"/>
          <w:color w:val="000000" w:themeColor="text1"/>
          <w:kern w:val="0"/>
          <w:sz w:val="44"/>
          <w:szCs w:val="44"/>
          <w:highlight w:val="none"/>
          <w14:textFill>
            <w14:solidFill>
              <w14:schemeClr w14:val="tx1"/>
            </w14:solidFill>
          </w14:textFill>
        </w:rPr>
      </w:pPr>
    </w:p>
    <w:p w14:paraId="565783E5">
      <w:pPr>
        <w:tabs>
          <w:tab w:val="left" w:pos="3600"/>
          <w:tab w:val="left" w:pos="4480"/>
          <w:tab w:val="left" w:pos="5360"/>
        </w:tabs>
        <w:autoSpaceDE w:val="0"/>
        <w:autoSpaceDN w:val="0"/>
        <w:adjustRightInd w:val="0"/>
        <w:snapToGrid w:val="0"/>
        <w:spacing w:line="360" w:lineRule="auto"/>
        <w:jc w:val="left"/>
        <w:rPr>
          <w:rFonts w:ascii="宋体" w:hAnsi="宋体" w:cs="宋体"/>
          <w:color w:val="000000" w:themeColor="text1"/>
          <w:kern w:val="0"/>
          <w:sz w:val="44"/>
          <w:szCs w:val="44"/>
          <w:highlight w:val="none"/>
          <w14:textFill>
            <w14:solidFill>
              <w14:schemeClr w14:val="tx1"/>
            </w14:solidFill>
          </w14:textFill>
        </w:rPr>
      </w:pPr>
    </w:p>
    <w:p w14:paraId="19269C4C">
      <w:pPr>
        <w:tabs>
          <w:tab w:val="left" w:pos="3600"/>
          <w:tab w:val="left" w:pos="4480"/>
          <w:tab w:val="left" w:pos="5360"/>
        </w:tabs>
        <w:autoSpaceDE w:val="0"/>
        <w:autoSpaceDN w:val="0"/>
        <w:adjustRightInd w:val="0"/>
        <w:snapToGrid w:val="0"/>
        <w:spacing w:line="360" w:lineRule="auto"/>
        <w:jc w:val="center"/>
        <w:rPr>
          <w:rFonts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14:textFill>
            <w14:solidFill>
              <w14:schemeClr w14:val="tx1"/>
            </w14:solidFill>
          </w14:textFill>
        </w:rPr>
        <w:t>投 标 文 件</w:t>
      </w:r>
    </w:p>
    <w:p w14:paraId="304BC53B">
      <w:pPr>
        <w:autoSpaceDE w:val="0"/>
        <w:autoSpaceDN w:val="0"/>
        <w:adjustRightInd w:val="0"/>
        <w:snapToGrid w:val="0"/>
        <w:spacing w:line="360" w:lineRule="auto"/>
        <w:jc w:val="left"/>
        <w:rPr>
          <w:rFonts w:ascii="宋体" w:hAnsi="宋体" w:cs="宋体"/>
          <w:color w:val="000000" w:themeColor="text1"/>
          <w:kern w:val="0"/>
          <w:sz w:val="16"/>
          <w:szCs w:val="16"/>
          <w:highlight w:val="none"/>
          <w14:textFill>
            <w14:solidFill>
              <w14:schemeClr w14:val="tx1"/>
            </w14:solidFill>
          </w14:textFill>
        </w:rPr>
      </w:pPr>
    </w:p>
    <w:p w14:paraId="5902C3E8">
      <w:pPr>
        <w:autoSpaceDE w:val="0"/>
        <w:autoSpaceDN w:val="0"/>
        <w:adjustRightInd w:val="0"/>
        <w:snapToGrid w:val="0"/>
        <w:spacing w:line="360" w:lineRule="auto"/>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投标函部分</w:t>
      </w:r>
    </w:p>
    <w:p w14:paraId="42E17996">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75F57042">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2E729E7E">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042F9F4B">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2DB721CE">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3ABFB01E">
      <w:pPr>
        <w:pStyle w:val="2"/>
        <w:rPr>
          <w:rFonts w:ascii="宋体" w:hAnsi="宋体" w:cs="宋体"/>
          <w:color w:val="000000" w:themeColor="text1"/>
          <w:highlight w:val="none"/>
          <w14:textFill>
            <w14:solidFill>
              <w14:schemeClr w14:val="tx1"/>
            </w14:solidFill>
          </w14:textFill>
        </w:rPr>
      </w:pPr>
    </w:p>
    <w:p w14:paraId="672AD0F6">
      <w:pPr>
        <w:rPr>
          <w:rFonts w:ascii="宋体" w:hAnsi="宋体" w:cs="宋体"/>
          <w:color w:val="000000" w:themeColor="text1"/>
          <w:highlight w:val="none"/>
          <w14:textFill>
            <w14:solidFill>
              <w14:schemeClr w14:val="tx1"/>
            </w14:solidFill>
          </w14:textFill>
        </w:rPr>
      </w:pPr>
    </w:p>
    <w:p w14:paraId="15C44287">
      <w:pPr>
        <w:pStyle w:val="2"/>
        <w:rPr>
          <w:rFonts w:ascii="宋体" w:hAnsi="宋体" w:cs="宋体"/>
          <w:color w:val="000000" w:themeColor="text1"/>
          <w:highlight w:val="none"/>
          <w14:textFill>
            <w14:solidFill>
              <w14:schemeClr w14:val="tx1"/>
            </w14:solidFill>
          </w14:textFill>
        </w:rPr>
      </w:pPr>
    </w:p>
    <w:p w14:paraId="77ECF4C6">
      <w:pPr>
        <w:rPr>
          <w:rFonts w:ascii="宋体" w:hAnsi="宋体" w:cs="宋体"/>
          <w:color w:val="000000" w:themeColor="text1"/>
          <w:highlight w:val="none"/>
          <w14:textFill>
            <w14:solidFill>
              <w14:schemeClr w14:val="tx1"/>
            </w14:solidFill>
          </w14:textFill>
        </w:rPr>
      </w:pPr>
    </w:p>
    <w:p w14:paraId="2F2CC3A6">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7D92D587">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0C084C00">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46EC67E8">
      <w:pPr>
        <w:pStyle w:val="2"/>
        <w:rPr>
          <w:rFonts w:ascii="宋体" w:hAnsi="宋体" w:cs="宋体"/>
          <w:color w:val="000000" w:themeColor="text1"/>
          <w:highlight w:val="none"/>
          <w14:textFill>
            <w14:solidFill>
              <w14:schemeClr w14:val="tx1"/>
            </w14:solidFill>
          </w14:textFill>
        </w:rPr>
      </w:pPr>
    </w:p>
    <w:p w14:paraId="270890A5">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40CED9D2">
      <w:pPr>
        <w:pStyle w:val="2"/>
        <w:rPr>
          <w:rFonts w:ascii="宋体" w:hAnsi="宋体" w:cs="宋体"/>
          <w:color w:val="000000" w:themeColor="text1"/>
          <w:highlight w:val="none"/>
          <w14:textFill>
            <w14:solidFill>
              <w14:schemeClr w14:val="tx1"/>
            </w14:solidFill>
          </w14:textFill>
        </w:rPr>
      </w:pPr>
    </w:p>
    <w:p w14:paraId="36294B11">
      <w:pPr>
        <w:rPr>
          <w:rFonts w:ascii="宋体" w:hAnsi="宋体" w:cs="宋体"/>
          <w:color w:val="000000" w:themeColor="text1"/>
          <w:highlight w:val="none"/>
          <w14:textFill>
            <w14:solidFill>
              <w14:schemeClr w14:val="tx1"/>
            </w14:solidFill>
          </w14:textFill>
        </w:rPr>
      </w:pPr>
    </w:p>
    <w:p w14:paraId="47542769">
      <w:pPr>
        <w:pStyle w:val="2"/>
        <w:rPr>
          <w:rFonts w:ascii="宋体" w:hAnsi="宋体" w:cs="宋体"/>
          <w:color w:val="000000" w:themeColor="text1"/>
          <w:highlight w:val="none"/>
          <w14:textFill>
            <w14:solidFill>
              <w14:schemeClr w14:val="tx1"/>
            </w14:solidFill>
          </w14:textFill>
        </w:rPr>
      </w:pPr>
    </w:p>
    <w:p w14:paraId="28DE6ECD">
      <w:pPr>
        <w:rPr>
          <w:rFonts w:ascii="宋体" w:hAnsi="宋体" w:cs="宋体"/>
          <w:color w:val="000000" w:themeColor="text1"/>
          <w:highlight w:val="none"/>
          <w14:textFill>
            <w14:solidFill>
              <w14:schemeClr w14:val="tx1"/>
            </w14:solidFill>
          </w14:textFill>
        </w:rPr>
      </w:pPr>
    </w:p>
    <w:p w14:paraId="78AD12E5">
      <w:pPr>
        <w:tabs>
          <w:tab w:val="left" w:pos="6080"/>
          <w:tab w:val="left" w:pos="6640"/>
        </w:tabs>
        <w:autoSpaceDE w:val="0"/>
        <w:autoSpaceDN w:val="0"/>
        <w:adjustRightInd w:val="0"/>
        <w:snapToGrid w:val="0"/>
        <w:spacing w:afterLines="50" w:line="360" w:lineRule="auto"/>
        <w:jc w:val="center"/>
        <w:rPr>
          <w:rFonts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（盖单位法人章）</w:t>
      </w:r>
    </w:p>
    <w:p w14:paraId="37B28A0F">
      <w:pPr>
        <w:tabs>
          <w:tab w:val="left" w:pos="6080"/>
          <w:tab w:val="left" w:pos="6640"/>
        </w:tabs>
        <w:autoSpaceDE w:val="0"/>
        <w:autoSpaceDN w:val="0"/>
        <w:adjustRightInd w:val="0"/>
        <w:snapToGrid w:val="0"/>
        <w:spacing w:afterLines="50"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w:t>
      </w:r>
      <w:r>
        <w:rPr>
          <w:rFonts w:hint="eastAsia" w:ascii="宋体" w:hAnsi="宋体" w:cs="宋体"/>
          <w:color w:val="000000" w:themeColor="text1"/>
          <w:w w:val="99"/>
          <w:kern w:val="0"/>
          <w:sz w:val="28"/>
          <w:szCs w:val="28"/>
          <w:highlight w:val="none"/>
          <w:lang w:eastAsia="zh-CN"/>
          <w14:textFill>
            <w14:solidFill>
              <w14:schemeClr w14:val="tx1"/>
            </w14:solidFill>
          </w14:textFill>
        </w:rPr>
        <w:t>签名或盖章</w:t>
      </w:r>
      <w:r>
        <w:rPr>
          <w:rFonts w:hint="eastAsia" w:ascii="宋体" w:hAnsi="宋体" w:cs="宋体"/>
          <w:color w:val="000000" w:themeColor="text1"/>
          <w:w w:val="99"/>
          <w:kern w:val="0"/>
          <w:sz w:val="28"/>
          <w:szCs w:val="28"/>
          <w:highlight w:val="none"/>
          <w14:textFill>
            <w14:solidFill>
              <w14:schemeClr w14:val="tx1"/>
            </w14:solidFill>
          </w14:textFill>
        </w:rPr>
        <w:t>）</w:t>
      </w:r>
    </w:p>
    <w:p w14:paraId="7D7B69D8">
      <w:pPr>
        <w:tabs>
          <w:tab w:val="left" w:pos="6080"/>
          <w:tab w:val="left" w:pos="6640"/>
        </w:tabs>
        <w:autoSpaceDE w:val="0"/>
        <w:autoSpaceDN w:val="0"/>
        <w:adjustRightInd w:val="0"/>
        <w:snapToGrid w:val="0"/>
        <w:spacing w:afterLines="50"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w:t>
      </w:r>
    </w:p>
    <w:p w14:paraId="593CEB9B">
      <w:pPr>
        <w:rPr>
          <w:rFonts w:ascii="宋体" w:hAnsi="宋体" w:cs="宋体"/>
          <w:color w:val="000000" w:themeColor="text1"/>
          <w:highlight w:val="none"/>
          <w14:textFill>
            <w14:solidFill>
              <w14:schemeClr w14:val="tx1"/>
            </w14:solidFill>
          </w14:textFill>
        </w:rPr>
      </w:pPr>
    </w:p>
    <w:p w14:paraId="2D72E21B">
      <w:pPr>
        <w:autoSpaceDE w:val="0"/>
        <w:autoSpaceDN w:val="0"/>
        <w:adjustRightInd w:val="0"/>
        <w:snapToGrid w:val="0"/>
        <w:spacing w:line="360" w:lineRule="auto"/>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  录</w:t>
      </w:r>
    </w:p>
    <w:p w14:paraId="76CC1D39">
      <w:pPr>
        <w:autoSpaceDE w:val="0"/>
        <w:autoSpaceDN w:val="0"/>
        <w:adjustRightInd w:val="0"/>
        <w:snapToGrid w:val="0"/>
        <w:spacing w:line="360" w:lineRule="auto"/>
        <w:jc w:val="left"/>
        <w:rPr>
          <w:rFonts w:ascii="宋体" w:hAnsi="宋体" w:cs="宋体"/>
          <w:color w:val="000000" w:themeColor="text1"/>
          <w:kern w:val="0"/>
          <w:sz w:val="24"/>
          <w:szCs w:val="21"/>
          <w:highlight w:val="none"/>
          <w14:textFill>
            <w14:solidFill>
              <w14:schemeClr w14:val="tx1"/>
            </w14:solidFill>
          </w14:textFill>
        </w:rPr>
      </w:pPr>
    </w:p>
    <w:p w14:paraId="5298598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（一）投标函</w:t>
      </w:r>
    </w:p>
    <w:p w14:paraId="1E7F545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（二）投标函附录</w:t>
      </w:r>
    </w:p>
    <w:p w14:paraId="04BF5AC5">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（三）法定代表人身份证明或附有法定代表人身份证明的授权委托书</w:t>
      </w:r>
    </w:p>
    <w:p w14:paraId="468F3E7F">
      <w:pPr>
        <w:pStyle w:val="2"/>
        <w:rPr>
          <w:color w:val="000000" w:themeColor="text1"/>
          <w:highlight w:val="none"/>
          <w14:textFill>
            <w14:solidFill>
              <w14:schemeClr w14:val="tx1"/>
            </w14:solidFill>
          </w14:textFill>
        </w:rPr>
      </w:pPr>
    </w:p>
    <w:p w14:paraId="552C45CA">
      <w:pPr>
        <w:pStyle w:val="5"/>
        <w:spacing w:line="240" w:lineRule="auto"/>
        <w:jc w:val="center"/>
        <w:rPr>
          <w:rFonts w:ascii="宋体" w:hAnsi="宋体" w:cs="宋体"/>
          <w:color w:val="000000" w:themeColor="text1"/>
          <w:highlight w:val="none"/>
          <w14:textFill>
            <w14:solidFill>
              <w14:schemeClr w14:val="tx1"/>
            </w14:solidFill>
          </w14:textFill>
        </w:rPr>
      </w:pPr>
      <w:bookmarkStart w:id="1150" w:name="_Toc534185831"/>
      <w:bookmarkStart w:id="1151" w:name="_Toc430530530"/>
      <w:bookmarkStart w:id="1152" w:name="_Toc287607867"/>
      <w:bookmarkStart w:id="1153" w:name="_Toc287620814"/>
      <w:bookmarkStart w:id="1154" w:name="_Toc277082643"/>
      <w:bookmarkStart w:id="1155" w:name="_Toc509218854"/>
      <w:bookmarkStart w:id="1156" w:name="_Toc224103495"/>
      <w:r>
        <w:rPr>
          <w:rFonts w:hint="eastAsia" w:ascii="宋体" w:hAnsi="宋体" w:cs="宋体"/>
          <w:color w:val="000000" w:themeColor="text1"/>
          <w:highlight w:val="none"/>
          <w14:textFill>
            <w14:solidFill>
              <w14:schemeClr w14:val="tx1"/>
            </w14:solidFill>
          </w14:textFill>
        </w:rPr>
        <w:br w:type="page"/>
      </w:r>
      <w:bookmarkEnd w:id="1150"/>
      <w:bookmarkEnd w:id="1151"/>
      <w:bookmarkEnd w:id="1152"/>
      <w:bookmarkEnd w:id="1153"/>
      <w:bookmarkEnd w:id="1154"/>
      <w:bookmarkEnd w:id="1155"/>
      <w:bookmarkEnd w:id="1156"/>
      <w:bookmarkStart w:id="1157" w:name="_Toc57820648"/>
      <w:bookmarkStart w:id="1158" w:name="_Toc4897"/>
      <w:bookmarkStart w:id="1159" w:name="_Toc509218855"/>
      <w:bookmarkStart w:id="1160" w:name="_Toc534185832"/>
      <w:bookmarkStart w:id="1161" w:name="_Toc224103496"/>
      <w:bookmarkStart w:id="1162" w:name="_Toc430530531"/>
      <w:bookmarkStart w:id="1163" w:name="_Toc287607868"/>
      <w:bookmarkStart w:id="1164" w:name="_Toc277082644"/>
      <w:bookmarkStart w:id="1165" w:name="_Toc287620815"/>
      <w:r>
        <w:rPr>
          <w:rFonts w:hint="eastAsia" w:ascii="宋体" w:hAnsi="宋体" w:cs="宋体"/>
          <w:color w:val="000000" w:themeColor="text1"/>
          <w:highlight w:val="none"/>
          <w14:textFill>
            <w14:solidFill>
              <w14:schemeClr w14:val="tx1"/>
            </w14:solidFill>
          </w14:textFill>
        </w:rPr>
        <w:t>（一）</w:t>
      </w:r>
      <w:bookmarkEnd w:id="1157"/>
      <w:r>
        <w:rPr>
          <w:rFonts w:hint="eastAsia" w:ascii="宋体" w:hAnsi="宋体" w:cs="宋体"/>
          <w:color w:val="000000" w:themeColor="text1"/>
          <w:highlight w:val="none"/>
          <w14:textFill>
            <w14:solidFill>
              <w14:schemeClr w14:val="tx1"/>
            </w14:solidFill>
          </w14:textFill>
        </w:rPr>
        <w:t>投标函</w:t>
      </w:r>
    </w:p>
    <w:p w14:paraId="7B576DCB">
      <w:pPr>
        <w:tabs>
          <w:tab w:val="left" w:pos="2640"/>
        </w:tabs>
        <w:autoSpaceDE w:val="0"/>
        <w:autoSpaceDN w:val="0"/>
        <w:adjustRightInd w:val="0"/>
        <w:spacing w:line="400" w:lineRule="exac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（比选人名称）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4FA1B8E0">
      <w:pPr>
        <w:tabs>
          <w:tab w:val="left" w:pos="2865"/>
          <w:tab w:val="left" w:pos="6390"/>
          <w:tab w:val="left" w:pos="6555"/>
          <w:tab w:val="left" w:pos="6945"/>
          <w:tab w:val="left" w:pos="8715"/>
        </w:tabs>
        <w:autoSpaceDE w:val="0"/>
        <w:autoSpaceDN w:val="0"/>
        <w:adjustRightInd w:val="0"/>
        <w:spacing w:line="400" w:lineRule="exact"/>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 我方已仔细研究了</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（项目名称）</w:t>
      </w:r>
      <w:r>
        <w:rPr>
          <w:rFonts w:hint="eastAsia" w:ascii="宋体" w:hAnsi="宋体" w:cs="宋体"/>
          <w:snapToGrid w:val="0"/>
          <w:color w:val="000000" w:themeColor="text1"/>
          <w:kern w:val="0"/>
          <w:szCs w:val="21"/>
          <w:highlight w:val="none"/>
          <w14:textFill>
            <w14:solidFill>
              <w14:schemeClr w14:val="tx1"/>
            </w14:solidFill>
          </w14:textFill>
        </w:rPr>
        <w:t>竞争性比选文件的全部内容，</w:t>
      </w:r>
      <w:r>
        <w:rPr>
          <w:rFonts w:hint="eastAsia" w:ascii="宋体" w:hAnsi="宋体"/>
          <w:snapToGrid w:val="0"/>
          <w:color w:val="000000" w:themeColor="text1"/>
          <w:kern w:val="0"/>
          <w:szCs w:val="21"/>
          <w:highlight w:val="none"/>
          <w14:textFill>
            <w14:solidFill>
              <w14:schemeClr w14:val="tx1"/>
            </w14:solidFill>
          </w14:textFill>
        </w:rPr>
        <w:t>愿意以人民币</w:t>
      </w:r>
      <w:r>
        <w:rPr>
          <w:rFonts w:hint="eastAsia" w:ascii="宋体" w:hAnsi="宋体"/>
          <w:snapToGrid w:val="0"/>
          <w:color w:val="000000" w:themeColor="text1"/>
          <w:kern w:val="0"/>
          <w:szCs w:val="21"/>
          <w:highlight w:val="none"/>
          <w:u w:val="none"/>
          <w14:textFill>
            <w14:solidFill>
              <w14:schemeClr w14:val="tx1"/>
            </w14:solidFill>
          </w14:textFill>
        </w:rPr>
        <w:t>（大写）</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的投标总报价，其中安全生产费按建筑安装工程总造价（不含设备费）的</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2.5</w:t>
      </w:r>
      <w:r>
        <w:rPr>
          <w:rFonts w:hint="eastAsia" w:ascii="宋体" w:hAnsi="宋体"/>
          <w:snapToGrid w:val="0"/>
          <w:color w:val="000000" w:themeColor="text1"/>
          <w:kern w:val="0"/>
          <w:szCs w:val="21"/>
          <w:highlight w:val="none"/>
          <w14:textFill>
            <w14:solidFill>
              <w14:schemeClr w14:val="tx1"/>
            </w14:solidFill>
          </w14:textFill>
        </w:rPr>
        <w:t>%标准计算出金额为人民币</w:t>
      </w:r>
      <w:r>
        <w:rPr>
          <w:rFonts w:hint="eastAsia" w:ascii="宋体" w:hAnsi="宋体"/>
          <w:snapToGrid w:val="0"/>
          <w:color w:val="000000" w:themeColor="text1"/>
          <w:kern w:val="0"/>
          <w:szCs w:val="21"/>
          <w:highlight w:val="none"/>
          <w:u w:val="none"/>
          <w14:textFill>
            <w14:solidFill>
              <w14:schemeClr w14:val="tx1"/>
            </w14:solidFill>
          </w14:textFill>
        </w:rPr>
        <w:t>（大写）</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，该工程项目经理为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，身份证号码为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，身份证号码为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14:textFill>
            <w14:solidFill>
              <w14:schemeClr w14:val="tx1"/>
            </w14:solidFill>
          </w14:textFill>
        </w:rPr>
        <w:t>达到</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14:textFill>
            <w14:solidFill>
              <w14:schemeClr w14:val="tx1"/>
            </w14:solidFill>
          </w14:textFill>
        </w:rPr>
        <w:t>， 按合同约定实施和完成承包工程，修补工程中的任何缺陷，工程质量</w:t>
      </w:r>
      <w:r>
        <w:rPr>
          <w:rFonts w:hint="eastAsia" w:ascii="宋体" w:hAnsi="宋体"/>
          <w:snapToGrid w:val="0"/>
          <w:color w:val="000000" w:themeColor="text1"/>
          <w:kern w:val="0"/>
          <w:szCs w:val="21"/>
          <w:highlight w:val="none"/>
          <w:u w:val="single"/>
          <w14:textFill>
            <w14:solidFill>
              <w14:schemeClr w14:val="tx1"/>
            </w14:solidFill>
          </w14:textFill>
        </w:rPr>
        <w:t>达到</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cs="宋体"/>
          <w:snapToGrid w:val="0"/>
          <w:color w:val="000000" w:themeColor="text1"/>
          <w:kern w:val="0"/>
          <w:szCs w:val="21"/>
          <w:highlight w:val="none"/>
          <w14:textFill>
            <w14:solidFill>
              <w14:schemeClr w14:val="tx1"/>
            </w14:solidFill>
          </w14:textFill>
        </w:rPr>
        <w:t>。</w:t>
      </w:r>
    </w:p>
    <w:p w14:paraId="3D16E672">
      <w:pPr>
        <w:autoSpaceDE w:val="0"/>
        <w:autoSpaceDN w:val="0"/>
        <w:adjustRightInd w:val="0"/>
        <w:spacing w:line="400" w:lineRule="exact"/>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我方承诺响应竞争性比选文件规定的投标有效期，在投标有效期内不修改、撤销投标文件。</w:t>
      </w:r>
    </w:p>
    <w:p w14:paraId="0F3F0B4F">
      <w:pPr>
        <w:tabs>
          <w:tab w:val="left" w:pos="2730"/>
          <w:tab w:val="left" w:pos="7980"/>
        </w:tabs>
        <w:autoSpaceDE w:val="0"/>
        <w:autoSpaceDN w:val="0"/>
        <w:adjustRightIn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如我方中标：</w:t>
      </w:r>
    </w:p>
    <w:p w14:paraId="0E39F32F">
      <w:pPr>
        <w:autoSpaceDE w:val="0"/>
        <w:autoSpaceDN w:val="0"/>
        <w:adjustRightInd w:val="0"/>
        <w:spacing w:line="400" w:lineRule="exact"/>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5DBE5285">
      <w:pPr>
        <w:autoSpaceDE w:val="0"/>
        <w:autoSpaceDN w:val="0"/>
        <w:adjustRightInd w:val="0"/>
        <w:spacing w:line="400" w:lineRule="exact"/>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（2）随同本《投标函》递交的《投标函》附录属于合同文件的组成部分。</w:t>
      </w:r>
    </w:p>
    <w:p w14:paraId="7C52E7B0">
      <w:pPr>
        <w:autoSpaceDE w:val="0"/>
        <w:autoSpaceDN w:val="0"/>
        <w:adjustRightInd w:val="0"/>
        <w:spacing w:line="400" w:lineRule="exact"/>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（3）我方承诺按照竞争性比选文件规定向你方递交履约担保。</w:t>
      </w:r>
    </w:p>
    <w:p w14:paraId="4D42B984">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（4）我</w:t>
      </w:r>
      <w:r>
        <w:rPr>
          <w:rFonts w:hint="eastAsia" w:ascii="宋体" w:hAnsi="宋体" w:eastAsia="宋体" w:cs="宋体"/>
          <w:snapToGrid w:val="0"/>
          <w:color w:val="000000" w:themeColor="text1"/>
          <w:kern w:val="0"/>
          <w:szCs w:val="21"/>
          <w:highlight w:val="none"/>
          <w14:textFill>
            <w14:solidFill>
              <w14:schemeClr w14:val="tx1"/>
            </w14:solidFill>
          </w14:textFill>
        </w:rPr>
        <w:t>方承诺在合同约定的期限内完成并移交全部合同工程。</w:t>
      </w:r>
    </w:p>
    <w:p w14:paraId="1280175D">
      <w:pPr>
        <w:autoSpaceDE w:val="0"/>
        <w:autoSpaceDN w:val="0"/>
        <w:adjustRightInd w:val="0"/>
        <w:spacing w:line="400" w:lineRule="exact"/>
        <w:ind w:firstLine="420" w:firstLineChars="200"/>
        <w:rPr>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（5）我方承</w:t>
      </w:r>
      <w:r>
        <w:rPr>
          <w:rFonts w:hint="eastAsia"/>
          <w:color w:val="000000" w:themeColor="text1"/>
          <w:highlight w:val="none"/>
          <w14:textFill>
            <w14:solidFill>
              <w14:schemeClr w14:val="tx1"/>
            </w14:solidFill>
          </w14:textFill>
        </w:rPr>
        <w:t>诺以不低于</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文件第七章技术标准和要求中所列的技术指标和参数要求完成全部合同工程。</w:t>
      </w:r>
    </w:p>
    <w:p w14:paraId="6DB1DEFF">
      <w:pPr>
        <w:pStyle w:val="2"/>
        <w:rPr>
          <w:rFonts w:hint="default" w:eastAsia="宋体"/>
          <w:color w:val="000000" w:themeColor="text1"/>
          <w:highlight w:val="none"/>
          <w:lang w:val="en-US" w:eastAsia="zh-CN"/>
          <w14:textFill>
            <w14:solidFill>
              <w14:schemeClr w14:val="tx1"/>
            </w14:solidFill>
          </w14:textFill>
        </w:rPr>
      </w:pPr>
    </w:p>
    <w:p w14:paraId="087813F0">
      <w:pPr>
        <w:autoSpaceDE w:val="0"/>
        <w:autoSpaceDN w:val="0"/>
        <w:adjustRightIn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w:t>
      </w:r>
      <w:r>
        <w:rPr>
          <w:rFonts w:hint="eastAsia" w:ascii="宋体" w:hAnsi="宋体" w:cs="宋体"/>
          <w:snapToGrid w:val="0"/>
          <w:color w:val="000000" w:themeColor="text1"/>
          <w:spacing w:val="-2"/>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项规定的任何一种情形。同时我方承诺接受竞争性比选文件及附件、澄清及修改通知中所有的内容。</w:t>
      </w:r>
    </w:p>
    <w:p w14:paraId="1A3730E9">
      <w:pPr>
        <w:tabs>
          <w:tab w:val="left" w:pos="5565"/>
        </w:tabs>
        <w:autoSpaceDE w:val="0"/>
        <w:autoSpaceDN w:val="0"/>
        <w:adjustRightInd w:val="0"/>
        <w:spacing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（其他补充说明）</w:t>
      </w:r>
      <w:r>
        <w:rPr>
          <w:rFonts w:hint="eastAsia" w:ascii="宋体" w:hAnsi="宋体" w:cs="宋体"/>
          <w:snapToGrid w:val="0"/>
          <w:color w:val="000000" w:themeColor="text1"/>
          <w:kern w:val="0"/>
          <w:szCs w:val="21"/>
          <w:highlight w:val="none"/>
          <w14:textFill>
            <w14:solidFill>
              <w14:schemeClr w14:val="tx1"/>
            </w14:solidFill>
          </w14:textFill>
        </w:rPr>
        <w:t>。</w:t>
      </w:r>
    </w:p>
    <w:p w14:paraId="55EDE115">
      <w:pPr>
        <w:pStyle w:val="2"/>
        <w:rPr>
          <w:color w:val="000000" w:themeColor="text1"/>
          <w:highlight w:val="none"/>
          <w14:textFill>
            <w14:solidFill>
              <w14:schemeClr w14:val="tx1"/>
            </w14:solidFill>
          </w14:textFill>
        </w:rPr>
      </w:pPr>
    </w:p>
    <w:p w14:paraId="03EA027F">
      <w:pPr>
        <w:rPr>
          <w:color w:val="000000" w:themeColor="text1"/>
          <w:highlight w:val="none"/>
          <w14:textFill>
            <w14:solidFill>
              <w14:schemeClr w14:val="tx1"/>
            </w14:solidFill>
          </w14:textFill>
        </w:rPr>
      </w:pPr>
    </w:p>
    <w:p w14:paraId="0E8F234D">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14:paraId="748A7099">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签名或盖章</w:t>
      </w:r>
      <w:r>
        <w:rPr>
          <w:rFonts w:hint="eastAsia" w:ascii="宋体" w:hAnsi="宋体" w:cs="宋体"/>
          <w:snapToGrid w:val="0"/>
          <w:color w:val="000000" w:themeColor="text1"/>
          <w:kern w:val="0"/>
          <w:szCs w:val="21"/>
          <w:highlight w:val="none"/>
          <w14:textFill>
            <w14:solidFill>
              <w14:schemeClr w14:val="tx1"/>
            </w14:solidFill>
          </w14:textFill>
        </w:rPr>
        <w:t>）</w:t>
      </w:r>
    </w:p>
    <w:p w14:paraId="2A372719">
      <w:pPr>
        <w:tabs>
          <w:tab w:val="left" w:pos="7035"/>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地址：</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11F5330A">
      <w:pPr>
        <w:tabs>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网址：</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500DDC7A">
      <w:pPr>
        <w:tabs>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单位电话（座机）：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委托代理人电话（手机）：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705BE145">
      <w:pPr>
        <w:tabs>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传真：</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52564CC8">
      <w:pPr>
        <w:tabs>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邮政编码：</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3647E820">
      <w:pPr>
        <w:tabs>
          <w:tab w:val="left" w:pos="8300"/>
        </w:tabs>
        <w:autoSpaceDE w:val="0"/>
        <w:autoSpaceDN w:val="0"/>
        <w:adjustRightInd w:val="0"/>
        <w:spacing w:line="400" w:lineRule="exact"/>
        <w:ind w:firstLine="400" w:firstLineChars="200"/>
        <w:rPr>
          <w:rFonts w:ascii="宋体" w:hAnsi="宋体" w:cs="宋体"/>
          <w:snapToGrid w:val="0"/>
          <w:color w:val="000000" w:themeColor="text1"/>
          <w:kern w:val="0"/>
          <w:sz w:val="20"/>
          <w:szCs w:val="20"/>
          <w:highlight w:val="none"/>
          <w14:textFill>
            <w14:solidFill>
              <w14:schemeClr w14:val="tx1"/>
            </w14:solidFill>
          </w14:textFill>
        </w:rPr>
      </w:pPr>
    </w:p>
    <w:p w14:paraId="12B10626">
      <w:pPr>
        <w:tabs>
          <w:tab w:val="left" w:pos="8300"/>
        </w:tabs>
        <w:autoSpaceDE w:val="0"/>
        <w:autoSpaceDN w:val="0"/>
        <w:adjustRightInd w:val="0"/>
        <w:spacing w:line="400" w:lineRule="exact"/>
        <w:ind w:firstLine="420" w:firstLineChars="200"/>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1719A72B">
      <w:pPr>
        <w:pStyle w:val="5"/>
        <w:spacing w:line="24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br w:type="page"/>
      </w:r>
      <w:bookmarkStart w:id="1166" w:name="_Toc7151"/>
      <w:bookmarkStart w:id="1167" w:name="_Toc30962"/>
      <w:bookmarkStart w:id="1168" w:name="_Toc13924"/>
      <w:r>
        <w:rPr>
          <w:rFonts w:hint="eastAsia" w:ascii="宋体" w:hAnsi="宋体" w:cs="宋体"/>
          <w:color w:val="000000" w:themeColor="text1"/>
          <w:highlight w:val="none"/>
          <w14:textFill>
            <w14:solidFill>
              <w14:schemeClr w14:val="tx1"/>
            </w14:solidFill>
          </w14:textFill>
        </w:rPr>
        <w:t>（二）投标函附录</w:t>
      </w:r>
      <w:bookmarkEnd w:id="1158"/>
      <w:bookmarkEnd w:id="1159"/>
      <w:bookmarkEnd w:id="1160"/>
      <w:bookmarkEnd w:id="1161"/>
      <w:bookmarkEnd w:id="1162"/>
      <w:bookmarkEnd w:id="1163"/>
      <w:bookmarkEnd w:id="1164"/>
      <w:bookmarkEnd w:id="1165"/>
      <w:bookmarkEnd w:id="1166"/>
      <w:bookmarkEnd w:id="1167"/>
      <w:bookmarkEnd w:id="1168"/>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5CCD6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F579C3E">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2582" w:type="dxa"/>
            <w:vAlign w:val="center"/>
          </w:tcPr>
          <w:p w14:paraId="5BAA50AB">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条款名称</w:t>
            </w:r>
          </w:p>
        </w:tc>
        <w:tc>
          <w:tcPr>
            <w:tcW w:w="2388" w:type="dxa"/>
            <w:vAlign w:val="center"/>
          </w:tcPr>
          <w:p w14:paraId="437EA296">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10306A4D">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约定内容</w:t>
            </w:r>
          </w:p>
        </w:tc>
        <w:tc>
          <w:tcPr>
            <w:tcW w:w="792" w:type="dxa"/>
            <w:vAlign w:val="center"/>
          </w:tcPr>
          <w:p w14:paraId="4B1283EB">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038057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FDE5821">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p>
        </w:tc>
        <w:tc>
          <w:tcPr>
            <w:tcW w:w="2582" w:type="dxa"/>
            <w:vAlign w:val="center"/>
          </w:tcPr>
          <w:p w14:paraId="1D6BA45A">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工期</w:t>
            </w:r>
          </w:p>
        </w:tc>
        <w:tc>
          <w:tcPr>
            <w:tcW w:w="2388" w:type="dxa"/>
            <w:vAlign w:val="center"/>
          </w:tcPr>
          <w:p w14:paraId="7729FF38">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w:t>
            </w:r>
          </w:p>
        </w:tc>
        <w:tc>
          <w:tcPr>
            <w:tcW w:w="2987" w:type="dxa"/>
            <w:vAlign w:val="center"/>
          </w:tcPr>
          <w:p w14:paraId="5550ED66">
            <w:pPr>
              <w:tabs>
                <w:tab w:val="left" w:pos="1560"/>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c>
          <w:tcPr>
            <w:tcW w:w="792" w:type="dxa"/>
            <w:vAlign w:val="center"/>
          </w:tcPr>
          <w:p w14:paraId="06421F3F">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r>
      <w:tr w14:paraId="3E5F4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F36606">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p>
        </w:tc>
        <w:tc>
          <w:tcPr>
            <w:tcW w:w="2582" w:type="dxa"/>
            <w:vAlign w:val="center"/>
          </w:tcPr>
          <w:p w14:paraId="65FFCE41">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工程质量</w:t>
            </w:r>
          </w:p>
        </w:tc>
        <w:tc>
          <w:tcPr>
            <w:tcW w:w="2388" w:type="dxa"/>
            <w:vAlign w:val="center"/>
          </w:tcPr>
          <w:p w14:paraId="7BDC57F1">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w:t>
            </w:r>
          </w:p>
        </w:tc>
        <w:tc>
          <w:tcPr>
            <w:tcW w:w="2987" w:type="dxa"/>
            <w:vAlign w:val="center"/>
          </w:tcPr>
          <w:p w14:paraId="1FDA3F89">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c>
          <w:tcPr>
            <w:tcW w:w="792" w:type="dxa"/>
            <w:vAlign w:val="center"/>
          </w:tcPr>
          <w:p w14:paraId="2B31CA53">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r>
      <w:tr w14:paraId="522182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94D0FE">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582" w:type="dxa"/>
            <w:vAlign w:val="center"/>
          </w:tcPr>
          <w:p w14:paraId="56F82A58">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388" w:type="dxa"/>
            <w:vAlign w:val="center"/>
          </w:tcPr>
          <w:p w14:paraId="56DB06CB">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987" w:type="dxa"/>
            <w:vAlign w:val="center"/>
          </w:tcPr>
          <w:p w14:paraId="2EB3DA02">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792" w:type="dxa"/>
            <w:vAlign w:val="center"/>
          </w:tcPr>
          <w:p w14:paraId="5143ADCB">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r>
      <w:tr w14:paraId="6A8F94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F69DB48">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582" w:type="dxa"/>
            <w:vAlign w:val="center"/>
          </w:tcPr>
          <w:p w14:paraId="5388AD6D">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388" w:type="dxa"/>
            <w:vAlign w:val="center"/>
          </w:tcPr>
          <w:p w14:paraId="38F14BDA">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2987" w:type="dxa"/>
            <w:vAlign w:val="center"/>
          </w:tcPr>
          <w:p w14:paraId="620C5880">
            <w:pPr>
              <w:tabs>
                <w:tab w:val="left" w:pos="2051"/>
              </w:tabs>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792" w:type="dxa"/>
            <w:vAlign w:val="center"/>
          </w:tcPr>
          <w:p w14:paraId="34BDB592">
            <w:pPr>
              <w:autoSpaceDE w:val="0"/>
              <w:autoSpaceDN w:val="0"/>
              <w:adjustRightInd w:val="0"/>
              <w:jc w:val="center"/>
              <w:rPr>
                <w:rFonts w:ascii="宋体" w:hAnsi="宋体" w:cs="宋体"/>
                <w:snapToGrid w:val="0"/>
                <w:color w:val="000000" w:themeColor="text1"/>
                <w:kern w:val="0"/>
                <w:szCs w:val="21"/>
                <w:highlight w:val="none"/>
                <w14:textFill>
                  <w14:solidFill>
                    <w14:schemeClr w14:val="tx1"/>
                  </w14:solidFill>
                </w14:textFill>
              </w:rPr>
            </w:pPr>
          </w:p>
        </w:tc>
      </w:tr>
    </w:tbl>
    <w:p w14:paraId="3037D91B">
      <w:pPr>
        <w:spacing w:line="360" w:lineRule="auto"/>
        <w:rPr>
          <w:rFonts w:ascii="宋体" w:hAnsi="宋体" w:cs="宋体"/>
          <w:snapToGrid w:val="0"/>
          <w:color w:val="000000" w:themeColor="text1"/>
          <w:w w:val="99"/>
          <w:highlight w:val="none"/>
          <w14:textFill>
            <w14:solidFill>
              <w14:schemeClr w14:val="tx1"/>
            </w14:solidFill>
          </w14:textFill>
        </w:rPr>
      </w:pPr>
    </w:p>
    <w:p w14:paraId="267A1DA7">
      <w:pPr>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3010797D">
      <w:pPr>
        <w:spacing w:line="360" w:lineRule="auto"/>
        <w:rPr>
          <w:rFonts w:ascii="宋体" w:hAnsi="宋体" w:cs="宋体"/>
          <w:snapToGrid w:val="0"/>
          <w:color w:val="000000" w:themeColor="text1"/>
          <w:highlight w:val="none"/>
          <w14:textFill>
            <w14:solidFill>
              <w14:schemeClr w14:val="tx1"/>
            </w14:solidFill>
          </w14:textFill>
        </w:rPr>
      </w:pPr>
    </w:p>
    <w:p w14:paraId="3A0A2434">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（盖单位法人章）</w:t>
      </w:r>
    </w:p>
    <w:p w14:paraId="24EED1DC">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color w:val="000000" w:themeColor="text1"/>
          <w:kern w:val="0"/>
          <w:szCs w:val="21"/>
          <w:highlight w:val="none"/>
          <w14:textFill>
            <w14:solidFill>
              <w14:schemeClr w14:val="tx1"/>
            </w14:solidFill>
          </w14:textFill>
        </w:rPr>
      </w:pPr>
    </w:p>
    <w:p w14:paraId="31AC88DD">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签名或盖章</w:t>
      </w:r>
      <w:r>
        <w:rPr>
          <w:rFonts w:hint="eastAsia" w:ascii="宋体" w:hAnsi="宋体" w:cs="宋体"/>
          <w:snapToGrid w:val="0"/>
          <w:color w:val="000000" w:themeColor="text1"/>
          <w:kern w:val="0"/>
          <w:szCs w:val="21"/>
          <w:highlight w:val="none"/>
          <w14:textFill>
            <w14:solidFill>
              <w14:schemeClr w14:val="tx1"/>
            </w14:solidFill>
          </w14:textFill>
        </w:rPr>
        <w:t>）</w:t>
      </w:r>
    </w:p>
    <w:p w14:paraId="5B1D0E6C">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color w:val="000000" w:themeColor="text1"/>
          <w:kern w:val="0"/>
          <w:szCs w:val="21"/>
          <w:highlight w:val="none"/>
          <w14:textFill>
            <w14:solidFill>
              <w14:schemeClr w14:val="tx1"/>
            </w14:solidFill>
          </w14:textFill>
        </w:rPr>
      </w:pPr>
    </w:p>
    <w:p w14:paraId="576FC7C4">
      <w:pPr>
        <w:pStyle w:val="5"/>
        <w:spacing w:line="24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br w:type="page"/>
      </w:r>
      <w:bookmarkStart w:id="1169" w:name="_Toc277082645"/>
      <w:bookmarkStart w:id="1170" w:name="_Toc6253"/>
      <w:bookmarkStart w:id="1171" w:name="_Toc16050"/>
      <w:bookmarkStart w:id="1172" w:name="_Toc287607869"/>
      <w:bookmarkStart w:id="1173" w:name="_Toc430530532"/>
      <w:bookmarkStart w:id="1174" w:name="_Toc9956"/>
      <w:bookmarkStart w:id="1175" w:name="_Toc31615"/>
      <w:bookmarkStart w:id="1176" w:name="_Toc224103497"/>
      <w:bookmarkStart w:id="1177" w:name="_Toc287620816"/>
      <w:r>
        <w:rPr>
          <w:rFonts w:hint="eastAsia" w:ascii="宋体" w:hAnsi="宋体" w:cs="宋体"/>
          <w:color w:val="000000" w:themeColor="text1"/>
          <w:highlight w:val="none"/>
          <w14:textFill>
            <w14:solidFill>
              <w14:schemeClr w14:val="tx1"/>
            </w14:solidFill>
          </w14:textFill>
        </w:rPr>
        <w:t>（三）法定代表人身份证明或附有法定代表人身份证明的授权委托书</w:t>
      </w:r>
      <w:bookmarkEnd w:id="1169"/>
      <w:bookmarkEnd w:id="1170"/>
      <w:bookmarkEnd w:id="1171"/>
      <w:bookmarkEnd w:id="1172"/>
      <w:bookmarkEnd w:id="1173"/>
      <w:bookmarkEnd w:id="1174"/>
      <w:bookmarkEnd w:id="1175"/>
      <w:bookmarkEnd w:id="1176"/>
      <w:bookmarkEnd w:id="1177"/>
    </w:p>
    <w:p w14:paraId="730EB5FE">
      <w:pPr>
        <w:pStyle w:val="5"/>
        <w:spacing w:line="24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法定代表人身份证明</w:t>
      </w:r>
    </w:p>
    <w:p w14:paraId="07432F53">
      <w:pPr>
        <w:spacing w:line="480" w:lineRule="auto"/>
        <w:jc w:val="center"/>
        <w:rPr>
          <w:rFonts w:ascii="宋体" w:hAnsi="宋体" w:cs="宋体"/>
          <w:color w:val="000000" w:themeColor="text1"/>
          <w:highlight w:val="none"/>
          <w14:textFill>
            <w14:solidFill>
              <w14:schemeClr w14:val="tx1"/>
            </w14:solidFill>
          </w14:textFill>
        </w:rPr>
      </w:pPr>
    </w:p>
    <w:p w14:paraId="3354FC5E">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39B6FFC">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B0AA542">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4FC8FF4">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 w:val="10"/>
          <w:szCs w:val="1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年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月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日</w:t>
      </w:r>
    </w:p>
    <w:p w14:paraId="62490AD1">
      <w:pPr>
        <w:tabs>
          <w:tab w:val="left" w:pos="547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138EFACA">
      <w:pPr>
        <w:tabs>
          <w:tab w:val="left" w:pos="547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632A9720">
      <w:pPr>
        <w:tabs>
          <w:tab w:val="left" w:pos="3360"/>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的法定代表人。</w:t>
      </w:r>
    </w:p>
    <w:p w14:paraId="65B87499">
      <w:pPr>
        <w:tabs>
          <w:tab w:val="left" w:pos="3360"/>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67FA0171">
      <w:pPr>
        <w:autoSpaceDE w:val="0"/>
        <w:autoSpaceDN w:val="0"/>
        <w:adjustRightInd w:val="0"/>
        <w:snapToGrid w:val="0"/>
        <w:spacing w:line="480" w:lineRule="auto"/>
        <w:ind w:firstLine="810" w:firstLineChars="3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附：法定代表人身份证明扫描件（双面）</w:t>
      </w:r>
    </w:p>
    <w:p w14:paraId="64539D60">
      <w:pPr>
        <w:autoSpaceDE w:val="0"/>
        <w:autoSpaceDN w:val="0"/>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p>
    <w:p w14:paraId="3E02DC11">
      <w:pPr>
        <w:pStyle w:val="2"/>
        <w:spacing w:line="360" w:lineRule="auto"/>
        <w:rPr>
          <w:rFonts w:ascii="宋体" w:hAnsi="宋体" w:cs="宋体"/>
          <w:color w:val="000000" w:themeColor="text1"/>
          <w:szCs w:val="21"/>
          <w:highlight w:val="none"/>
          <w14:textFill>
            <w14:solidFill>
              <w14:schemeClr w14:val="tx1"/>
            </w14:solidFill>
          </w14:textFill>
        </w:rPr>
      </w:pPr>
    </w:p>
    <w:p w14:paraId="06F8C23F">
      <w:pPr>
        <w:pStyle w:val="2"/>
        <w:spacing w:line="360" w:lineRule="auto"/>
        <w:rPr>
          <w:rFonts w:ascii="宋体" w:hAnsi="宋体" w:cs="宋体"/>
          <w:color w:val="000000" w:themeColor="text1"/>
          <w:szCs w:val="21"/>
          <w:highlight w:val="none"/>
          <w14:textFill>
            <w14:solidFill>
              <w14:schemeClr w14:val="tx1"/>
            </w14:solidFill>
          </w14:textFill>
        </w:rPr>
      </w:pPr>
    </w:p>
    <w:p w14:paraId="5E907DA0">
      <w:pPr>
        <w:pStyle w:val="2"/>
        <w:spacing w:line="360" w:lineRule="auto"/>
        <w:rPr>
          <w:rFonts w:ascii="宋体" w:hAnsi="宋体" w:cs="宋体"/>
          <w:color w:val="000000" w:themeColor="text1"/>
          <w:szCs w:val="21"/>
          <w:highlight w:val="none"/>
          <w14:textFill>
            <w14:solidFill>
              <w14:schemeClr w14:val="tx1"/>
            </w14:solidFill>
          </w14:textFill>
        </w:rPr>
      </w:pPr>
    </w:p>
    <w:p w14:paraId="1D6F064B">
      <w:pPr>
        <w:pStyle w:val="2"/>
        <w:spacing w:line="360" w:lineRule="auto"/>
        <w:rPr>
          <w:rFonts w:ascii="宋体" w:hAnsi="宋体" w:cs="宋体"/>
          <w:color w:val="000000" w:themeColor="text1"/>
          <w:szCs w:val="21"/>
          <w:highlight w:val="none"/>
          <w14:textFill>
            <w14:solidFill>
              <w14:schemeClr w14:val="tx1"/>
            </w14:solidFill>
          </w14:textFill>
        </w:rPr>
      </w:pPr>
    </w:p>
    <w:p w14:paraId="137F1C6B">
      <w:pPr>
        <w:pStyle w:val="2"/>
        <w:spacing w:line="360" w:lineRule="auto"/>
        <w:rPr>
          <w:rFonts w:ascii="宋体" w:hAnsi="宋体" w:cs="宋体"/>
          <w:color w:val="000000" w:themeColor="text1"/>
          <w:szCs w:val="21"/>
          <w:highlight w:val="none"/>
          <w14:textFill>
            <w14:solidFill>
              <w14:schemeClr w14:val="tx1"/>
            </w14:solidFill>
          </w14:textFill>
        </w:rPr>
      </w:pPr>
    </w:p>
    <w:p w14:paraId="41D0DCBF">
      <w:pPr>
        <w:tabs>
          <w:tab w:val="left" w:pos="5475"/>
        </w:tabs>
        <w:autoSpaceDE w:val="0"/>
        <w:autoSpaceDN w:val="0"/>
        <w:adjustRightInd w:val="0"/>
        <w:snapToGrid w:val="0"/>
        <w:spacing w:line="480" w:lineRule="auto"/>
        <w:ind w:firstLine="372" w:firstLineChars="186"/>
        <w:jc w:val="left"/>
        <w:rPr>
          <w:rFonts w:ascii="宋体" w:hAnsi="宋体" w:cs="宋体"/>
          <w:color w:val="000000" w:themeColor="text1"/>
          <w:kern w:val="0"/>
          <w:sz w:val="20"/>
          <w:szCs w:val="20"/>
          <w:highlight w:val="none"/>
          <w14:textFill>
            <w14:solidFill>
              <w14:schemeClr w14:val="tx1"/>
            </w14:solidFill>
          </w14:textFill>
        </w:rPr>
      </w:pPr>
    </w:p>
    <w:p w14:paraId="4F17D34B">
      <w:pPr>
        <w:tabs>
          <w:tab w:val="left" w:pos="5460"/>
        </w:tabs>
        <w:autoSpaceDE w:val="0"/>
        <w:autoSpaceDN w:val="0"/>
        <w:adjustRightInd w:val="0"/>
        <w:snapToGrid w:val="0"/>
        <w:spacing w:line="480" w:lineRule="auto"/>
        <w:ind w:firstLine="210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盖单位法人章）</w:t>
      </w:r>
    </w:p>
    <w:p w14:paraId="6694D430">
      <w:pPr>
        <w:autoSpaceDE w:val="0"/>
        <w:autoSpaceDN w:val="0"/>
        <w:adjustRightInd w:val="0"/>
        <w:snapToGrid w:val="0"/>
        <w:spacing w:line="480" w:lineRule="auto"/>
        <w:jc w:val="left"/>
        <w:rPr>
          <w:rFonts w:ascii="宋体" w:hAnsi="宋体" w:cs="宋体"/>
          <w:color w:val="000000" w:themeColor="text1"/>
          <w:kern w:val="0"/>
          <w:sz w:val="20"/>
          <w:szCs w:val="20"/>
          <w:highlight w:val="none"/>
          <w14:textFill>
            <w14:solidFill>
              <w14:schemeClr w14:val="tx1"/>
            </w14:solidFill>
          </w14:textFill>
        </w:rPr>
      </w:pPr>
    </w:p>
    <w:p w14:paraId="1E69FCD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4BEE547A">
      <w:pPr>
        <w:autoSpaceDE w:val="0"/>
        <w:autoSpaceDN w:val="0"/>
        <w:adjustRightInd w:val="0"/>
        <w:snapToGrid w:val="0"/>
        <w:spacing w:line="360" w:lineRule="auto"/>
        <w:jc w:val="left"/>
        <w:rPr>
          <w:rFonts w:ascii="宋体" w:hAnsi="宋体" w:cs="宋体"/>
          <w:color w:val="000000" w:themeColor="text1"/>
          <w:kern w:val="0"/>
          <w:highlight w:val="none"/>
          <w14:textFill>
            <w14:solidFill>
              <w14:schemeClr w14:val="tx1"/>
            </w14:solidFill>
          </w14:textFill>
        </w:rPr>
      </w:pPr>
    </w:p>
    <w:p w14:paraId="6F5EE6B9">
      <w:pPr>
        <w:autoSpaceDE w:val="0"/>
        <w:autoSpaceDN w:val="0"/>
        <w:adjustRightInd w:val="0"/>
        <w:snapToGrid w:val="0"/>
        <w:spacing w:line="360" w:lineRule="auto"/>
        <w:jc w:val="left"/>
        <w:rPr>
          <w:rFonts w:ascii="宋体" w:hAnsi="宋体" w:cs="宋体"/>
          <w:color w:val="000000" w:themeColor="text1"/>
          <w:kern w:val="0"/>
          <w:highlight w:val="none"/>
          <w14:textFill>
            <w14:solidFill>
              <w14:schemeClr w14:val="tx1"/>
            </w14:solidFill>
          </w14:textFill>
        </w:rPr>
      </w:pPr>
    </w:p>
    <w:p w14:paraId="404BC0D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62F4A644">
      <w:pPr>
        <w:spacing w:line="360" w:lineRule="auto"/>
        <w:ind w:firstLine="420" w:firstLineChars="200"/>
        <w:rPr>
          <w:rFonts w:ascii="宋体" w:hAnsi="宋体" w:cs="宋体"/>
          <w:color w:val="000000" w:themeColor="text1"/>
          <w:highlight w:val="none"/>
          <w14:textFill>
            <w14:solidFill>
              <w14:schemeClr w14:val="tx1"/>
            </w14:solidFill>
          </w14:textFill>
        </w:rPr>
      </w:pPr>
    </w:p>
    <w:p w14:paraId="3C4976EC">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授权委托书</w:t>
      </w:r>
    </w:p>
    <w:p w14:paraId="721C5AF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（姓名）</w:t>
      </w: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spacing w:val="-1"/>
          <w:kern w:val="0"/>
          <w:szCs w:val="21"/>
          <w:highlight w:val="none"/>
          <w:u w:val="single"/>
          <w:lang w:eastAsia="zh-CN"/>
          <w14:textFill>
            <w14:solidFill>
              <w14:schemeClr w14:val="tx1"/>
            </w14:solidFill>
          </w14:textFill>
        </w:rPr>
        <w:t>投标人</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spacing w:val="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的法定代</w:t>
      </w:r>
      <w:r>
        <w:rPr>
          <w:rFonts w:hint="eastAsia" w:ascii="宋体" w:hAnsi="宋体" w:cs="宋体"/>
          <w:color w:val="000000" w:themeColor="text1"/>
          <w:spacing w:val="1"/>
          <w:kern w:val="0"/>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人，现委托</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（姓名）</w:t>
      </w:r>
      <w:r>
        <w:rPr>
          <w:rFonts w:hint="eastAsia" w:ascii="宋体" w:hAnsi="宋体" w:cs="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（项</w:t>
      </w:r>
      <w:r>
        <w:rPr>
          <w:rFonts w:hint="eastAsia" w:ascii="宋体" w:hAnsi="宋体" w:cs="宋体"/>
          <w:color w:val="000000" w:themeColor="text1"/>
          <w:spacing w:val="-1"/>
          <w:kern w:val="0"/>
          <w:szCs w:val="21"/>
          <w:highlight w:val="none"/>
          <w:u w:val="single"/>
          <w14:textFill>
            <w14:solidFill>
              <w14:schemeClr w14:val="tx1"/>
            </w14:solidFill>
          </w14:textFill>
        </w:rPr>
        <w:t>目</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投标文件、签订合同和处理有关事宜， 其法律后果由我方承担。</w:t>
      </w:r>
    </w:p>
    <w:p w14:paraId="5CB8E0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w:t>
      </w:r>
      <w:r>
        <w:rPr>
          <w:rFonts w:hint="eastAsia" w:ascii="宋体" w:hAnsi="宋体" w:cs="宋体"/>
          <w:color w:val="000000" w:themeColor="text1"/>
          <w:spacing w:val="-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14:textFill>
            <w14:solidFill>
              <w14:schemeClr w14:val="tx1"/>
            </w14:solidFill>
          </w14:textFill>
        </w:rPr>
        <w:t>限：</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2AA367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p w14:paraId="6F9B827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p>
    <w:p w14:paraId="2F00E5F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2889FBED">
      <w:pPr>
        <w:tabs>
          <w:tab w:val="left" w:pos="630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签名或盖章</w:t>
      </w:r>
      <w:r>
        <w:rPr>
          <w:rFonts w:hint="eastAsia" w:ascii="宋体" w:hAnsi="宋体" w:cs="宋体"/>
          <w:color w:val="000000" w:themeColor="text1"/>
          <w:kern w:val="0"/>
          <w:szCs w:val="21"/>
          <w:highlight w:val="none"/>
          <w14:textFill>
            <w14:solidFill>
              <w14:schemeClr w14:val="tx1"/>
            </w14:solidFill>
          </w14:textFill>
        </w:rPr>
        <w:t>）</w:t>
      </w:r>
    </w:p>
    <w:p w14:paraId="5D35512F">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AB05B3B">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（签名）</w:t>
      </w:r>
    </w:p>
    <w:p w14:paraId="10123245">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w w:val="200"/>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1A617707">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单位电话（座机）：</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DB9DC02">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委托代理人电话（手机）：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4439507B">
      <w:pPr>
        <w:autoSpaceDE w:val="0"/>
        <w:autoSpaceDN w:val="0"/>
        <w:adjustRightInd w:val="0"/>
        <w:snapToGrid w:val="0"/>
        <w:spacing w:line="480" w:lineRule="auto"/>
        <w:ind w:firstLine="810" w:firstLineChars="3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附：法定代表人和委托代理人身份证明扫描件（双面）</w:t>
      </w:r>
    </w:p>
    <w:p w14:paraId="1F239CF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61636906">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351D3969">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5979437A">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7B766993">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2D403999">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1152FBF1">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4899FFC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47D197F2">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1178" w:name="_Toc430530533"/>
      <w:bookmarkStart w:id="1179" w:name="_Toc287607870"/>
      <w:bookmarkStart w:id="1180" w:name="_Toc224103498"/>
      <w:bookmarkStart w:id="1181" w:name="_Toc27921"/>
      <w:bookmarkStart w:id="1182" w:name="_Toc277082646"/>
      <w:bookmarkStart w:id="1183" w:name="_Toc287620817"/>
      <w:r>
        <w:rPr>
          <w:rFonts w:hint="eastAsia" w:ascii="宋体" w:hAnsi="宋体" w:cs="宋体"/>
          <w:color w:val="000000" w:themeColor="text1"/>
          <w:kern w:val="0"/>
          <w:szCs w:val="21"/>
          <w:highlight w:val="none"/>
          <w14:textFill>
            <w14:solidFill>
              <w14:schemeClr w14:val="tx1"/>
            </w14:solidFill>
          </w14:textFill>
        </w:rPr>
        <w:t xml:space="preserve">注：1、法定代表人参加投标活动并签署文件的不需要授权委托书，只需提供法定代表人身份证明；非法定代表人参加投标活动及签署文件的除提供法定代表人身份证明外还须提供授权委托书。 </w:t>
      </w:r>
    </w:p>
    <w:p w14:paraId="1AF1AD47">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2、法定代表人身份证明及授权委托书原件装入投标文件一并递交。另外须准备一份授权委托书原件在开标现场出具。 </w:t>
      </w:r>
    </w:p>
    <w:p w14:paraId="4C9ACD13">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3.授权委托书需按上述格式填写完整，不可缺少内容。在此基础上增加内容的不影响其有效性。</w:t>
      </w:r>
      <w:bookmarkEnd w:id="1178"/>
      <w:bookmarkEnd w:id="1179"/>
      <w:bookmarkEnd w:id="1180"/>
      <w:bookmarkEnd w:id="1181"/>
      <w:bookmarkEnd w:id="1182"/>
      <w:bookmarkEnd w:id="1183"/>
      <w:bookmarkStart w:id="1184" w:name="_Toc14450"/>
      <w:bookmarkStart w:id="1185" w:name="_Toc21210"/>
      <w:bookmarkStart w:id="1186" w:name="_Toc277082656"/>
      <w:bookmarkStart w:id="1187" w:name="_Toc430530545"/>
      <w:bookmarkStart w:id="1188" w:name="_Toc287607882"/>
      <w:bookmarkStart w:id="1189" w:name="_Toc287620829"/>
      <w:bookmarkStart w:id="1190" w:name="_Toc224103510"/>
      <w:bookmarkStart w:id="1191" w:name="_Toc4100"/>
      <w:bookmarkStart w:id="1192" w:name="_Toc15228"/>
    </w:p>
    <w:p w14:paraId="0165AB61">
      <w:pP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br w:type="page"/>
      </w:r>
    </w:p>
    <w:p w14:paraId="2F37FF03">
      <w:pPr>
        <w:tabs>
          <w:tab w:val="left" w:pos="5260"/>
        </w:tabs>
        <w:autoSpaceDE w:val="0"/>
        <w:autoSpaceDN w:val="0"/>
        <w:adjustRightInd w:val="0"/>
        <w:snapToGrid w:val="0"/>
        <w:spacing w:line="360" w:lineRule="auto"/>
        <w:ind w:firstLine="3253" w:firstLineChars="900"/>
        <w:jc w:val="left"/>
        <w:rPr>
          <w:rFonts w:hint="eastAsia" w:ascii="宋体" w:hAnsi="宋体" w:cs="宋体"/>
          <w:b/>
          <w:bCs/>
          <w:color w:val="000000" w:themeColor="text1"/>
          <w:sz w:val="36"/>
          <w:szCs w:val="36"/>
          <w:highlight w:val="none"/>
          <w14:textFill>
            <w14:solidFill>
              <w14:schemeClr w14:val="tx1"/>
            </w14:solidFill>
          </w14:textFill>
        </w:rPr>
      </w:pPr>
    </w:p>
    <w:p w14:paraId="268142A6">
      <w:pPr>
        <w:tabs>
          <w:tab w:val="left" w:pos="5260"/>
        </w:tabs>
        <w:autoSpaceDE w:val="0"/>
        <w:autoSpaceDN w:val="0"/>
        <w:adjustRightInd w:val="0"/>
        <w:snapToGrid w:val="0"/>
        <w:spacing w:line="360" w:lineRule="auto"/>
        <w:ind w:firstLine="3253" w:firstLineChars="900"/>
        <w:jc w:val="left"/>
        <w:rPr>
          <w:rFonts w:hint="eastAsia" w:ascii="宋体" w:hAnsi="宋体" w:cs="宋体"/>
          <w:b/>
          <w:bCs/>
          <w:color w:val="000000" w:themeColor="text1"/>
          <w:sz w:val="36"/>
          <w:szCs w:val="36"/>
          <w:highlight w:val="none"/>
          <w14:textFill>
            <w14:solidFill>
              <w14:schemeClr w14:val="tx1"/>
            </w14:solidFill>
          </w14:textFill>
        </w:rPr>
      </w:pPr>
    </w:p>
    <w:p w14:paraId="540EE48D">
      <w:pPr>
        <w:tabs>
          <w:tab w:val="left" w:pos="5260"/>
        </w:tabs>
        <w:autoSpaceDE w:val="0"/>
        <w:autoSpaceDN w:val="0"/>
        <w:adjustRightInd w:val="0"/>
        <w:snapToGrid w:val="0"/>
        <w:spacing w:line="360" w:lineRule="auto"/>
        <w:ind w:firstLine="3253" w:firstLineChars="900"/>
        <w:jc w:val="left"/>
        <w:rPr>
          <w:rFonts w:hint="eastAsia" w:ascii="宋体" w:hAnsi="宋体" w:cs="宋体"/>
          <w:b/>
          <w:bCs/>
          <w:color w:val="000000" w:themeColor="text1"/>
          <w:sz w:val="36"/>
          <w:szCs w:val="36"/>
          <w:highlight w:val="none"/>
          <w14:textFill>
            <w14:solidFill>
              <w14:schemeClr w14:val="tx1"/>
            </w14:solidFill>
          </w14:textFill>
        </w:rPr>
      </w:pPr>
    </w:p>
    <w:p w14:paraId="348FB323">
      <w:pPr>
        <w:tabs>
          <w:tab w:val="left" w:pos="5260"/>
        </w:tabs>
        <w:autoSpaceDE w:val="0"/>
        <w:autoSpaceDN w:val="0"/>
        <w:adjustRightInd w:val="0"/>
        <w:snapToGrid w:val="0"/>
        <w:spacing w:line="360" w:lineRule="auto"/>
        <w:ind w:firstLine="3253" w:firstLineChars="900"/>
        <w:jc w:val="left"/>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二、经济部分</w:t>
      </w:r>
      <w:bookmarkEnd w:id="1184"/>
      <w:bookmarkEnd w:id="1185"/>
      <w:bookmarkStart w:id="1193" w:name="_Toc14415"/>
    </w:p>
    <w:p w14:paraId="2BF3F68C">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756427B8">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7190EB54">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4CEA1165">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1DCEDC0E">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72E881DF">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2D742EB7">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35CBBE02">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1DB121E6">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10C1C91D">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4C1448BB">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0F7ABE8C">
      <w:pPr>
        <w:spacing w:line="360" w:lineRule="auto"/>
        <w:rPr>
          <w:rFonts w:ascii="宋体" w:hAnsi="宋体" w:cs="宋体"/>
          <w:b/>
          <w:bCs/>
          <w:color w:val="000000" w:themeColor="text1"/>
          <w:kern w:val="0"/>
          <w:sz w:val="32"/>
          <w:szCs w:val="32"/>
          <w:highlight w:val="none"/>
          <w:u w:val="single"/>
          <w14:textFill>
            <w14:solidFill>
              <w14:schemeClr w14:val="tx1"/>
            </w14:solidFill>
          </w14:textFill>
        </w:rPr>
      </w:pPr>
    </w:p>
    <w:p w14:paraId="0AEB892C">
      <w:pPr>
        <w:pStyle w:val="2"/>
        <w:rPr>
          <w:color w:val="000000" w:themeColor="text1"/>
          <w:highlight w:val="none"/>
          <w14:textFill>
            <w14:solidFill>
              <w14:schemeClr w14:val="tx1"/>
            </w14:solidFill>
          </w14:textFill>
        </w:rPr>
      </w:pPr>
    </w:p>
    <w:p w14:paraId="62A56E7D">
      <w:pPr>
        <w:rPr>
          <w:color w:val="000000" w:themeColor="text1"/>
          <w:highlight w:val="none"/>
          <w14:textFill>
            <w14:solidFill>
              <w14:schemeClr w14:val="tx1"/>
            </w14:solidFill>
          </w14:textFill>
        </w:rPr>
      </w:pPr>
    </w:p>
    <w:p w14:paraId="5B4E453F">
      <w:pPr>
        <w:pStyle w:val="2"/>
        <w:rPr>
          <w:color w:val="000000" w:themeColor="text1"/>
          <w:highlight w:val="none"/>
          <w14:textFill>
            <w14:solidFill>
              <w14:schemeClr w14:val="tx1"/>
            </w14:solidFill>
          </w14:textFill>
        </w:rPr>
      </w:pPr>
    </w:p>
    <w:p w14:paraId="24403246">
      <w:pPr>
        <w:rPr>
          <w:color w:val="000000" w:themeColor="text1"/>
          <w:highlight w:val="none"/>
          <w14:textFill>
            <w14:solidFill>
              <w14:schemeClr w14:val="tx1"/>
            </w14:solidFill>
          </w14:textFill>
        </w:rPr>
      </w:pPr>
    </w:p>
    <w:p w14:paraId="680435AC">
      <w:pPr>
        <w:pStyle w:val="2"/>
        <w:rPr>
          <w:color w:val="000000" w:themeColor="text1"/>
          <w:highlight w:val="none"/>
          <w14:textFill>
            <w14:solidFill>
              <w14:schemeClr w14:val="tx1"/>
            </w14:solidFill>
          </w14:textFill>
        </w:rPr>
      </w:pPr>
    </w:p>
    <w:p w14:paraId="6E3F1D52">
      <w:pPr>
        <w:rPr>
          <w:color w:val="000000" w:themeColor="text1"/>
          <w:highlight w:val="none"/>
          <w14:textFill>
            <w14:solidFill>
              <w14:schemeClr w14:val="tx1"/>
            </w14:solidFill>
          </w14:textFill>
        </w:rPr>
      </w:pPr>
    </w:p>
    <w:p w14:paraId="71709CA0">
      <w:pPr>
        <w:pStyle w:val="2"/>
        <w:rPr>
          <w:color w:val="000000" w:themeColor="text1"/>
          <w:highlight w:val="none"/>
          <w14:textFill>
            <w14:solidFill>
              <w14:schemeClr w14:val="tx1"/>
            </w14:solidFill>
          </w14:textFill>
        </w:rPr>
      </w:pPr>
    </w:p>
    <w:p w14:paraId="6C389BCE">
      <w:pPr>
        <w:rPr>
          <w:color w:val="000000" w:themeColor="text1"/>
          <w:highlight w:val="none"/>
          <w14:textFill>
            <w14:solidFill>
              <w14:schemeClr w14:val="tx1"/>
            </w14:solidFill>
          </w14:textFill>
        </w:rPr>
      </w:pPr>
    </w:p>
    <w:p w14:paraId="4B4A4465">
      <w:pPr>
        <w:pStyle w:val="2"/>
        <w:rPr>
          <w:color w:val="000000" w:themeColor="text1"/>
          <w:highlight w:val="none"/>
          <w14:textFill>
            <w14:solidFill>
              <w14:schemeClr w14:val="tx1"/>
            </w14:solidFill>
          </w14:textFill>
        </w:rPr>
      </w:pPr>
    </w:p>
    <w:p w14:paraId="0EBD2BB1">
      <w:pPr>
        <w:rPr>
          <w:color w:val="000000" w:themeColor="text1"/>
          <w:highlight w:val="none"/>
          <w14:textFill>
            <w14:solidFill>
              <w14:schemeClr w14:val="tx1"/>
            </w14:solidFill>
          </w14:textFill>
        </w:rPr>
      </w:pPr>
    </w:p>
    <w:p w14:paraId="3238E173">
      <w:pPr>
        <w:pStyle w:val="2"/>
        <w:rPr>
          <w:color w:val="000000" w:themeColor="text1"/>
          <w:highlight w:val="none"/>
          <w14:textFill>
            <w14:solidFill>
              <w14:schemeClr w14:val="tx1"/>
            </w14:solidFill>
          </w14:textFill>
        </w:rPr>
      </w:pPr>
    </w:p>
    <w:p w14:paraId="182A5754">
      <w:pPr>
        <w:rPr>
          <w:color w:val="000000" w:themeColor="text1"/>
          <w:highlight w:val="none"/>
          <w14:textFill>
            <w14:solidFill>
              <w14:schemeClr w14:val="tx1"/>
            </w14:solidFill>
          </w14:textFill>
        </w:rPr>
      </w:pPr>
    </w:p>
    <w:p w14:paraId="3E39FFAB">
      <w:pPr>
        <w:pStyle w:val="2"/>
        <w:rPr>
          <w:color w:val="000000" w:themeColor="text1"/>
          <w:highlight w:val="none"/>
          <w14:textFill>
            <w14:solidFill>
              <w14:schemeClr w14:val="tx1"/>
            </w14:solidFill>
          </w14:textFill>
        </w:rPr>
      </w:pPr>
    </w:p>
    <w:p w14:paraId="1D0BB5DA">
      <w:pPr>
        <w:pStyle w:val="2"/>
        <w:rPr>
          <w:color w:val="000000" w:themeColor="text1"/>
          <w:highlight w:val="none"/>
          <w14:textFill>
            <w14:solidFill>
              <w14:schemeClr w14:val="tx1"/>
            </w14:solidFill>
          </w14:textFill>
        </w:rPr>
      </w:pPr>
    </w:p>
    <w:p w14:paraId="71ABB139">
      <w:pPr>
        <w:rPr>
          <w:color w:val="000000" w:themeColor="text1"/>
          <w:highlight w:val="none"/>
          <w14:textFill>
            <w14:solidFill>
              <w14:schemeClr w14:val="tx1"/>
            </w14:solidFill>
          </w14:textFill>
        </w:rPr>
      </w:pPr>
    </w:p>
    <w:p w14:paraId="5680093D">
      <w:pPr>
        <w:pStyle w:val="2"/>
        <w:rPr>
          <w:color w:val="000000" w:themeColor="text1"/>
          <w:highlight w:val="none"/>
          <w14:textFill>
            <w14:solidFill>
              <w14:schemeClr w14:val="tx1"/>
            </w14:solidFill>
          </w14:textFill>
        </w:rPr>
      </w:pPr>
    </w:p>
    <w:p w14:paraId="6F9E32C3">
      <w:pPr>
        <w:spacing w:line="360" w:lineRule="auto"/>
        <w:ind w:firstLine="1928" w:firstLineChars="600"/>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u w:val="single"/>
          <w14:textFill>
            <w14:solidFill>
              <w14:schemeClr w14:val="tx1"/>
            </w14:solidFill>
          </w14:textFill>
        </w:rPr>
        <w:t xml:space="preserve">                   （项目名称）</w:t>
      </w:r>
    </w:p>
    <w:p w14:paraId="6C034EC7">
      <w:pPr>
        <w:tabs>
          <w:tab w:val="left" w:pos="3600"/>
          <w:tab w:val="left" w:pos="4480"/>
          <w:tab w:val="left" w:pos="5360"/>
        </w:tabs>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0C621739">
      <w:pPr>
        <w:tabs>
          <w:tab w:val="left" w:pos="3600"/>
          <w:tab w:val="left" w:pos="4480"/>
          <w:tab w:val="left" w:pos="5360"/>
        </w:tabs>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496E8BA5">
      <w:pPr>
        <w:tabs>
          <w:tab w:val="left" w:pos="3600"/>
          <w:tab w:val="left" w:pos="4480"/>
          <w:tab w:val="left" w:pos="5360"/>
        </w:tabs>
        <w:autoSpaceDE w:val="0"/>
        <w:autoSpaceDN w:val="0"/>
        <w:adjustRightInd w:val="0"/>
        <w:snapToGrid w:val="0"/>
        <w:spacing w:line="360" w:lineRule="auto"/>
        <w:jc w:val="center"/>
        <w:rPr>
          <w:rFonts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14:textFill>
            <w14:solidFill>
              <w14:schemeClr w14:val="tx1"/>
            </w14:solidFill>
          </w14:textFill>
        </w:rPr>
        <w:t>投 标 文 件</w:t>
      </w:r>
    </w:p>
    <w:p w14:paraId="1E6F3EC3">
      <w:pPr>
        <w:autoSpaceDE w:val="0"/>
        <w:autoSpaceDN w:val="0"/>
        <w:adjustRightInd w:val="0"/>
        <w:snapToGrid w:val="0"/>
        <w:spacing w:line="360" w:lineRule="auto"/>
        <w:jc w:val="left"/>
        <w:rPr>
          <w:rFonts w:ascii="宋体" w:hAnsi="宋体" w:cs="宋体"/>
          <w:b/>
          <w:bCs/>
          <w:color w:val="000000" w:themeColor="text1"/>
          <w:kern w:val="0"/>
          <w:sz w:val="16"/>
          <w:szCs w:val="16"/>
          <w:highlight w:val="none"/>
          <w14:textFill>
            <w14:solidFill>
              <w14:schemeClr w14:val="tx1"/>
            </w14:solidFill>
          </w14:textFill>
        </w:rPr>
      </w:pPr>
    </w:p>
    <w:p w14:paraId="2519C1EC">
      <w:pPr>
        <w:autoSpaceDE w:val="0"/>
        <w:autoSpaceDN w:val="0"/>
        <w:adjustRightInd w:val="0"/>
        <w:snapToGrid w:val="0"/>
        <w:spacing w:line="360" w:lineRule="auto"/>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经济部分</w:t>
      </w:r>
    </w:p>
    <w:p w14:paraId="6D7EB2DF">
      <w:pPr>
        <w:autoSpaceDE w:val="0"/>
        <w:autoSpaceDN w:val="0"/>
        <w:adjustRightInd w:val="0"/>
        <w:snapToGrid w:val="0"/>
        <w:spacing w:line="360" w:lineRule="auto"/>
        <w:jc w:val="left"/>
        <w:rPr>
          <w:rFonts w:ascii="宋体" w:hAnsi="宋体" w:cs="宋体"/>
          <w:b/>
          <w:bCs/>
          <w:color w:val="000000" w:themeColor="text1"/>
          <w:kern w:val="0"/>
          <w:sz w:val="20"/>
          <w:szCs w:val="20"/>
          <w:highlight w:val="none"/>
          <w14:textFill>
            <w14:solidFill>
              <w14:schemeClr w14:val="tx1"/>
            </w14:solidFill>
          </w14:textFill>
        </w:rPr>
      </w:pPr>
    </w:p>
    <w:p w14:paraId="57081F4D">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22243EE5">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300C4053">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77B4165E">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66AA4A5D">
      <w:pPr>
        <w:pStyle w:val="2"/>
        <w:rPr>
          <w:rFonts w:ascii="宋体" w:hAnsi="宋体" w:cs="宋体"/>
          <w:color w:val="000000" w:themeColor="text1"/>
          <w:highlight w:val="none"/>
          <w14:textFill>
            <w14:solidFill>
              <w14:schemeClr w14:val="tx1"/>
            </w14:solidFill>
          </w14:textFill>
        </w:rPr>
      </w:pPr>
    </w:p>
    <w:p w14:paraId="5EE9B443">
      <w:pPr>
        <w:rPr>
          <w:rFonts w:ascii="宋体" w:hAnsi="宋体" w:cs="宋体"/>
          <w:color w:val="000000" w:themeColor="text1"/>
          <w:highlight w:val="none"/>
          <w14:textFill>
            <w14:solidFill>
              <w14:schemeClr w14:val="tx1"/>
            </w14:solidFill>
          </w14:textFill>
        </w:rPr>
      </w:pPr>
    </w:p>
    <w:p w14:paraId="1F048D19">
      <w:pPr>
        <w:pStyle w:val="2"/>
        <w:rPr>
          <w:rFonts w:ascii="宋体" w:hAnsi="宋体" w:cs="宋体"/>
          <w:color w:val="000000" w:themeColor="text1"/>
          <w:highlight w:val="none"/>
          <w14:textFill>
            <w14:solidFill>
              <w14:schemeClr w14:val="tx1"/>
            </w14:solidFill>
          </w14:textFill>
        </w:rPr>
      </w:pPr>
    </w:p>
    <w:p w14:paraId="7B9489AE">
      <w:pPr>
        <w:autoSpaceDE w:val="0"/>
        <w:autoSpaceDN w:val="0"/>
        <w:adjustRightInd w:val="0"/>
        <w:snapToGri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p>
    <w:p w14:paraId="69D7F1EC">
      <w:pPr>
        <w:pStyle w:val="2"/>
        <w:rPr>
          <w:rFonts w:ascii="宋体" w:hAnsi="宋体" w:cs="宋体"/>
          <w:color w:val="000000" w:themeColor="text1"/>
          <w:highlight w:val="none"/>
          <w14:textFill>
            <w14:solidFill>
              <w14:schemeClr w14:val="tx1"/>
            </w14:solidFill>
          </w14:textFill>
        </w:rPr>
      </w:pPr>
    </w:p>
    <w:p w14:paraId="4B440F5D">
      <w:pPr>
        <w:rPr>
          <w:rFonts w:ascii="宋体" w:hAnsi="宋体" w:cs="宋体"/>
          <w:color w:val="000000" w:themeColor="text1"/>
          <w:highlight w:val="none"/>
          <w14:textFill>
            <w14:solidFill>
              <w14:schemeClr w14:val="tx1"/>
            </w14:solidFill>
          </w14:textFill>
        </w:rPr>
      </w:pPr>
    </w:p>
    <w:p w14:paraId="17CD5591">
      <w:pPr>
        <w:pStyle w:val="2"/>
        <w:rPr>
          <w:rFonts w:ascii="宋体" w:hAnsi="宋体" w:cs="宋体"/>
          <w:color w:val="000000" w:themeColor="text1"/>
          <w:highlight w:val="none"/>
          <w14:textFill>
            <w14:solidFill>
              <w14:schemeClr w14:val="tx1"/>
            </w14:solidFill>
          </w14:textFill>
        </w:rPr>
      </w:pPr>
    </w:p>
    <w:p w14:paraId="1FF11960">
      <w:pPr>
        <w:rPr>
          <w:rFonts w:ascii="宋体" w:hAnsi="宋体" w:cs="宋体"/>
          <w:color w:val="000000" w:themeColor="text1"/>
          <w:highlight w:val="none"/>
          <w14:textFill>
            <w14:solidFill>
              <w14:schemeClr w14:val="tx1"/>
            </w14:solidFill>
          </w14:textFill>
        </w:rPr>
      </w:pPr>
    </w:p>
    <w:p w14:paraId="704B236E">
      <w:pPr>
        <w:tabs>
          <w:tab w:val="left" w:pos="6080"/>
          <w:tab w:val="left" w:pos="6640"/>
        </w:tabs>
        <w:autoSpaceDE w:val="0"/>
        <w:autoSpaceDN w:val="0"/>
        <w:adjustRightInd w:val="0"/>
        <w:snapToGrid w:val="0"/>
        <w:spacing w:afterLines="50" w:line="360" w:lineRule="auto"/>
        <w:jc w:val="center"/>
        <w:rPr>
          <w:rFonts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（盖单位法人章）</w:t>
      </w:r>
    </w:p>
    <w:p w14:paraId="47041F23">
      <w:pPr>
        <w:tabs>
          <w:tab w:val="left" w:pos="6080"/>
          <w:tab w:val="left" w:pos="6640"/>
        </w:tabs>
        <w:autoSpaceDE w:val="0"/>
        <w:autoSpaceDN w:val="0"/>
        <w:adjustRightInd w:val="0"/>
        <w:snapToGrid w:val="0"/>
        <w:spacing w:afterLines="50"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w:t>
      </w:r>
      <w:r>
        <w:rPr>
          <w:rFonts w:hint="eastAsia" w:ascii="宋体" w:hAnsi="宋体" w:cs="宋体"/>
          <w:color w:val="000000" w:themeColor="text1"/>
          <w:w w:val="99"/>
          <w:kern w:val="0"/>
          <w:sz w:val="28"/>
          <w:szCs w:val="28"/>
          <w:highlight w:val="none"/>
          <w:lang w:eastAsia="zh-CN"/>
          <w14:textFill>
            <w14:solidFill>
              <w14:schemeClr w14:val="tx1"/>
            </w14:solidFill>
          </w14:textFill>
        </w:rPr>
        <w:t>签名或盖章</w:t>
      </w:r>
      <w:r>
        <w:rPr>
          <w:rFonts w:hint="eastAsia" w:ascii="宋体" w:hAnsi="宋体" w:cs="宋体"/>
          <w:color w:val="000000" w:themeColor="text1"/>
          <w:w w:val="99"/>
          <w:kern w:val="0"/>
          <w:sz w:val="28"/>
          <w:szCs w:val="28"/>
          <w:highlight w:val="none"/>
          <w14:textFill>
            <w14:solidFill>
              <w14:schemeClr w14:val="tx1"/>
            </w14:solidFill>
          </w14:textFill>
        </w:rPr>
        <w:t>）</w:t>
      </w:r>
    </w:p>
    <w:p w14:paraId="4EB09F7D">
      <w:pPr>
        <w:tabs>
          <w:tab w:val="left" w:pos="6080"/>
          <w:tab w:val="left" w:pos="6640"/>
        </w:tabs>
        <w:autoSpaceDE w:val="0"/>
        <w:autoSpaceDN w:val="0"/>
        <w:adjustRightInd w:val="0"/>
        <w:snapToGrid w:val="0"/>
        <w:spacing w:afterLines="50"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w:t>
      </w:r>
    </w:p>
    <w:p w14:paraId="76D05A7E">
      <w:pPr>
        <w:widowControl/>
        <w:jc w:val="left"/>
        <w:rPr>
          <w:rFonts w:ascii="宋体" w:hAnsi="宋体" w:cs="宋体"/>
          <w:color w:val="000000" w:themeColor="text1"/>
          <w:kern w:val="0"/>
          <w:sz w:val="36"/>
          <w:szCs w:val="36"/>
          <w:highlight w:val="none"/>
          <w14:textFill>
            <w14:solidFill>
              <w14:schemeClr w14:val="tx1"/>
            </w14:solidFill>
          </w14:textFill>
        </w:rPr>
      </w:pPr>
    </w:p>
    <w:p w14:paraId="460D287A">
      <w:pPr>
        <w:widowControl/>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 录</w:t>
      </w:r>
    </w:p>
    <w:p w14:paraId="34497FB3">
      <w:pPr>
        <w:pStyle w:val="66"/>
        <w:rPr>
          <w:rFonts w:ascii="宋体" w:hAnsi="宋体" w:cs="宋体"/>
          <w:color w:val="000000" w:themeColor="text1"/>
          <w:highlight w:val="none"/>
          <w14:textFill>
            <w14:solidFill>
              <w14:schemeClr w14:val="tx1"/>
            </w14:solidFill>
          </w14:textFill>
        </w:rPr>
      </w:pPr>
    </w:p>
    <w:p w14:paraId="7994AAF6">
      <w:pPr>
        <w:widowControl/>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[提示：目录由</w:t>
      </w:r>
      <w:r>
        <w:rPr>
          <w:rFonts w:hint="eastAsia" w:ascii="宋体" w:hAnsi="宋体" w:cs="宋体"/>
          <w:color w:val="000000" w:themeColor="text1"/>
          <w:kern w:val="0"/>
          <w:sz w:val="20"/>
          <w:szCs w:val="20"/>
          <w:highlight w:val="none"/>
          <w:lang w:eastAsia="zh-CN"/>
          <w14:textFill>
            <w14:solidFill>
              <w14:schemeClr w14:val="tx1"/>
            </w14:solidFill>
          </w14:textFill>
        </w:rPr>
        <w:t>投标人</w:t>
      </w:r>
      <w:r>
        <w:rPr>
          <w:rFonts w:hint="eastAsia" w:ascii="宋体" w:hAnsi="宋体" w:cs="宋体"/>
          <w:color w:val="000000" w:themeColor="text1"/>
          <w:kern w:val="0"/>
          <w:sz w:val="20"/>
          <w:szCs w:val="20"/>
          <w:highlight w:val="none"/>
          <w14:textFill>
            <w14:solidFill>
              <w14:schemeClr w14:val="tx1"/>
            </w14:solidFill>
          </w14:textFill>
        </w:rPr>
        <w:t>自行编制]</w:t>
      </w:r>
    </w:p>
    <w:p w14:paraId="267838F4">
      <w:pPr>
        <w:pStyle w:val="4"/>
        <w:spacing w:line="360" w:lineRule="auto"/>
        <w:jc w:val="center"/>
        <w:outlineLvl w:val="9"/>
        <w:rPr>
          <w:rFonts w:ascii="宋体" w:hAnsi="宋体" w:cs="宋体"/>
          <w:b w:val="0"/>
          <w:bCs w:val="0"/>
          <w:color w:val="000000" w:themeColor="text1"/>
          <w:sz w:val="44"/>
          <w:szCs w:val="44"/>
          <w:highlight w:val="none"/>
          <w14:textFill>
            <w14:solidFill>
              <w14:schemeClr w14:val="tx1"/>
            </w14:solidFill>
          </w14:textFill>
        </w:rPr>
      </w:pPr>
    </w:p>
    <w:p w14:paraId="01DAA256">
      <w:pPr>
        <w:rPr>
          <w:rFonts w:ascii="宋体" w:hAnsi="宋体" w:cs="宋体"/>
          <w:color w:val="000000" w:themeColor="text1"/>
          <w:sz w:val="44"/>
          <w:szCs w:val="44"/>
          <w:highlight w:val="none"/>
          <w14:textFill>
            <w14:solidFill>
              <w14:schemeClr w14:val="tx1"/>
            </w14:solidFill>
          </w14:textFill>
        </w:rPr>
      </w:pPr>
    </w:p>
    <w:p w14:paraId="16CF8FB6">
      <w:pPr>
        <w:pStyle w:val="2"/>
        <w:rPr>
          <w:rFonts w:ascii="宋体" w:hAnsi="宋体" w:cs="宋体"/>
          <w:color w:val="000000" w:themeColor="text1"/>
          <w:sz w:val="44"/>
          <w:szCs w:val="44"/>
          <w:highlight w:val="none"/>
          <w14:textFill>
            <w14:solidFill>
              <w14:schemeClr w14:val="tx1"/>
            </w14:solidFill>
          </w14:textFill>
        </w:rPr>
      </w:pPr>
    </w:p>
    <w:p w14:paraId="62810A24">
      <w:pPr>
        <w:pStyle w:val="66"/>
        <w:rPr>
          <w:rFonts w:ascii="宋体" w:hAnsi="宋体" w:cs="宋体"/>
          <w:color w:val="000000" w:themeColor="text1"/>
          <w:sz w:val="44"/>
          <w:szCs w:val="44"/>
          <w:highlight w:val="none"/>
          <w14:textFill>
            <w14:solidFill>
              <w14:schemeClr w14:val="tx1"/>
            </w14:solidFill>
          </w14:textFill>
        </w:rPr>
      </w:pPr>
    </w:p>
    <w:p w14:paraId="410170A9">
      <w:pPr>
        <w:rPr>
          <w:rFonts w:ascii="宋体" w:hAnsi="宋体" w:cs="宋体"/>
          <w:color w:val="000000" w:themeColor="text1"/>
          <w:sz w:val="44"/>
          <w:szCs w:val="44"/>
          <w:highlight w:val="none"/>
          <w14:textFill>
            <w14:solidFill>
              <w14:schemeClr w14:val="tx1"/>
            </w14:solidFill>
          </w14:textFill>
        </w:rPr>
      </w:pPr>
    </w:p>
    <w:p w14:paraId="379BFC96">
      <w:pPr>
        <w:pStyle w:val="2"/>
        <w:rPr>
          <w:rFonts w:ascii="宋体" w:hAnsi="宋体" w:cs="宋体"/>
          <w:color w:val="000000" w:themeColor="text1"/>
          <w:sz w:val="44"/>
          <w:szCs w:val="44"/>
          <w:highlight w:val="none"/>
          <w14:textFill>
            <w14:solidFill>
              <w14:schemeClr w14:val="tx1"/>
            </w14:solidFill>
          </w14:textFill>
        </w:rPr>
      </w:pPr>
    </w:p>
    <w:p w14:paraId="74A5EE36">
      <w:pPr>
        <w:pStyle w:val="66"/>
        <w:rPr>
          <w:rFonts w:ascii="宋体" w:hAnsi="宋体" w:cs="宋体"/>
          <w:color w:val="000000" w:themeColor="text1"/>
          <w:sz w:val="44"/>
          <w:szCs w:val="44"/>
          <w:highlight w:val="none"/>
          <w14:textFill>
            <w14:solidFill>
              <w14:schemeClr w14:val="tx1"/>
            </w14:solidFill>
          </w14:textFill>
        </w:rPr>
      </w:pPr>
    </w:p>
    <w:p w14:paraId="0421AFB6">
      <w:pPr>
        <w:rPr>
          <w:rFonts w:ascii="宋体" w:hAnsi="宋体" w:cs="宋体"/>
          <w:color w:val="000000" w:themeColor="text1"/>
          <w:sz w:val="44"/>
          <w:szCs w:val="44"/>
          <w:highlight w:val="none"/>
          <w14:textFill>
            <w14:solidFill>
              <w14:schemeClr w14:val="tx1"/>
            </w14:solidFill>
          </w14:textFill>
        </w:rPr>
      </w:pPr>
    </w:p>
    <w:p w14:paraId="29BC857C">
      <w:pPr>
        <w:pStyle w:val="2"/>
        <w:rPr>
          <w:rFonts w:ascii="宋体" w:hAnsi="宋体" w:cs="宋体"/>
          <w:color w:val="000000" w:themeColor="text1"/>
          <w:sz w:val="44"/>
          <w:szCs w:val="44"/>
          <w:highlight w:val="none"/>
          <w14:textFill>
            <w14:solidFill>
              <w14:schemeClr w14:val="tx1"/>
            </w14:solidFill>
          </w14:textFill>
        </w:rPr>
      </w:pPr>
    </w:p>
    <w:p w14:paraId="42B77A88">
      <w:pPr>
        <w:pStyle w:val="66"/>
        <w:rPr>
          <w:rFonts w:ascii="宋体" w:hAnsi="宋体" w:cs="宋体"/>
          <w:color w:val="000000" w:themeColor="text1"/>
          <w:sz w:val="44"/>
          <w:szCs w:val="44"/>
          <w:highlight w:val="none"/>
          <w14:textFill>
            <w14:solidFill>
              <w14:schemeClr w14:val="tx1"/>
            </w14:solidFill>
          </w14:textFill>
        </w:rPr>
      </w:pPr>
    </w:p>
    <w:p w14:paraId="740D854F">
      <w:pPr>
        <w:rPr>
          <w:rFonts w:ascii="宋体" w:hAnsi="宋体" w:cs="宋体"/>
          <w:color w:val="000000" w:themeColor="text1"/>
          <w:sz w:val="44"/>
          <w:szCs w:val="44"/>
          <w:highlight w:val="none"/>
          <w14:textFill>
            <w14:solidFill>
              <w14:schemeClr w14:val="tx1"/>
            </w14:solidFill>
          </w14:textFill>
        </w:rPr>
      </w:pPr>
    </w:p>
    <w:p w14:paraId="40EC8AE6">
      <w:pPr>
        <w:pStyle w:val="2"/>
        <w:rPr>
          <w:rFonts w:ascii="宋体" w:hAnsi="宋体" w:cs="宋体"/>
          <w:color w:val="000000" w:themeColor="text1"/>
          <w:sz w:val="44"/>
          <w:szCs w:val="44"/>
          <w:highlight w:val="none"/>
          <w14:textFill>
            <w14:solidFill>
              <w14:schemeClr w14:val="tx1"/>
            </w14:solidFill>
          </w14:textFill>
        </w:rPr>
      </w:pPr>
    </w:p>
    <w:p w14:paraId="0478DF16">
      <w:pPr>
        <w:pStyle w:val="66"/>
        <w:rPr>
          <w:rFonts w:ascii="宋体" w:hAnsi="宋体" w:cs="宋体"/>
          <w:color w:val="000000" w:themeColor="text1"/>
          <w:sz w:val="44"/>
          <w:szCs w:val="44"/>
          <w:highlight w:val="none"/>
          <w14:textFill>
            <w14:solidFill>
              <w14:schemeClr w14:val="tx1"/>
            </w14:solidFill>
          </w14:textFill>
        </w:rPr>
      </w:pPr>
    </w:p>
    <w:p w14:paraId="4B2F9750">
      <w:pPr>
        <w:rPr>
          <w:rFonts w:ascii="宋体" w:hAnsi="宋体" w:cs="宋体"/>
          <w:color w:val="000000" w:themeColor="text1"/>
          <w:sz w:val="44"/>
          <w:szCs w:val="44"/>
          <w:highlight w:val="none"/>
          <w14:textFill>
            <w14:solidFill>
              <w14:schemeClr w14:val="tx1"/>
            </w14:solidFill>
          </w14:textFill>
        </w:rPr>
      </w:pPr>
    </w:p>
    <w:p w14:paraId="17319D03">
      <w:pPr>
        <w:pStyle w:val="2"/>
        <w:rPr>
          <w:rFonts w:ascii="宋体" w:hAnsi="宋体" w:cs="宋体"/>
          <w:color w:val="000000" w:themeColor="text1"/>
          <w:sz w:val="44"/>
          <w:szCs w:val="44"/>
          <w:highlight w:val="none"/>
          <w14:textFill>
            <w14:solidFill>
              <w14:schemeClr w14:val="tx1"/>
            </w14:solidFill>
          </w14:textFill>
        </w:rPr>
      </w:pPr>
    </w:p>
    <w:p w14:paraId="38797186">
      <w:pPr>
        <w:pStyle w:val="66"/>
        <w:rPr>
          <w:rFonts w:ascii="宋体" w:hAnsi="宋体" w:cs="宋体"/>
          <w:color w:val="000000" w:themeColor="text1"/>
          <w:sz w:val="44"/>
          <w:szCs w:val="44"/>
          <w:highlight w:val="none"/>
          <w14:textFill>
            <w14:solidFill>
              <w14:schemeClr w14:val="tx1"/>
            </w14:solidFill>
          </w14:textFill>
        </w:rPr>
      </w:pPr>
    </w:p>
    <w:p w14:paraId="5D31EE5D">
      <w:pPr>
        <w:rPr>
          <w:rFonts w:ascii="宋体" w:hAnsi="宋体" w:cs="宋体"/>
          <w:color w:val="000000" w:themeColor="text1"/>
          <w:sz w:val="44"/>
          <w:szCs w:val="44"/>
          <w:highlight w:val="none"/>
          <w14:textFill>
            <w14:solidFill>
              <w14:schemeClr w14:val="tx1"/>
            </w14:solidFill>
          </w14:textFill>
        </w:rPr>
      </w:pPr>
    </w:p>
    <w:p w14:paraId="01339C15">
      <w:pPr>
        <w:pStyle w:val="2"/>
        <w:rPr>
          <w:rFonts w:ascii="宋体" w:hAnsi="宋体" w:cs="宋体"/>
          <w:color w:val="000000" w:themeColor="text1"/>
          <w:sz w:val="44"/>
          <w:szCs w:val="44"/>
          <w:highlight w:val="none"/>
          <w14:textFill>
            <w14:solidFill>
              <w14:schemeClr w14:val="tx1"/>
            </w14:solidFill>
          </w14:textFill>
        </w:rPr>
      </w:pPr>
    </w:p>
    <w:p w14:paraId="5FA153B0">
      <w:pPr>
        <w:widowControl/>
        <w:jc w:val="left"/>
        <w:rPr>
          <w:rFonts w:ascii="宋体" w:hAnsi="宋体" w:cs="宋体"/>
          <w:b/>
          <w:color w:val="000000" w:themeColor="text1"/>
          <w:kern w:val="0"/>
          <w:sz w:val="31"/>
          <w:szCs w:val="31"/>
          <w:highlight w:val="none"/>
          <w14:textFill>
            <w14:solidFill>
              <w14:schemeClr w14:val="tx1"/>
            </w14:solidFill>
          </w14:textFill>
        </w:rPr>
      </w:pPr>
    </w:p>
    <w:p w14:paraId="16AE5AD4">
      <w:pPr>
        <w:widowControl/>
        <w:jc w:val="left"/>
        <w:rPr>
          <w:rFonts w:ascii="宋体" w:hAnsi="宋体" w:cs="宋体"/>
          <w:b/>
          <w:color w:val="000000" w:themeColor="text1"/>
          <w:kern w:val="0"/>
          <w:sz w:val="31"/>
          <w:szCs w:val="31"/>
          <w:highlight w:val="none"/>
          <w14:textFill>
            <w14:solidFill>
              <w14:schemeClr w14:val="tx1"/>
            </w14:solidFill>
          </w14:textFill>
        </w:rPr>
      </w:pPr>
    </w:p>
    <w:p w14:paraId="421DF985">
      <w:pPr>
        <w:widowControl/>
        <w:jc w:val="center"/>
        <w:rPr>
          <w:rFonts w:hint="eastAsia" w:ascii="宋体" w:hAnsi="宋体" w:cs="宋体"/>
          <w:b/>
          <w:color w:val="000000" w:themeColor="text1"/>
          <w:kern w:val="0"/>
          <w:sz w:val="31"/>
          <w:szCs w:val="31"/>
          <w:highlight w:val="none"/>
          <w14:textFill>
            <w14:solidFill>
              <w14:schemeClr w14:val="tx1"/>
            </w14:solidFill>
          </w14:textFill>
        </w:rPr>
      </w:pPr>
    </w:p>
    <w:p w14:paraId="14987070">
      <w:pPr>
        <w:widowControl/>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1"/>
          <w:szCs w:val="31"/>
          <w:highlight w:val="none"/>
          <w14:textFill>
            <w14:solidFill>
              <w14:schemeClr w14:val="tx1"/>
            </w14:solidFill>
          </w14:textFill>
        </w:rPr>
        <w:t>已标价工程量清单</w:t>
      </w:r>
    </w:p>
    <w:p w14:paraId="340D4D72">
      <w:pPr>
        <w:pStyle w:val="4"/>
        <w:tabs>
          <w:tab w:val="left" w:pos="3772"/>
        </w:tabs>
        <w:spacing w:line="360" w:lineRule="auto"/>
        <w:jc w:val="left"/>
        <w:outlineLvl w:val="9"/>
        <w:rPr>
          <w:rFonts w:ascii="宋体" w:hAnsi="宋体" w:cs="宋体"/>
          <w:b w:val="0"/>
          <w:bCs w:val="0"/>
          <w:color w:val="000000" w:themeColor="text1"/>
          <w:sz w:val="44"/>
          <w:szCs w:val="44"/>
          <w:highlight w:val="none"/>
          <w14:textFill>
            <w14:solidFill>
              <w14:schemeClr w14:val="tx1"/>
            </w14:solidFill>
          </w14:textFill>
        </w:rPr>
      </w:pPr>
    </w:p>
    <w:p w14:paraId="3B5220DF">
      <w:pPr>
        <w:pStyle w:val="4"/>
        <w:spacing w:line="360" w:lineRule="auto"/>
        <w:jc w:val="center"/>
        <w:outlineLvl w:val="9"/>
        <w:rPr>
          <w:rFonts w:ascii="宋体" w:hAnsi="宋体" w:cs="宋体"/>
          <w:b w:val="0"/>
          <w:bCs w:val="0"/>
          <w:color w:val="000000" w:themeColor="text1"/>
          <w:sz w:val="44"/>
          <w:szCs w:val="44"/>
          <w:highlight w:val="none"/>
          <w14:textFill>
            <w14:solidFill>
              <w14:schemeClr w14:val="tx1"/>
            </w14:solidFill>
          </w14:textFill>
        </w:rPr>
      </w:pPr>
    </w:p>
    <w:p w14:paraId="181C44B8">
      <w:pPr>
        <w:rPr>
          <w:rFonts w:ascii="宋体" w:hAnsi="宋体" w:cs="宋体"/>
          <w:color w:val="000000" w:themeColor="text1"/>
          <w:sz w:val="44"/>
          <w:szCs w:val="44"/>
          <w:highlight w:val="none"/>
          <w14:textFill>
            <w14:solidFill>
              <w14:schemeClr w14:val="tx1"/>
            </w14:solidFill>
          </w14:textFill>
        </w:rPr>
      </w:pPr>
    </w:p>
    <w:p w14:paraId="513773C7">
      <w:pPr>
        <w:pStyle w:val="2"/>
        <w:rPr>
          <w:rFonts w:ascii="宋体" w:hAnsi="宋体" w:cs="宋体"/>
          <w:color w:val="000000" w:themeColor="text1"/>
          <w:sz w:val="44"/>
          <w:szCs w:val="44"/>
          <w:highlight w:val="none"/>
          <w14:textFill>
            <w14:solidFill>
              <w14:schemeClr w14:val="tx1"/>
            </w14:solidFill>
          </w14:textFill>
        </w:rPr>
      </w:pPr>
    </w:p>
    <w:p w14:paraId="19977B8D">
      <w:pPr>
        <w:pStyle w:val="66"/>
        <w:rPr>
          <w:rFonts w:ascii="宋体" w:hAnsi="宋体" w:cs="宋体"/>
          <w:color w:val="000000" w:themeColor="text1"/>
          <w:sz w:val="44"/>
          <w:szCs w:val="44"/>
          <w:highlight w:val="none"/>
          <w14:textFill>
            <w14:solidFill>
              <w14:schemeClr w14:val="tx1"/>
            </w14:solidFill>
          </w14:textFill>
        </w:rPr>
      </w:pPr>
    </w:p>
    <w:p w14:paraId="784C7A4D">
      <w:pPr>
        <w:rPr>
          <w:rFonts w:ascii="宋体" w:hAnsi="宋体" w:cs="宋体"/>
          <w:color w:val="000000" w:themeColor="text1"/>
          <w:sz w:val="44"/>
          <w:szCs w:val="44"/>
          <w:highlight w:val="none"/>
          <w14:textFill>
            <w14:solidFill>
              <w14:schemeClr w14:val="tx1"/>
            </w14:solidFill>
          </w14:textFill>
        </w:rPr>
      </w:pPr>
    </w:p>
    <w:p w14:paraId="32D95E55">
      <w:pPr>
        <w:pStyle w:val="2"/>
        <w:rPr>
          <w:rFonts w:ascii="宋体" w:hAnsi="宋体" w:cs="宋体"/>
          <w:color w:val="000000" w:themeColor="text1"/>
          <w:sz w:val="44"/>
          <w:szCs w:val="44"/>
          <w:highlight w:val="none"/>
          <w14:textFill>
            <w14:solidFill>
              <w14:schemeClr w14:val="tx1"/>
            </w14:solidFill>
          </w14:textFill>
        </w:rPr>
      </w:pPr>
    </w:p>
    <w:p w14:paraId="3F5190CC">
      <w:pPr>
        <w:pStyle w:val="66"/>
        <w:rPr>
          <w:rFonts w:ascii="宋体" w:hAnsi="宋体" w:cs="宋体"/>
          <w:color w:val="000000" w:themeColor="text1"/>
          <w:sz w:val="44"/>
          <w:szCs w:val="44"/>
          <w:highlight w:val="none"/>
          <w14:textFill>
            <w14:solidFill>
              <w14:schemeClr w14:val="tx1"/>
            </w14:solidFill>
          </w14:textFill>
        </w:rPr>
      </w:pPr>
    </w:p>
    <w:p w14:paraId="7100E859">
      <w:pPr>
        <w:rPr>
          <w:rFonts w:ascii="宋体" w:hAnsi="宋体" w:cs="宋体"/>
          <w:color w:val="000000" w:themeColor="text1"/>
          <w:sz w:val="44"/>
          <w:szCs w:val="44"/>
          <w:highlight w:val="none"/>
          <w14:textFill>
            <w14:solidFill>
              <w14:schemeClr w14:val="tx1"/>
            </w14:solidFill>
          </w14:textFill>
        </w:rPr>
      </w:pPr>
    </w:p>
    <w:p w14:paraId="619DB71F">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58132112">
      <w:pPr>
        <w:rPr>
          <w:rFonts w:hint="eastAsia" w:ascii="宋体" w:hAnsi="宋体" w:cs="宋体"/>
          <w:color w:val="000000" w:themeColor="text1"/>
          <w:sz w:val="36"/>
          <w:szCs w:val="36"/>
          <w:highlight w:val="none"/>
          <w14:textFill>
            <w14:solidFill>
              <w14:schemeClr w14:val="tx1"/>
            </w14:solidFill>
          </w14:textFill>
        </w:rPr>
      </w:pPr>
    </w:p>
    <w:p w14:paraId="0A84F55B">
      <w:pPr>
        <w:rPr>
          <w:rFonts w:hint="eastAsia" w:ascii="宋体" w:hAnsi="宋体" w:cs="宋体"/>
          <w:color w:val="000000" w:themeColor="text1"/>
          <w:sz w:val="36"/>
          <w:szCs w:val="36"/>
          <w:highlight w:val="none"/>
          <w14:textFill>
            <w14:solidFill>
              <w14:schemeClr w14:val="tx1"/>
            </w14:solidFill>
          </w14:textFill>
        </w:rPr>
      </w:pPr>
    </w:p>
    <w:p w14:paraId="171B2C99">
      <w:pPr>
        <w:rPr>
          <w:rFonts w:hint="eastAsia" w:ascii="宋体" w:hAnsi="宋体" w:cs="宋体"/>
          <w:color w:val="000000" w:themeColor="text1"/>
          <w:sz w:val="36"/>
          <w:szCs w:val="36"/>
          <w:highlight w:val="none"/>
          <w14:textFill>
            <w14:solidFill>
              <w14:schemeClr w14:val="tx1"/>
            </w14:solidFill>
          </w14:textFill>
        </w:rPr>
      </w:pPr>
    </w:p>
    <w:p w14:paraId="5203D472">
      <w:pPr>
        <w:rPr>
          <w:rFonts w:hint="eastAsia" w:ascii="宋体" w:hAnsi="宋体" w:cs="宋体"/>
          <w:color w:val="000000" w:themeColor="text1"/>
          <w:sz w:val="36"/>
          <w:szCs w:val="36"/>
          <w:highlight w:val="none"/>
          <w14:textFill>
            <w14:solidFill>
              <w14:schemeClr w14:val="tx1"/>
            </w14:solidFill>
          </w14:textFill>
        </w:rPr>
      </w:pPr>
    </w:p>
    <w:p w14:paraId="14284BC0">
      <w:pPr>
        <w:pStyle w:val="4"/>
        <w:numPr>
          <w:ilvl w:val="0"/>
          <w:numId w:val="0"/>
        </w:numPr>
        <w:spacing w:line="360" w:lineRule="auto"/>
        <w:ind w:leftChars="200"/>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lang w:val="en-US" w:eastAsia="zh-CN"/>
          <w14:textFill>
            <w14:solidFill>
              <w14:schemeClr w14:val="tx1"/>
            </w14:solidFill>
          </w14:textFill>
        </w:rPr>
        <w:t>三、</w:t>
      </w:r>
      <w:r>
        <w:rPr>
          <w:rFonts w:hint="eastAsia" w:ascii="宋体" w:hAnsi="宋体" w:cs="宋体"/>
          <w:color w:val="000000" w:themeColor="text1"/>
          <w:sz w:val="36"/>
          <w:szCs w:val="36"/>
          <w:highlight w:val="none"/>
          <w14:textFill>
            <w14:solidFill>
              <w14:schemeClr w14:val="tx1"/>
            </w14:solidFill>
          </w14:textFill>
        </w:rPr>
        <w:t>技术部分</w:t>
      </w:r>
    </w:p>
    <w:p w14:paraId="6A364F49">
      <w:pPr>
        <w:numPr>
          <w:ilvl w:val="0"/>
          <w:numId w:val="0"/>
        </w:numPr>
        <w:ind w:leftChars="200"/>
        <w:rPr>
          <w:rFonts w:hint="eastAsia"/>
          <w:color w:val="000000" w:themeColor="text1"/>
          <w:highlight w:val="none"/>
          <w14:textFill>
            <w14:solidFill>
              <w14:schemeClr w14:val="tx1"/>
            </w14:solidFill>
          </w14:textFill>
        </w:rPr>
      </w:pPr>
    </w:p>
    <w:p w14:paraId="54C37CFD">
      <w:pPr>
        <w:pStyle w:val="2"/>
        <w:rPr>
          <w:rFonts w:ascii="宋体" w:hAnsi="宋体" w:cs="宋体"/>
          <w:color w:val="000000" w:themeColor="text1"/>
          <w:sz w:val="44"/>
          <w:szCs w:val="44"/>
          <w:highlight w:val="none"/>
          <w14:textFill>
            <w14:solidFill>
              <w14:schemeClr w14:val="tx1"/>
            </w14:solidFill>
          </w14:textFill>
        </w:rPr>
      </w:pPr>
    </w:p>
    <w:p w14:paraId="202A431C">
      <w:pPr>
        <w:pStyle w:val="66"/>
        <w:rPr>
          <w:rFonts w:ascii="宋体" w:hAnsi="宋体" w:cs="宋体"/>
          <w:color w:val="000000" w:themeColor="text1"/>
          <w:sz w:val="44"/>
          <w:szCs w:val="44"/>
          <w:highlight w:val="none"/>
          <w14:textFill>
            <w14:solidFill>
              <w14:schemeClr w14:val="tx1"/>
            </w14:solidFill>
          </w14:textFill>
        </w:rPr>
      </w:pPr>
    </w:p>
    <w:p w14:paraId="0C0C637D">
      <w:pPr>
        <w:rPr>
          <w:rFonts w:ascii="宋体" w:hAnsi="宋体" w:cs="宋体"/>
          <w:color w:val="000000" w:themeColor="text1"/>
          <w:sz w:val="44"/>
          <w:szCs w:val="44"/>
          <w:highlight w:val="none"/>
          <w14:textFill>
            <w14:solidFill>
              <w14:schemeClr w14:val="tx1"/>
            </w14:solidFill>
          </w14:textFill>
        </w:rPr>
      </w:pPr>
    </w:p>
    <w:p w14:paraId="0FDA1930">
      <w:pPr>
        <w:pStyle w:val="2"/>
        <w:rPr>
          <w:rFonts w:ascii="宋体" w:hAnsi="宋体" w:cs="宋体"/>
          <w:color w:val="000000" w:themeColor="text1"/>
          <w:sz w:val="44"/>
          <w:szCs w:val="44"/>
          <w:highlight w:val="none"/>
          <w14:textFill>
            <w14:solidFill>
              <w14:schemeClr w14:val="tx1"/>
            </w14:solidFill>
          </w14:textFill>
        </w:rPr>
      </w:pPr>
    </w:p>
    <w:p w14:paraId="6198ACF7">
      <w:pPr>
        <w:pStyle w:val="66"/>
        <w:rPr>
          <w:rFonts w:ascii="宋体" w:hAnsi="宋体" w:cs="宋体"/>
          <w:color w:val="000000" w:themeColor="text1"/>
          <w:sz w:val="44"/>
          <w:szCs w:val="44"/>
          <w:highlight w:val="none"/>
          <w14:textFill>
            <w14:solidFill>
              <w14:schemeClr w14:val="tx1"/>
            </w14:solidFill>
          </w14:textFill>
        </w:rPr>
      </w:pPr>
    </w:p>
    <w:p w14:paraId="2558EDC3">
      <w:pPr>
        <w:rPr>
          <w:rFonts w:ascii="宋体" w:hAnsi="宋体" w:cs="宋体"/>
          <w:color w:val="000000" w:themeColor="text1"/>
          <w:sz w:val="44"/>
          <w:szCs w:val="44"/>
          <w:highlight w:val="none"/>
          <w14:textFill>
            <w14:solidFill>
              <w14:schemeClr w14:val="tx1"/>
            </w14:solidFill>
          </w14:textFill>
        </w:rPr>
      </w:pPr>
    </w:p>
    <w:p w14:paraId="1671D40E">
      <w:pPr>
        <w:pStyle w:val="2"/>
        <w:rPr>
          <w:rFonts w:ascii="宋体" w:hAnsi="宋体" w:cs="宋体"/>
          <w:color w:val="000000" w:themeColor="text1"/>
          <w:sz w:val="44"/>
          <w:szCs w:val="44"/>
          <w:highlight w:val="none"/>
          <w14:textFill>
            <w14:solidFill>
              <w14:schemeClr w14:val="tx1"/>
            </w14:solidFill>
          </w14:textFill>
        </w:rPr>
      </w:pPr>
    </w:p>
    <w:p w14:paraId="55DBD3C6">
      <w:pPr>
        <w:pStyle w:val="66"/>
        <w:rPr>
          <w:rFonts w:ascii="宋体" w:hAnsi="宋体" w:cs="宋体"/>
          <w:color w:val="000000" w:themeColor="text1"/>
          <w:sz w:val="44"/>
          <w:szCs w:val="44"/>
          <w:highlight w:val="none"/>
          <w14:textFill>
            <w14:solidFill>
              <w14:schemeClr w14:val="tx1"/>
            </w14:solidFill>
          </w14:textFill>
        </w:rPr>
      </w:pPr>
    </w:p>
    <w:p w14:paraId="407509AD">
      <w:pPr>
        <w:rPr>
          <w:rFonts w:ascii="宋体" w:hAnsi="宋体" w:cs="宋体"/>
          <w:color w:val="000000" w:themeColor="text1"/>
          <w:sz w:val="44"/>
          <w:szCs w:val="44"/>
          <w:highlight w:val="none"/>
          <w14:textFill>
            <w14:solidFill>
              <w14:schemeClr w14:val="tx1"/>
            </w14:solidFill>
          </w14:textFill>
        </w:rPr>
      </w:pPr>
    </w:p>
    <w:p w14:paraId="5B1531F0">
      <w:pPr>
        <w:pStyle w:val="2"/>
        <w:rPr>
          <w:rFonts w:ascii="宋体" w:hAnsi="宋体" w:cs="宋体"/>
          <w:color w:val="000000" w:themeColor="text1"/>
          <w:sz w:val="44"/>
          <w:szCs w:val="44"/>
          <w:highlight w:val="none"/>
          <w14:textFill>
            <w14:solidFill>
              <w14:schemeClr w14:val="tx1"/>
            </w14:solidFill>
          </w14:textFill>
        </w:rPr>
      </w:pPr>
    </w:p>
    <w:p w14:paraId="5D3B8985">
      <w:pPr>
        <w:pStyle w:val="66"/>
        <w:rPr>
          <w:rFonts w:ascii="宋体" w:hAnsi="宋体" w:cs="宋体"/>
          <w:color w:val="000000" w:themeColor="text1"/>
          <w:sz w:val="44"/>
          <w:szCs w:val="44"/>
          <w:highlight w:val="none"/>
          <w14:textFill>
            <w14:solidFill>
              <w14:schemeClr w14:val="tx1"/>
            </w14:solidFill>
          </w14:textFill>
        </w:rPr>
      </w:pPr>
    </w:p>
    <w:p w14:paraId="6F25516D">
      <w:pPr>
        <w:pStyle w:val="2"/>
        <w:rPr>
          <w:rFonts w:ascii="宋体" w:hAnsi="宋体" w:cs="宋体"/>
          <w:color w:val="000000" w:themeColor="text1"/>
          <w:highlight w:val="none"/>
          <w14:textFill>
            <w14:solidFill>
              <w14:schemeClr w14:val="tx1"/>
            </w14:solidFill>
          </w14:textFill>
        </w:rPr>
      </w:pPr>
    </w:p>
    <w:p w14:paraId="46482525">
      <w:pPr>
        <w:rPr>
          <w:rFonts w:hint="eastAsia" w:ascii="宋体" w:hAnsi="宋体" w:cs="宋体"/>
          <w:color w:val="000000" w:themeColor="text1"/>
          <w:sz w:val="36"/>
          <w:szCs w:val="36"/>
          <w:highlight w:val="none"/>
          <w14:textFill>
            <w14:solidFill>
              <w14:schemeClr w14:val="tx1"/>
            </w14:solidFill>
          </w14:textFill>
        </w:rPr>
      </w:pPr>
      <w:bookmarkStart w:id="1194" w:name="_Toc11958"/>
      <w:bookmarkStart w:id="1195" w:name="_Toc21254"/>
      <w:bookmarkStart w:id="1196" w:name="_Toc28074"/>
      <w:r>
        <w:rPr>
          <w:rFonts w:hint="eastAsia" w:ascii="宋体" w:hAnsi="宋体" w:cs="宋体"/>
          <w:color w:val="000000" w:themeColor="text1"/>
          <w:sz w:val="36"/>
          <w:szCs w:val="36"/>
          <w:highlight w:val="none"/>
          <w14:textFill>
            <w14:solidFill>
              <w14:schemeClr w14:val="tx1"/>
            </w14:solidFill>
          </w14:textFill>
        </w:rPr>
        <w:br w:type="page"/>
      </w:r>
    </w:p>
    <w:p w14:paraId="6C9476E8">
      <w:pPr>
        <w:pStyle w:val="4"/>
        <w:spacing w:line="360" w:lineRule="auto"/>
        <w:jc w:val="center"/>
        <w:rPr>
          <w:rFonts w:hint="eastAsia" w:ascii="宋体" w:hAnsi="宋体" w:cs="宋体"/>
          <w:color w:val="000000" w:themeColor="text1"/>
          <w:sz w:val="36"/>
          <w:szCs w:val="36"/>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6B45A62D">
      <w:pPr>
        <w:ind w:firstLine="4320" w:firstLineChars="1200"/>
        <w:rPr>
          <w:rFonts w:ascii="宋体" w:hAnsi="宋体"/>
          <w:color w:val="000000" w:themeColor="text1"/>
          <w:kern w:val="0"/>
          <w:sz w:val="36"/>
          <w:szCs w:val="36"/>
          <w:highlight w:val="none"/>
          <w14:textFill>
            <w14:solidFill>
              <w14:schemeClr w14:val="tx1"/>
            </w14:solidFill>
          </w14:textFill>
        </w:rPr>
      </w:pPr>
    </w:p>
    <w:p w14:paraId="6B363519">
      <w:pPr>
        <w:ind w:firstLine="4320" w:firstLineChars="1200"/>
        <w:rPr>
          <w:b/>
          <w:bCs/>
          <w:color w:val="000000" w:themeColor="text1"/>
          <w:sz w:val="44"/>
          <w:szCs w:val="44"/>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CFB6C9D">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14:paraId="0EC3E20F">
      <w:pPr>
        <w:pStyle w:val="4"/>
        <w:spacing w:line="360" w:lineRule="auto"/>
        <w:jc w:val="center"/>
        <w:rPr>
          <w:rFonts w:hint="eastAsia" w:ascii="宋体" w:hAnsi="宋体" w:cs="宋体"/>
          <w:b w:val="0"/>
          <w:bCs w:val="0"/>
          <w:color w:val="000000" w:themeColor="text1"/>
          <w:sz w:val="24"/>
          <w:szCs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b w:val="0"/>
          <w:bCs w:val="0"/>
          <w:i/>
          <w:iCs/>
          <w:color w:val="000000" w:themeColor="text1"/>
          <w:kern w:val="0"/>
          <w:sz w:val="22"/>
          <w:szCs w:val="16"/>
          <w:highlight w:val="none"/>
          <w14:textFill>
            <w14:solidFill>
              <w14:schemeClr w14:val="tx1"/>
            </w14:solidFill>
          </w14:textFill>
        </w:rPr>
        <w:t>[</w:t>
      </w:r>
      <w:r>
        <w:rPr>
          <w:rFonts w:hint="eastAsia" w:ascii="宋体" w:hAnsi="宋体"/>
          <w:b w:val="0"/>
          <w:bCs w:val="0"/>
          <w:i/>
          <w:iCs/>
          <w:color w:val="000000" w:themeColor="text1"/>
          <w:kern w:val="0"/>
          <w:sz w:val="22"/>
          <w:szCs w:val="16"/>
          <w:highlight w:val="none"/>
          <w14:textFill>
            <w14:solidFill>
              <w14:schemeClr w14:val="tx1"/>
            </w14:solidFill>
          </w14:textFill>
        </w:rPr>
        <w:t>提示：</w:t>
      </w:r>
      <w:r>
        <w:rPr>
          <w:rFonts w:ascii="宋体" w:hAnsi="宋体"/>
          <w:b w:val="0"/>
          <w:bCs w:val="0"/>
          <w:i/>
          <w:iCs/>
          <w:color w:val="000000" w:themeColor="text1"/>
          <w:kern w:val="0"/>
          <w:sz w:val="22"/>
          <w:szCs w:val="16"/>
          <w:highlight w:val="none"/>
          <w14:textFill>
            <w14:solidFill>
              <w14:schemeClr w14:val="tx1"/>
            </w14:solidFill>
          </w14:textFill>
        </w:rPr>
        <w:t>目录由投标人自行编制]</w:t>
      </w:r>
    </w:p>
    <w:p w14:paraId="34DDCCB9">
      <w:pPr>
        <w:pStyle w:val="4"/>
        <w:spacing w:line="360" w:lineRule="auto"/>
        <w:jc w:val="center"/>
        <w:rPr>
          <w:rFonts w:hint="eastAsia" w:ascii="宋体" w:hAnsi="宋体" w:cs="宋体"/>
          <w:color w:val="000000" w:themeColor="text1"/>
          <w:sz w:val="36"/>
          <w:szCs w:val="36"/>
          <w:highlight w:val="none"/>
          <w:lang w:eastAsia="zh-CN"/>
          <w14:textFill>
            <w14:solidFill>
              <w14:schemeClr w14:val="tx1"/>
            </w14:solidFill>
          </w14:textFill>
        </w:rPr>
      </w:pPr>
    </w:p>
    <w:p w14:paraId="665662C5">
      <w:pPr>
        <w:pStyle w:val="4"/>
        <w:spacing w:line="360" w:lineRule="auto"/>
        <w:jc w:val="center"/>
        <w:rPr>
          <w:rFonts w:hint="eastAsia" w:ascii="宋体" w:hAnsi="宋体" w:cs="宋体"/>
          <w:color w:val="000000" w:themeColor="text1"/>
          <w:sz w:val="36"/>
          <w:szCs w:val="36"/>
          <w:highlight w:val="none"/>
          <w:lang w:eastAsia="zh-CN"/>
          <w14:textFill>
            <w14:solidFill>
              <w14:schemeClr w14:val="tx1"/>
            </w14:solidFill>
          </w14:textFill>
        </w:rPr>
      </w:pPr>
    </w:p>
    <w:p w14:paraId="14B9380B">
      <w:pPr>
        <w:pStyle w:val="4"/>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lang w:eastAsia="zh-CN"/>
          <w14:textFill>
            <w14:solidFill>
              <w14:schemeClr w14:val="tx1"/>
            </w14:solidFill>
          </w14:textFill>
        </w:rPr>
        <w:t>四</w:t>
      </w:r>
      <w:r>
        <w:rPr>
          <w:rFonts w:hint="eastAsia" w:ascii="宋体" w:hAnsi="宋体" w:cs="宋体"/>
          <w:color w:val="000000" w:themeColor="text1"/>
          <w:sz w:val="36"/>
          <w:szCs w:val="36"/>
          <w:highlight w:val="none"/>
          <w14:textFill>
            <w14:solidFill>
              <w14:schemeClr w14:val="tx1"/>
            </w14:solidFill>
          </w14:textFill>
        </w:rPr>
        <w:t>、</w:t>
      </w:r>
      <w:bookmarkEnd w:id="1186"/>
      <w:bookmarkEnd w:id="1187"/>
      <w:bookmarkEnd w:id="1188"/>
      <w:bookmarkEnd w:id="1189"/>
      <w:bookmarkEnd w:id="1190"/>
      <w:r>
        <w:rPr>
          <w:rFonts w:hint="eastAsia" w:ascii="宋体" w:hAnsi="宋体" w:cs="宋体"/>
          <w:color w:val="000000" w:themeColor="text1"/>
          <w:sz w:val="36"/>
          <w:szCs w:val="36"/>
          <w:highlight w:val="none"/>
          <w14:textFill>
            <w14:solidFill>
              <w14:schemeClr w14:val="tx1"/>
            </w14:solidFill>
          </w14:textFill>
        </w:rPr>
        <w:t>资格审查部分</w:t>
      </w:r>
      <w:bookmarkEnd w:id="1191"/>
      <w:bookmarkEnd w:id="1192"/>
      <w:bookmarkEnd w:id="1193"/>
      <w:bookmarkEnd w:id="1194"/>
      <w:bookmarkEnd w:id="1195"/>
      <w:bookmarkEnd w:id="1196"/>
    </w:p>
    <w:p w14:paraId="4F8E4D06">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kern w:val="0"/>
          <w:sz w:val="32"/>
          <w:szCs w:val="32"/>
          <w:highlight w:val="none"/>
          <w:u w:val="single"/>
          <w14:textFill>
            <w14:solidFill>
              <w14:schemeClr w14:val="tx1"/>
            </w14:solidFill>
          </w14:textFill>
        </w:rPr>
        <w:t xml:space="preserve">                   （项目名称）</w:t>
      </w:r>
    </w:p>
    <w:p w14:paraId="0390CA7C">
      <w:pPr>
        <w:tabs>
          <w:tab w:val="left" w:pos="3600"/>
          <w:tab w:val="left" w:pos="4480"/>
          <w:tab w:val="left" w:pos="5360"/>
        </w:tabs>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567BAE27">
      <w:pPr>
        <w:tabs>
          <w:tab w:val="left" w:pos="3600"/>
          <w:tab w:val="left" w:pos="4480"/>
          <w:tab w:val="left" w:pos="5360"/>
        </w:tabs>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5BE4799C">
      <w:pPr>
        <w:tabs>
          <w:tab w:val="left" w:pos="3600"/>
          <w:tab w:val="left" w:pos="4480"/>
          <w:tab w:val="left" w:pos="5360"/>
        </w:tabs>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30748EF0">
      <w:pPr>
        <w:tabs>
          <w:tab w:val="left" w:pos="3600"/>
          <w:tab w:val="left" w:pos="4480"/>
          <w:tab w:val="left" w:pos="5360"/>
        </w:tabs>
        <w:autoSpaceDE w:val="0"/>
        <w:autoSpaceDN w:val="0"/>
        <w:adjustRightInd w:val="0"/>
        <w:snapToGrid w:val="0"/>
        <w:spacing w:line="360" w:lineRule="auto"/>
        <w:jc w:val="center"/>
        <w:rPr>
          <w:rFonts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14:textFill>
            <w14:solidFill>
              <w14:schemeClr w14:val="tx1"/>
            </w14:solidFill>
          </w14:textFill>
        </w:rPr>
        <w:t>投 标 文 件</w:t>
      </w:r>
    </w:p>
    <w:p w14:paraId="21BFCFB8">
      <w:pPr>
        <w:autoSpaceDE w:val="0"/>
        <w:autoSpaceDN w:val="0"/>
        <w:adjustRightInd w:val="0"/>
        <w:snapToGrid w:val="0"/>
        <w:spacing w:line="360" w:lineRule="auto"/>
        <w:jc w:val="left"/>
        <w:rPr>
          <w:rFonts w:ascii="宋体" w:hAnsi="宋体" w:cs="宋体"/>
          <w:b/>
          <w:bCs/>
          <w:color w:val="000000" w:themeColor="text1"/>
          <w:kern w:val="0"/>
          <w:sz w:val="16"/>
          <w:szCs w:val="16"/>
          <w:highlight w:val="none"/>
          <w14:textFill>
            <w14:solidFill>
              <w14:schemeClr w14:val="tx1"/>
            </w14:solidFill>
          </w14:textFill>
        </w:rPr>
      </w:pPr>
    </w:p>
    <w:p w14:paraId="42FA3F49">
      <w:pPr>
        <w:autoSpaceDE w:val="0"/>
        <w:autoSpaceDN w:val="0"/>
        <w:adjustRightInd w:val="0"/>
        <w:snapToGrid w:val="0"/>
        <w:spacing w:line="360" w:lineRule="auto"/>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资格审查部分</w:t>
      </w:r>
    </w:p>
    <w:p w14:paraId="5A5A0B81">
      <w:pPr>
        <w:autoSpaceDE w:val="0"/>
        <w:autoSpaceDN w:val="0"/>
        <w:adjustRightInd w:val="0"/>
        <w:snapToGrid w:val="0"/>
        <w:spacing w:line="360" w:lineRule="auto"/>
        <w:jc w:val="left"/>
        <w:rPr>
          <w:rFonts w:ascii="宋体" w:hAnsi="宋体" w:cs="宋体"/>
          <w:b/>
          <w:bCs/>
          <w:color w:val="000000" w:themeColor="text1"/>
          <w:kern w:val="0"/>
          <w:sz w:val="20"/>
          <w:szCs w:val="20"/>
          <w:highlight w:val="none"/>
          <w14:textFill>
            <w14:solidFill>
              <w14:schemeClr w14:val="tx1"/>
            </w14:solidFill>
          </w14:textFill>
        </w:rPr>
      </w:pPr>
    </w:p>
    <w:p w14:paraId="343D6DE7">
      <w:pPr>
        <w:adjustRightInd w:val="0"/>
        <w:snapToGrid w:val="0"/>
        <w:spacing w:line="264" w:lineRule="auto"/>
        <w:rPr>
          <w:rFonts w:ascii="宋体" w:hAnsi="宋体" w:cs="宋体"/>
          <w:color w:val="000000" w:themeColor="text1"/>
          <w:szCs w:val="21"/>
          <w:highlight w:val="none"/>
          <w14:textFill>
            <w14:solidFill>
              <w14:schemeClr w14:val="tx1"/>
            </w14:solidFill>
          </w14:textFill>
        </w:rPr>
      </w:pPr>
    </w:p>
    <w:p w14:paraId="213AFB17">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3BC399F2">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3CFCD36B">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199235D4">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6567799C">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635D8CA2">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72664286">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575D410C">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1644C4AE">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70F8C8A6">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70345D1C">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5371BF23">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12305D81">
      <w:pPr>
        <w:autoSpaceDE w:val="0"/>
        <w:autoSpaceDN w:val="0"/>
        <w:adjustRightInd w:val="0"/>
        <w:snapToGrid w:val="0"/>
        <w:spacing w:line="360" w:lineRule="auto"/>
        <w:jc w:val="left"/>
        <w:rPr>
          <w:rFonts w:ascii="宋体" w:hAnsi="宋体" w:cs="宋体"/>
          <w:color w:val="000000" w:themeColor="text1"/>
          <w:kern w:val="0"/>
          <w:sz w:val="20"/>
          <w:szCs w:val="20"/>
          <w:highlight w:val="none"/>
          <w14:textFill>
            <w14:solidFill>
              <w14:schemeClr w14:val="tx1"/>
            </w14:solidFill>
          </w14:textFill>
        </w:rPr>
      </w:pPr>
    </w:p>
    <w:p w14:paraId="6B1D2632">
      <w:pPr>
        <w:tabs>
          <w:tab w:val="left" w:pos="6080"/>
          <w:tab w:val="left" w:pos="6640"/>
        </w:tabs>
        <w:autoSpaceDE w:val="0"/>
        <w:autoSpaceDN w:val="0"/>
        <w:adjustRightInd w:val="0"/>
        <w:snapToGrid w:val="0"/>
        <w:spacing w:line="480" w:lineRule="auto"/>
        <w:jc w:val="center"/>
        <w:rPr>
          <w:rFonts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（盖单位法人章）</w:t>
      </w:r>
    </w:p>
    <w:p w14:paraId="43E14744">
      <w:pPr>
        <w:tabs>
          <w:tab w:val="left" w:pos="6080"/>
          <w:tab w:val="left" w:pos="6640"/>
        </w:tabs>
        <w:autoSpaceDE w:val="0"/>
        <w:autoSpaceDN w:val="0"/>
        <w:adjustRightInd w:val="0"/>
        <w:snapToGrid w:val="0"/>
        <w:spacing w:line="480" w:lineRule="auto"/>
        <w:ind w:firstLine="1108" w:firstLineChars="4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w:t>
      </w:r>
      <w:r>
        <w:rPr>
          <w:rFonts w:hint="eastAsia" w:ascii="宋体" w:hAnsi="宋体" w:cs="宋体"/>
          <w:color w:val="000000" w:themeColor="text1"/>
          <w:w w:val="99"/>
          <w:kern w:val="0"/>
          <w:sz w:val="28"/>
          <w:szCs w:val="28"/>
          <w:highlight w:val="none"/>
          <w:lang w:eastAsia="zh-CN"/>
          <w14:textFill>
            <w14:solidFill>
              <w14:schemeClr w14:val="tx1"/>
            </w14:solidFill>
          </w14:textFill>
        </w:rPr>
        <w:t>签名或盖章</w:t>
      </w:r>
      <w:r>
        <w:rPr>
          <w:rFonts w:hint="eastAsia" w:ascii="宋体" w:hAnsi="宋体" w:cs="宋体"/>
          <w:color w:val="000000" w:themeColor="text1"/>
          <w:w w:val="99"/>
          <w:kern w:val="0"/>
          <w:sz w:val="28"/>
          <w:szCs w:val="28"/>
          <w:highlight w:val="none"/>
          <w14:textFill>
            <w14:solidFill>
              <w14:schemeClr w14:val="tx1"/>
            </w14:solidFill>
          </w14:textFill>
        </w:rPr>
        <w:t>）</w:t>
      </w:r>
    </w:p>
    <w:p w14:paraId="104BBDDF">
      <w:pPr>
        <w:tabs>
          <w:tab w:val="left" w:pos="6080"/>
          <w:tab w:val="left" w:pos="6640"/>
        </w:tabs>
        <w:autoSpaceDE w:val="0"/>
        <w:autoSpaceDN w:val="0"/>
        <w:adjustRightInd w:val="0"/>
        <w:snapToGrid w:val="0"/>
        <w:spacing w:afterLines="50"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年    月    日</w:t>
      </w:r>
    </w:p>
    <w:p w14:paraId="23C4458D">
      <w:pPr>
        <w:tabs>
          <w:tab w:val="left" w:pos="3280"/>
          <w:tab w:val="left" w:pos="4680"/>
          <w:tab w:val="left" w:pos="6080"/>
        </w:tabs>
        <w:autoSpaceDE w:val="0"/>
        <w:autoSpaceDN w:val="0"/>
        <w:adjustRightInd w:val="0"/>
        <w:snapToGrid w:val="0"/>
        <w:spacing w:line="48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br w:type="page"/>
      </w:r>
    </w:p>
    <w:p w14:paraId="6C5B68A1">
      <w:pPr>
        <w:autoSpaceDE w:val="0"/>
        <w:autoSpaceDN w:val="0"/>
        <w:adjustRightInd w:val="0"/>
        <w:snapToGrid w:val="0"/>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  录</w:t>
      </w:r>
    </w:p>
    <w:p w14:paraId="2116DC3E">
      <w:pPr>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0886B3A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（一）法定代表人身份证明或附有法定代表人身份证明的授权委托书</w:t>
      </w:r>
    </w:p>
    <w:p w14:paraId="22657EB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基本情况表</w:t>
      </w:r>
    </w:p>
    <w:p w14:paraId="4000208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（三）项目管理机构</w:t>
      </w:r>
    </w:p>
    <w:p w14:paraId="1A587B7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（四）承诺</w:t>
      </w:r>
    </w:p>
    <w:p w14:paraId="308CCA0C">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五</w:t>
      </w:r>
      <w:r>
        <w:rPr>
          <w:rFonts w:hint="eastAsia" w:ascii="宋体" w:hAnsi="宋体" w:cs="宋体"/>
          <w:color w:val="000000" w:themeColor="text1"/>
          <w:highlight w:val="none"/>
          <w14:textFill>
            <w14:solidFill>
              <w14:schemeClr w14:val="tx1"/>
            </w14:solidFill>
          </w14:textFill>
        </w:rPr>
        <w:t>）其他资料</w:t>
      </w:r>
    </w:p>
    <w:p w14:paraId="1C04F7AA">
      <w:pPr>
        <w:pStyle w:val="2"/>
        <w:rPr>
          <w:color w:val="000000" w:themeColor="text1"/>
          <w:highlight w:val="none"/>
          <w14:textFill>
            <w14:solidFill>
              <w14:schemeClr w14:val="tx1"/>
            </w14:solidFill>
          </w14:textFill>
        </w:rPr>
      </w:pPr>
    </w:p>
    <w:p w14:paraId="5EB5F4CD">
      <w:pPr>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49B76434">
      <w:pPr>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1C92A668">
      <w:pPr>
        <w:pStyle w:val="5"/>
        <w:spacing w:before="0" w:after="0" w:line="240" w:lineRule="auto"/>
        <w:jc w:val="center"/>
        <w:rPr>
          <w:rFonts w:hint="eastAsia" w:ascii="宋体" w:hAnsi="宋体" w:eastAsia="宋体" w:cs="Times New Roman"/>
          <w:b w:val="0"/>
          <w:bCs w:val="0"/>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197" w:name="_Toc224103511"/>
      <w:bookmarkStart w:id="1198" w:name="_Toc9928"/>
      <w:bookmarkStart w:id="1199" w:name="_Toc277082657"/>
      <w:bookmarkStart w:id="1200" w:name="_Toc2918"/>
      <w:bookmarkStart w:id="1201" w:name="_Toc4811"/>
      <w:bookmarkStart w:id="1202" w:name="_Toc430530546"/>
      <w:bookmarkStart w:id="1203" w:name="_Toc287620830"/>
      <w:bookmarkStart w:id="1204" w:name="_Toc23125"/>
      <w:bookmarkStart w:id="1205" w:name="_Toc287607883"/>
      <w:r>
        <w:rPr>
          <w:rFonts w:hint="eastAsia" w:ascii="宋体" w:hAnsi="宋体" w:eastAsia="宋体" w:cs="Times New Roman"/>
          <w:b w:val="0"/>
          <w:bCs w:val="0"/>
          <w:color w:val="000000" w:themeColor="text1"/>
          <w:highlight w:val="none"/>
          <w:lang w:eastAsia="zh-CN"/>
          <w14:textFill>
            <w14:solidFill>
              <w14:schemeClr w14:val="tx1"/>
            </w14:solidFill>
          </w14:textFill>
        </w:rPr>
        <w:t>（一）法定代表人身份证明或附有法定代表人身份证明的授权委托书</w:t>
      </w:r>
      <w:bookmarkEnd w:id="1197"/>
      <w:bookmarkEnd w:id="1198"/>
      <w:bookmarkEnd w:id="1199"/>
      <w:bookmarkEnd w:id="1200"/>
      <w:bookmarkEnd w:id="1201"/>
      <w:bookmarkEnd w:id="1202"/>
      <w:bookmarkEnd w:id="1203"/>
      <w:bookmarkEnd w:id="1204"/>
      <w:bookmarkEnd w:id="1205"/>
    </w:p>
    <w:p w14:paraId="29151519">
      <w:pPr>
        <w:pStyle w:val="5"/>
        <w:spacing w:before="0" w:after="0" w:line="240" w:lineRule="auto"/>
        <w:jc w:val="center"/>
        <w:rPr>
          <w:rFonts w:hint="eastAsia" w:ascii="宋体" w:hAnsi="宋体" w:eastAsia="宋体" w:cs="Times New Roman"/>
          <w:b w:val="0"/>
          <w:bCs w:val="0"/>
          <w:color w:val="000000" w:themeColor="text1"/>
          <w:highlight w:val="none"/>
          <w:lang w:eastAsia="zh-CN"/>
          <w14:textFill>
            <w14:solidFill>
              <w14:schemeClr w14:val="tx1"/>
            </w14:solidFill>
          </w14:textFill>
        </w:rPr>
      </w:pPr>
      <w:r>
        <w:rPr>
          <w:rFonts w:hint="eastAsia" w:ascii="宋体" w:hAnsi="宋体" w:eastAsia="宋体" w:cs="Times New Roman"/>
          <w:b w:val="0"/>
          <w:bCs w:val="0"/>
          <w:color w:val="000000" w:themeColor="text1"/>
          <w:highlight w:val="none"/>
          <w:lang w:eastAsia="zh-CN"/>
          <w14:textFill>
            <w14:solidFill>
              <w14:schemeClr w14:val="tx1"/>
            </w14:solidFill>
          </w14:textFill>
        </w:rPr>
        <w:t>法定代表人身份证明</w:t>
      </w:r>
    </w:p>
    <w:p w14:paraId="67842D7B">
      <w:pPr>
        <w:spacing w:line="480" w:lineRule="auto"/>
        <w:jc w:val="center"/>
        <w:rPr>
          <w:rFonts w:ascii="宋体" w:hAnsi="宋体" w:cs="宋体"/>
          <w:color w:val="000000" w:themeColor="text1"/>
          <w:highlight w:val="none"/>
          <w14:textFill>
            <w14:solidFill>
              <w14:schemeClr w14:val="tx1"/>
            </w14:solidFill>
          </w14:textFill>
        </w:rPr>
      </w:pPr>
    </w:p>
    <w:p w14:paraId="6DC4FBD4">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407704D5">
      <w:pPr>
        <w:tabs>
          <w:tab w:val="left" w:pos="556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DF2628A">
      <w:pPr>
        <w:tabs>
          <w:tab w:val="left" w:pos="547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378C2FB">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000000" w:themeColor="text1"/>
          <w:kern w:val="0"/>
          <w:sz w:val="10"/>
          <w:szCs w:val="1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619AA163">
      <w:pPr>
        <w:tabs>
          <w:tab w:val="left" w:pos="547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3FB23E0">
      <w:pPr>
        <w:tabs>
          <w:tab w:val="left" w:pos="5475"/>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00BF4E0">
      <w:pPr>
        <w:tabs>
          <w:tab w:val="left" w:pos="3360"/>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的法定代表人。</w:t>
      </w:r>
    </w:p>
    <w:p w14:paraId="10C7ADEA">
      <w:pPr>
        <w:tabs>
          <w:tab w:val="left" w:pos="3360"/>
        </w:tabs>
        <w:autoSpaceDE w:val="0"/>
        <w:autoSpaceDN w:val="0"/>
        <w:adjustRightInd w:val="0"/>
        <w:snapToGrid w:val="0"/>
        <w:spacing w:line="480" w:lineRule="auto"/>
        <w:ind w:firstLine="390" w:firstLineChars="1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5033FCCB">
      <w:pPr>
        <w:autoSpaceDE w:val="0"/>
        <w:autoSpaceDN w:val="0"/>
        <w:adjustRightInd w:val="0"/>
        <w:snapToGrid w:val="0"/>
        <w:spacing w:line="480" w:lineRule="auto"/>
        <w:ind w:firstLine="810" w:firstLineChars="3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附：法定代表人身份证明扫描件（双面）</w:t>
      </w:r>
    </w:p>
    <w:p w14:paraId="087020C7">
      <w:pPr>
        <w:autoSpaceDE w:val="0"/>
        <w:autoSpaceDN w:val="0"/>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p>
    <w:p w14:paraId="0C9792E8">
      <w:pPr>
        <w:pStyle w:val="2"/>
        <w:spacing w:line="360" w:lineRule="auto"/>
        <w:rPr>
          <w:rFonts w:ascii="宋体" w:hAnsi="宋体" w:cs="宋体"/>
          <w:color w:val="000000" w:themeColor="text1"/>
          <w:szCs w:val="21"/>
          <w:highlight w:val="none"/>
          <w14:textFill>
            <w14:solidFill>
              <w14:schemeClr w14:val="tx1"/>
            </w14:solidFill>
          </w14:textFill>
        </w:rPr>
      </w:pPr>
    </w:p>
    <w:p w14:paraId="6256A610">
      <w:pPr>
        <w:pStyle w:val="2"/>
        <w:spacing w:line="360" w:lineRule="auto"/>
        <w:rPr>
          <w:rFonts w:ascii="宋体" w:hAnsi="宋体" w:cs="宋体"/>
          <w:color w:val="000000" w:themeColor="text1"/>
          <w:szCs w:val="21"/>
          <w:highlight w:val="none"/>
          <w14:textFill>
            <w14:solidFill>
              <w14:schemeClr w14:val="tx1"/>
            </w14:solidFill>
          </w14:textFill>
        </w:rPr>
      </w:pPr>
    </w:p>
    <w:p w14:paraId="19FE4333">
      <w:pPr>
        <w:pStyle w:val="2"/>
        <w:spacing w:line="360" w:lineRule="auto"/>
        <w:rPr>
          <w:rFonts w:ascii="宋体" w:hAnsi="宋体" w:cs="宋体"/>
          <w:color w:val="000000" w:themeColor="text1"/>
          <w:szCs w:val="21"/>
          <w:highlight w:val="none"/>
          <w14:textFill>
            <w14:solidFill>
              <w14:schemeClr w14:val="tx1"/>
            </w14:solidFill>
          </w14:textFill>
        </w:rPr>
      </w:pPr>
    </w:p>
    <w:p w14:paraId="6E7FE1D5">
      <w:pPr>
        <w:pStyle w:val="2"/>
        <w:spacing w:line="360" w:lineRule="auto"/>
        <w:rPr>
          <w:rFonts w:ascii="宋体" w:hAnsi="宋体" w:cs="宋体"/>
          <w:color w:val="000000" w:themeColor="text1"/>
          <w:szCs w:val="21"/>
          <w:highlight w:val="none"/>
          <w14:textFill>
            <w14:solidFill>
              <w14:schemeClr w14:val="tx1"/>
            </w14:solidFill>
          </w14:textFill>
        </w:rPr>
      </w:pPr>
    </w:p>
    <w:p w14:paraId="5FC2BF1C">
      <w:pPr>
        <w:pStyle w:val="2"/>
        <w:spacing w:line="360" w:lineRule="auto"/>
        <w:rPr>
          <w:rFonts w:ascii="宋体" w:hAnsi="宋体" w:cs="宋体"/>
          <w:color w:val="000000" w:themeColor="text1"/>
          <w:szCs w:val="21"/>
          <w:highlight w:val="none"/>
          <w14:textFill>
            <w14:solidFill>
              <w14:schemeClr w14:val="tx1"/>
            </w14:solidFill>
          </w14:textFill>
        </w:rPr>
      </w:pPr>
    </w:p>
    <w:p w14:paraId="16433D30">
      <w:pPr>
        <w:wordWrap w:val="0"/>
        <w:autoSpaceDE w:val="0"/>
        <w:autoSpaceDN w:val="0"/>
        <w:adjustRightInd w:val="0"/>
        <w:snapToGrid w:val="0"/>
        <w:spacing w:line="480" w:lineRule="auto"/>
        <w:ind w:firstLine="420" w:firstLineChars="20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盖单位法人章）</w:t>
      </w:r>
    </w:p>
    <w:p w14:paraId="4F123497">
      <w:pPr>
        <w:autoSpaceDE w:val="0"/>
        <w:autoSpaceDN w:val="0"/>
        <w:adjustRightInd w:val="0"/>
        <w:snapToGrid w:val="0"/>
        <w:spacing w:line="480" w:lineRule="auto"/>
        <w:jc w:val="left"/>
        <w:rPr>
          <w:rFonts w:ascii="宋体" w:hAnsi="宋体" w:cs="宋体"/>
          <w:color w:val="000000" w:themeColor="text1"/>
          <w:kern w:val="0"/>
          <w:sz w:val="20"/>
          <w:szCs w:val="20"/>
          <w:highlight w:val="none"/>
          <w14:textFill>
            <w14:solidFill>
              <w14:schemeClr w14:val="tx1"/>
            </w14:solidFill>
          </w14:textFill>
        </w:rPr>
      </w:pPr>
    </w:p>
    <w:p w14:paraId="61D6814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580F2093">
      <w:pPr>
        <w:autoSpaceDE w:val="0"/>
        <w:autoSpaceDN w:val="0"/>
        <w:adjustRightInd w:val="0"/>
        <w:snapToGrid w:val="0"/>
        <w:spacing w:line="360" w:lineRule="auto"/>
        <w:jc w:val="left"/>
        <w:rPr>
          <w:rFonts w:ascii="宋体" w:hAnsi="宋体" w:cs="宋体"/>
          <w:color w:val="000000" w:themeColor="text1"/>
          <w:kern w:val="0"/>
          <w:highlight w:val="none"/>
          <w14:textFill>
            <w14:solidFill>
              <w14:schemeClr w14:val="tx1"/>
            </w14:solidFill>
          </w14:textFill>
        </w:rPr>
      </w:pPr>
    </w:p>
    <w:p w14:paraId="06F599E7">
      <w:pPr>
        <w:autoSpaceDE w:val="0"/>
        <w:autoSpaceDN w:val="0"/>
        <w:adjustRightInd w:val="0"/>
        <w:snapToGrid w:val="0"/>
        <w:spacing w:line="360" w:lineRule="auto"/>
        <w:jc w:val="left"/>
        <w:rPr>
          <w:rFonts w:ascii="宋体" w:hAnsi="宋体" w:cs="宋体"/>
          <w:color w:val="000000" w:themeColor="text1"/>
          <w:kern w:val="0"/>
          <w:highlight w:val="none"/>
          <w14:textFill>
            <w14:solidFill>
              <w14:schemeClr w14:val="tx1"/>
            </w14:solidFill>
          </w14:textFill>
        </w:rPr>
      </w:pPr>
    </w:p>
    <w:p w14:paraId="2581C24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s="宋体"/>
          <w:color w:val="000000" w:themeColor="text1"/>
          <w:kern w:val="0"/>
          <w:szCs w:val="21"/>
          <w:highlight w:val="none"/>
          <w14:textFill>
            <w14:solidFill>
              <w14:schemeClr w14:val="tx1"/>
            </w14:solidFill>
          </w14:textFill>
        </w:rPr>
        <w:t>。</w:t>
      </w:r>
    </w:p>
    <w:p w14:paraId="4E2DC09F">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color w:val="000000" w:themeColor="text1"/>
          <w:kern w:val="0"/>
          <w:szCs w:val="21"/>
          <w:highlight w:val="none"/>
          <w14:textFill>
            <w14:solidFill>
              <w14:schemeClr w14:val="tx1"/>
            </w14:solidFill>
          </w14:textFill>
        </w:rPr>
      </w:pPr>
    </w:p>
    <w:p w14:paraId="3BD0B34A">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授权委托书</w:t>
      </w:r>
    </w:p>
    <w:p w14:paraId="17D36FB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color w:val="000000" w:themeColor="text1"/>
          <w:kern w:val="0"/>
          <w:szCs w:val="21"/>
          <w:highlight w:val="none"/>
          <w:u w:val="single"/>
          <w14:textFill>
            <w14:solidFill>
              <w14:schemeClr w14:val="tx1"/>
            </w14:solidFill>
          </w14:textFill>
        </w:rPr>
        <w:t xml:space="preserve">     （姓名）</w:t>
      </w: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u w:val="single"/>
          <w:lang w:eastAsia="zh-CN"/>
          <w14:textFill>
            <w14:solidFill>
              <w14:schemeClr w14:val="tx1"/>
            </w14:solidFill>
          </w14:textFill>
        </w:rPr>
        <w:t>投标人</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spacing w:val="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的法定代</w:t>
      </w:r>
      <w:r>
        <w:rPr>
          <w:rFonts w:hint="eastAsia" w:ascii="宋体" w:hAnsi="宋体" w:cs="宋体"/>
          <w:color w:val="000000" w:themeColor="text1"/>
          <w:spacing w:val="1"/>
          <w:kern w:val="0"/>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人，现委托</w:t>
      </w:r>
      <w:r>
        <w:rPr>
          <w:rFonts w:hint="eastAsia" w:ascii="宋体" w:hAnsi="宋体" w:cs="宋体"/>
          <w:color w:val="000000" w:themeColor="text1"/>
          <w:kern w:val="0"/>
          <w:szCs w:val="21"/>
          <w:highlight w:val="none"/>
          <w:u w:val="single"/>
          <w14:textFill>
            <w14:solidFill>
              <w14:schemeClr w14:val="tx1"/>
            </w14:solidFill>
          </w14:textFill>
        </w:rPr>
        <w:t xml:space="preserve">     （姓名）</w:t>
      </w:r>
      <w:r>
        <w:rPr>
          <w:rFonts w:hint="eastAsia" w:ascii="宋体" w:hAnsi="宋体" w:cs="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s="宋体"/>
          <w:color w:val="000000" w:themeColor="text1"/>
          <w:kern w:val="0"/>
          <w:szCs w:val="21"/>
          <w:highlight w:val="none"/>
          <w:u w:val="single"/>
          <w14:textFill>
            <w14:solidFill>
              <w14:schemeClr w14:val="tx1"/>
            </w14:solidFill>
          </w14:textFill>
        </w:rPr>
        <w:t xml:space="preserve">         （项</w:t>
      </w:r>
      <w:r>
        <w:rPr>
          <w:rFonts w:hint="eastAsia" w:ascii="宋体" w:hAnsi="宋体" w:cs="宋体"/>
          <w:color w:val="000000" w:themeColor="text1"/>
          <w:spacing w:val="-1"/>
          <w:kern w:val="0"/>
          <w:szCs w:val="21"/>
          <w:highlight w:val="none"/>
          <w:u w:val="single"/>
          <w14:textFill>
            <w14:solidFill>
              <w14:schemeClr w14:val="tx1"/>
            </w14:solidFill>
          </w14:textFill>
        </w:rPr>
        <w:t>目</w:t>
      </w:r>
      <w:r>
        <w:rPr>
          <w:rFonts w:hint="eastAsia" w:ascii="宋体" w:hAnsi="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投标文件、签订合同和处理有关事宜， 其法律后果由我方承担。</w:t>
      </w:r>
    </w:p>
    <w:p w14:paraId="25ABA9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w:t>
      </w:r>
      <w:r>
        <w:rPr>
          <w:rFonts w:hint="eastAsia" w:ascii="宋体" w:hAnsi="宋体" w:cs="宋体"/>
          <w:color w:val="000000" w:themeColor="text1"/>
          <w:spacing w:val="-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14:textFill>
            <w14:solidFill>
              <w14:schemeClr w14:val="tx1"/>
            </w14:solidFill>
          </w14:textFill>
        </w:rPr>
        <w:t>限：</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3C7913B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p w14:paraId="0350D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p>
    <w:p w14:paraId="07EDED6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4EDBEBAD">
      <w:pPr>
        <w:tabs>
          <w:tab w:val="left" w:pos="630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签名或盖章</w:t>
      </w:r>
      <w:r>
        <w:rPr>
          <w:rFonts w:hint="eastAsia" w:ascii="宋体" w:hAnsi="宋体" w:cs="宋体"/>
          <w:color w:val="000000" w:themeColor="text1"/>
          <w:kern w:val="0"/>
          <w:szCs w:val="21"/>
          <w:highlight w:val="none"/>
          <w14:textFill>
            <w14:solidFill>
              <w14:schemeClr w14:val="tx1"/>
            </w14:solidFill>
          </w14:textFill>
        </w:rPr>
        <w:t>）</w:t>
      </w:r>
    </w:p>
    <w:p w14:paraId="1BAF76C5">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A4F5694">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（签名</w:t>
      </w:r>
      <w:r>
        <w:rPr>
          <w:rFonts w:hint="eastAsia" w:ascii="宋体" w:hAnsi="宋体" w:cs="宋体"/>
          <w:color w:val="000000" w:themeColor="text1"/>
          <w:spacing w:val="-1"/>
          <w:kern w:val="0"/>
          <w:szCs w:val="21"/>
          <w:highlight w:val="none"/>
          <w14:textFill>
            <w14:solidFill>
              <w14:schemeClr w14:val="tx1"/>
            </w14:solidFill>
          </w14:textFill>
        </w:rPr>
        <w:t>）</w:t>
      </w:r>
    </w:p>
    <w:p w14:paraId="5E1F1209">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w w:val="200"/>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F39D6E2">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单位电话（座机）：</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60F0F925">
      <w:pPr>
        <w:tabs>
          <w:tab w:val="left" w:pos="5260"/>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委托代理人电话（手机）： </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330C7DB4">
      <w:pPr>
        <w:autoSpaceDE w:val="0"/>
        <w:autoSpaceDN w:val="0"/>
        <w:adjustRightInd w:val="0"/>
        <w:snapToGrid w:val="0"/>
        <w:spacing w:line="480" w:lineRule="auto"/>
        <w:ind w:firstLine="810" w:firstLineChars="38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附：法定代表人和委托代理人身份证明扫描件（双面）</w:t>
      </w:r>
    </w:p>
    <w:p w14:paraId="4E6F7A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3C32260D">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54494774">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000000" w:themeColor="text1"/>
          <w:w w:val="200"/>
          <w:kern w:val="0"/>
          <w:szCs w:val="21"/>
          <w:highlight w:val="none"/>
          <w:u w:val="single"/>
          <w14:textFill>
            <w14:solidFill>
              <w14:schemeClr w14:val="tx1"/>
            </w14:solidFill>
          </w14:textFill>
        </w:rPr>
      </w:pPr>
    </w:p>
    <w:p w14:paraId="75A9932A">
      <w:pPr>
        <w:tabs>
          <w:tab w:val="left" w:pos="6825"/>
        </w:tabs>
        <w:autoSpaceDE w:val="0"/>
        <w:autoSpaceDN w:val="0"/>
        <w:adjustRightInd w:val="0"/>
        <w:snapToGrid w:val="0"/>
        <w:spacing w:line="48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325567A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7F40C7D9">
      <w:pPr>
        <w:tabs>
          <w:tab w:val="left" w:pos="5760"/>
        </w:tabs>
        <w:autoSpaceDE w:val="0"/>
        <w:autoSpaceDN w:val="0"/>
        <w:adjustRightInd w:val="0"/>
        <w:spacing w:line="360" w:lineRule="auto"/>
        <w:rPr>
          <w:rFonts w:ascii="宋体" w:hAnsi="宋体" w:cs="宋体"/>
          <w:color w:val="000000" w:themeColor="text1"/>
          <w:kern w:val="0"/>
          <w:highlight w:val="none"/>
          <w14:textFill>
            <w14:solidFill>
              <w14:schemeClr w14:val="tx1"/>
            </w14:solidFill>
          </w14:textFill>
        </w:rPr>
      </w:pPr>
    </w:p>
    <w:p w14:paraId="43CC10DA">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注：1、法定代表人参加投标活动并签署文件的不需要授权委托书，只需提供法定代表人身份证明；非法定代表人参加投标活动及签署文件的除提供法定代表人身份证明外还须提供授权委托书。 </w:t>
      </w:r>
    </w:p>
    <w:p w14:paraId="7B08501F">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2、法定代表人身份证明及授权委托书原件装入投标文件一并递交。另外须准备一份授权委托书原件在开标现场出具。 </w:t>
      </w:r>
    </w:p>
    <w:p w14:paraId="6FA99F4D">
      <w:pPr>
        <w:tabs>
          <w:tab w:val="left" w:pos="5260"/>
        </w:tabs>
        <w:autoSpaceDE w:val="0"/>
        <w:autoSpaceDN w:val="0"/>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3.授权委托书需按上述格式填写完整，不可缺少内容。在此基础上增加内容的不影响其有效性。</w:t>
      </w:r>
    </w:p>
    <w:p w14:paraId="7D06BF19">
      <w:pPr>
        <w:spacing w:line="360" w:lineRule="auto"/>
        <w:rPr>
          <w:rFonts w:ascii="宋体" w:hAnsi="宋体" w:cs="宋体"/>
          <w:color w:val="000000" w:themeColor="text1"/>
          <w:highlight w:val="none"/>
          <w14:textFill>
            <w14:solidFill>
              <w14:schemeClr w14:val="tx1"/>
            </w14:solidFill>
          </w14:textFill>
        </w:rPr>
      </w:pPr>
      <w:bookmarkStart w:id="1206" w:name="_Toc18431"/>
      <w:bookmarkStart w:id="1207" w:name="_Toc12073"/>
      <w:bookmarkStart w:id="1208" w:name="_Toc6793"/>
      <w:bookmarkStart w:id="1209" w:name="_Toc12784"/>
      <w:bookmarkStart w:id="1210" w:name="_Toc277082659"/>
      <w:bookmarkStart w:id="1211" w:name="_Toc287607887"/>
      <w:r>
        <w:rPr>
          <w:rFonts w:hint="eastAsia" w:ascii="宋体" w:hAnsi="宋体" w:cs="宋体"/>
          <w:color w:val="000000" w:themeColor="text1"/>
          <w:highlight w:val="none"/>
          <w14:textFill>
            <w14:solidFill>
              <w14:schemeClr w14:val="tx1"/>
            </w14:solidFill>
          </w14:textFill>
        </w:rPr>
        <w:br w:type="page"/>
      </w:r>
    </w:p>
    <w:p w14:paraId="300345FC">
      <w:pPr>
        <w:pStyle w:val="5"/>
        <w:spacing w:before="0" w:after="0" w:line="240" w:lineRule="auto"/>
        <w:jc w:val="center"/>
        <w:rPr>
          <w:rFonts w:hint="eastAsia" w:ascii="宋体" w:hAnsi="宋体" w:eastAsia="宋体" w:cs="Times New Roman"/>
          <w:b w:val="0"/>
          <w:bCs w:val="0"/>
          <w:color w:val="000000" w:themeColor="text1"/>
          <w:highlight w:val="none"/>
          <w:lang w:eastAsia="zh-CN"/>
          <w14:textFill>
            <w14:solidFill>
              <w14:schemeClr w14:val="tx1"/>
            </w14:solidFill>
          </w14:textFill>
        </w:rPr>
      </w:pPr>
      <w:r>
        <w:rPr>
          <w:rFonts w:hint="eastAsia" w:ascii="宋体" w:hAnsi="宋体" w:eastAsia="宋体" w:cs="Times New Roman"/>
          <w:b w:val="0"/>
          <w:bCs w:val="0"/>
          <w:color w:val="000000" w:themeColor="text1"/>
          <w:highlight w:val="none"/>
          <w:lang w:eastAsia="zh-CN"/>
          <w14:textFill>
            <w14:solidFill>
              <w14:schemeClr w14:val="tx1"/>
            </w14:solidFill>
          </w14:textFill>
        </w:rPr>
        <w:t>（二）投标人基本情况表</w:t>
      </w:r>
      <w:bookmarkEnd w:id="1206"/>
      <w:bookmarkEnd w:id="1207"/>
      <w:bookmarkEnd w:id="1208"/>
      <w:bookmarkEnd w:id="1209"/>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6E46F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AECA046">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w:t>
            </w:r>
          </w:p>
        </w:tc>
        <w:tc>
          <w:tcPr>
            <w:tcW w:w="7607" w:type="dxa"/>
            <w:gridSpan w:val="9"/>
            <w:vAlign w:val="center"/>
          </w:tcPr>
          <w:p w14:paraId="76755C8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417C6D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ECFA9E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注册地址</w:t>
            </w:r>
          </w:p>
        </w:tc>
        <w:tc>
          <w:tcPr>
            <w:tcW w:w="3450" w:type="dxa"/>
            <w:gridSpan w:val="5"/>
            <w:vAlign w:val="center"/>
          </w:tcPr>
          <w:p w14:paraId="66ED286E">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392" w:type="dxa"/>
            <w:vAlign w:val="center"/>
          </w:tcPr>
          <w:p w14:paraId="1701878E">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邮政编码</w:t>
            </w:r>
          </w:p>
        </w:tc>
        <w:tc>
          <w:tcPr>
            <w:tcW w:w="2765" w:type="dxa"/>
            <w:gridSpan w:val="3"/>
            <w:vAlign w:val="center"/>
          </w:tcPr>
          <w:p w14:paraId="7A270179">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25B531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9FC23F8">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c>
          <w:tcPr>
            <w:tcW w:w="967" w:type="dxa"/>
            <w:vAlign w:val="center"/>
          </w:tcPr>
          <w:p w14:paraId="3AFB2889">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p>
        </w:tc>
        <w:tc>
          <w:tcPr>
            <w:tcW w:w="2483" w:type="dxa"/>
            <w:gridSpan w:val="4"/>
            <w:vAlign w:val="center"/>
          </w:tcPr>
          <w:p w14:paraId="3413D500">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392" w:type="dxa"/>
            <w:vAlign w:val="center"/>
          </w:tcPr>
          <w:p w14:paraId="10627F54">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2765" w:type="dxa"/>
            <w:gridSpan w:val="3"/>
            <w:vAlign w:val="center"/>
          </w:tcPr>
          <w:p w14:paraId="5A95A294">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41394F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E579802">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67" w:type="dxa"/>
            <w:vAlign w:val="center"/>
          </w:tcPr>
          <w:p w14:paraId="6F4A8A7C">
            <w:pPr>
              <w:tabs>
                <w:tab w:val="left" w:pos="540"/>
              </w:tabs>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传  真</w:t>
            </w:r>
          </w:p>
        </w:tc>
        <w:tc>
          <w:tcPr>
            <w:tcW w:w="2483" w:type="dxa"/>
            <w:gridSpan w:val="4"/>
            <w:vAlign w:val="center"/>
          </w:tcPr>
          <w:p w14:paraId="46FBC25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392" w:type="dxa"/>
            <w:vAlign w:val="center"/>
          </w:tcPr>
          <w:p w14:paraId="16866E2C">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网址</w:t>
            </w:r>
          </w:p>
        </w:tc>
        <w:tc>
          <w:tcPr>
            <w:tcW w:w="2765" w:type="dxa"/>
            <w:gridSpan w:val="3"/>
            <w:vAlign w:val="center"/>
          </w:tcPr>
          <w:p w14:paraId="47A25018">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0D065E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D7D928D">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组织结构</w:t>
            </w:r>
          </w:p>
        </w:tc>
        <w:tc>
          <w:tcPr>
            <w:tcW w:w="7607" w:type="dxa"/>
            <w:gridSpan w:val="9"/>
            <w:vAlign w:val="center"/>
          </w:tcPr>
          <w:p w14:paraId="711BA0E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1096A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D449E20">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p>
        </w:tc>
        <w:tc>
          <w:tcPr>
            <w:tcW w:w="967" w:type="dxa"/>
            <w:vAlign w:val="center"/>
          </w:tcPr>
          <w:p w14:paraId="553920E0">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1024" w:type="dxa"/>
            <w:vAlign w:val="center"/>
          </w:tcPr>
          <w:p w14:paraId="6B00DC2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356" w:type="dxa"/>
            <w:gridSpan w:val="2"/>
            <w:vAlign w:val="center"/>
          </w:tcPr>
          <w:p w14:paraId="34623E26">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10C2EE63">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25" w:type="dxa"/>
            <w:vAlign w:val="center"/>
          </w:tcPr>
          <w:p w14:paraId="50BA6B84">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p>
        </w:tc>
        <w:tc>
          <w:tcPr>
            <w:tcW w:w="1311" w:type="dxa"/>
            <w:vAlign w:val="center"/>
          </w:tcPr>
          <w:p w14:paraId="05064FB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542CA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4C5C45">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技术负责人</w:t>
            </w:r>
          </w:p>
        </w:tc>
        <w:tc>
          <w:tcPr>
            <w:tcW w:w="967" w:type="dxa"/>
            <w:vAlign w:val="center"/>
          </w:tcPr>
          <w:p w14:paraId="62316D8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1024" w:type="dxa"/>
            <w:vAlign w:val="center"/>
          </w:tcPr>
          <w:p w14:paraId="237AC3D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356" w:type="dxa"/>
            <w:gridSpan w:val="2"/>
            <w:vAlign w:val="center"/>
          </w:tcPr>
          <w:p w14:paraId="5A2B91A7">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49C387F2">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25" w:type="dxa"/>
            <w:vAlign w:val="center"/>
          </w:tcPr>
          <w:p w14:paraId="0CE969A1">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p>
        </w:tc>
        <w:tc>
          <w:tcPr>
            <w:tcW w:w="1311" w:type="dxa"/>
            <w:vAlign w:val="center"/>
          </w:tcPr>
          <w:p w14:paraId="22A5D2C5">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5202EE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DF957C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p>
        </w:tc>
        <w:tc>
          <w:tcPr>
            <w:tcW w:w="1991" w:type="dxa"/>
            <w:gridSpan w:val="2"/>
            <w:vAlign w:val="center"/>
          </w:tcPr>
          <w:p w14:paraId="302689D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5616" w:type="dxa"/>
            <w:gridSpan w:val="7"/>
            <w:vAlign w:val="center"/>
          </w:tcPr>
          <w:p w14:paraId="7069E085">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员工总人数：</w:t>
            </w:r>
          </w:p>
        </w:tc>
      </w:tr>
      <w:tr w14:paraId="6C899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0D37477">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企业资质等级</w:t>
            </w:r>
          </w:p>
        </w:tc>
        <w:tc>
          <w:tcPr>
            <w:tcW w:w="1991" w:type="dxa"/>
            <w:gridSpan w:val="2"/>
            <w:vAlign w:val="center"/>
          </w:tcPr>
          <w:p w14:paraId="5BA058F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04" w:type="dxa"/>
            <w:vMerge w:val="restart"/>
            <w:vAlign w:val="center"/>
          </w:tcPr>
          <w:p w14:paraId="744C705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其中</w:t>
            </w:r>
          </w:p>
        </w:tc>
        <w:tc>
          <w:tcPr>
            <w:tcW w:w="2476" w:type="dxa"/>
            <w:gridSpan w:val="4"/>
            <w:vMerge w:val="restart"/>
            <w:vAlign w:val="center"/>
          </w:tcPr>
          <w:p w14:paraId="7D03A966">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高级职称人员</w:t>
            </w:r>
          </w:p>
        </w:tc>
        <w:tc>
          <w:tcPr>
            <w:tcW w:w="2236" w:type="dxa"/>
            <w:gridSpan w:val="2"/>
            <w:vMerge w:val="restart"/>
            <w:vAlign w:val="center"/>
          </w:tcPr>
          <w:p w14:paraId="51F9BA7C">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5E3D8F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3EC294">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营业执照号</w:t>
            </w:r>
          </w:p>
        </w:tc>
        <w:tc>
          <w:tcPr>
            <w:tcW w:w="1991" w:type="dxa"/>
            <w:gridSpan w:val="2"/>
            <w:vAlign w:val="center"/>
          </w:tcPr>
          <w:p w14:paraId="7E307D98">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57FCF6ED">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2476" w:type="dxa"/>
            <w:gridSpan w:val="4"/>
            <w:vMerge w:val="continue"/>
            <w:vAlign w:val="center"/>
          </w:tcPr>
          <w:p w14:paraId="76735DDF">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2236" w:type="dxa"/>
            <w:gridSpan w:val="2"/>
            <w:vMerge w:val="continue"/>
            <w:vAlign w:val="center"/>
          </w:tcPr>
          <w:p w14:paraId="32DD57B3">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518A85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29F2C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注册资金</w:t>
            </w:r>
          </w:p>
        </w:tc>
        <w:tc>
          <w:tcPr>
            <w:tcW w:w="1991" w:type="dxa"/>
            <w:gridSpan w:val="2"/>
            <w:vAlign w:val="center"/>
          </w:tcPr>
          <w:p w14:paraId="3175C50A">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2B32C04D">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3C9B848F">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中级职称人员</w:t>
            </w:r>
          </w:p>
        </w:tc>
        <w:tc>
          <w:tcPr>
            <w:tcW w:w="2236" w:type="dxa"/>
            <w:gridSpan w:val="2"/>
            <w:vAlign w:val="center"/>
          </w:tcPr>
          <w:p w14:paraId="27134FF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7E07B6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6CFCB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p>
        </w:tc>
        <w:tc>
          <w:tcPr>
            <w:tcW w:w="1991" w:type="dxa"/>
            <w:gridSpan w:val="2"/>
            <w:vAlign w:val="center"/>
          </w:tcPr>
          <w:p w14:paraId="360906C6">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54396DBF">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77FE0545">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初级职称人员</w:t>
            </w:r>
          </w:p>
        </w:tc>
        <w:tc>
          <w:tcPr>
            <w:tcW w:w="2236" w:type="dxa"/>
            <w:gridSpan w:val="2"/>
            <w:vAlign w:val="center"/>
          </w:tcPr>
          <w:p w14:paraId="627E9476">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3D3CA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06F14D">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账号</w:t>
            </w:r>
          </w:p>
        </w:tc>
        <w:tc>
          <w:tcPr>
            <w:tcW w:w="1991" w:type="dxa"/>
            <w:gridSpan w:val="2"/>
            <w:vAlign w:val="center"/>
          </w:tcPr>
          <w:p w14:paraId="22700367">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5CCBF239">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4977185D">
            <w:pPr>
              <w:tabs>
                <w:tab w:val="left" w:pos="1240"/>
              </w:tabs>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技工</w:t>
            </w:r>
          </w:p>
        </w:tc>
        <w:tc>
          <w:tcPr>
            <w:tcW w:w="2236" w:type="dxa"/>
            <w:gridSpan w:val="2"/>
            <w:vAlign w:val="center"/>
          </w:tcPr>
          <w:p w14:paraId="23D4321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31C441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A4D564">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经营范围</w:t>
            </w:r>
          </w:p>
        </w:tc>
        <w:tc>
          <w:tcPr>
            <w:tcW w:w="7607" w:type="dxa"/>
            <w:gridSpan w:val="9"/>
            <w:vAlign w:val="center"/>
          </w:tcPr>
          <w:p w14:paraId="2CA747C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r w14:paraId="46F4A3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BA22FB">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c>
          <w:tcPr>
            <w:tcW w:w="7607" w:type="dxa"/>
            <w:gridSpan w:val="9"/>
            <w:vAlign w:val="center"/>
          </w:tcPr>
          <w:p w14:paraId="022A85A9">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p>
        </w:tc>
      </w:tr>
    </w:tbl>
    <w:p w14:paraId="5BA80C77">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bookmarkEnd w:id="1210"/>
    <w:bookmarkEnd w:id="1211"/>
    <w:p w14:paraId="44CAF469">
      <w:pPr>
        <w:pStyle w:val="5"/>
        <w:spacing w:line="240" w:lineRule="auto"/>
        <w:jc w:val="center"/>
        <w:rPr>
          <w:rFonts w:hint="eastAsia" w:ascii="宋体" w:hAnsi="宋体" w:cs="宋体"/>
          <w:bCs w:val="0"/>
          <w:color w:val="000000" w:themeColor="text1"/>
          <w:highlight w:val="none"/>
          <w14:textFill>
            <w14:solidFill>
              <w14:schemeClr w14:val="tx1"/>
            </w14:solidFill>
          </w14:textFill>
        </w:rPr>
      </w:pPr>
      <w:bookmarkStart w:id="1212" w:name="_Toc27580"/>
      <w:bookmarkStart w:id="1213" w:name="_Toc57905934"/>
      <w:bookmarkStart w:id="1214" w:name="_Toc534185842"/>
      <w:bookmarkStart w:id="1215" w:name="_Toc224103515"/>
      <w:bookmarkStart w:id="1216" w:name="_Toc509218865"/>
      <w:bookmarkStart w:id="1217" w:name="_Toc14339"/>
      <w:bookmarkStart w:id="1218" w:name="_Toc29711"/>
    </w:p>
    <w:p w14:paraId="4AC17D85">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hint="eastAsia" w:ascii="宋体" w:hAnsi="宋体" w:cs="宋体"/>
          <w:bCs w:val="0"/>
          <w:color w:val="000000" w:themeColor="text1"/>
          <w:highlight w:val="none"/>
          <w14:textFill>
            <w14:solidFill>
              <w14:schemeClr w14:val="tx1"/>
            </w14:solidFill>
          </w14:textFill>
        </w:rPr>
        <w:t>（</w:t>
      </w:r>
      <w:r>
        <w:rPr>
          <w:rFonts w:hint="eastAsia" w:ascii="宋体" w:hAnsi="宋体" w:cs="宋体"/>
          <w:bCs w:val="0"/>
          <w:color w:val="000000" w:themeColor="text1"/>
          <w:highlight w:val="none"/>
          <w:lang w:eastAsia="zh-CN"/>
          <w14:textFill>
            <w14:solidFill>
              <w14:schemeClr w14:val="tx1"/>
            </w14:solidFill>
          </w14:textFill>
        </w:rPr>
        <w:t>三</w:t>
      </w:r>
      <w:r>
        <w:rPr>
          <w:rFonts w:hint="eastAsia" w:ascii="宋体" w:hAnsi="宋体" w:cs="宋体"/>
          <w:bCs w:val="0"/>
          <w:color w:val="000000" w:themeColor="text1"/>
          <w:highlight w:val="none"/>
          <w14:textFill>
            <w14:solidFill>
              <w14:schemeClr w14:val="tx1"/>
            </w14:solidFill>
          </w14:textFill>
        </w:rPr>
        <w:t>）</w:t>
      </w:r>
      <w:bookmarkEnd w:id="1212"/>
      <w:bookmarkEnd w:id="1213"/>
      <w:bookmarkEnd w:id="1214"/>
      <w:bookmarkEnd w:id="1215"/>
      <w:bookmarkEnd w:id="1216"/>
      <w:bookmarkStart w:id="1219" w:name="_Toc2701"/>
      <w:bookmarkStart w:id="1220" w:name="_Toc33106479"/>
      <w:bookmarkStart w:id="1221" w:name="_Toc59810456"/>
      <w:bookmarkStart w:id="1222" w:name="_Toc1030"/>
      <w:bookmarkStart w:id="1223" w:name="_Toc827"/>
      <w:bookmarkStart w:id="1224" w:name="_Toc12766"/>
      <w:r>
        <w:rPr>
          <w:rFonts w:hint="eastAsia" w:ascii="宋体" w:hAnsi="宋体"/>
          <w:b w:val="0"/>
          <w:bCs w:val="0"/>
          <w:color w:val="000000" w:themeColor="text1"/>
          <w:highlight w:val="none"/>
          <w14:textFill>
            <w14:solidFill>
              <w14:schemeClr w14:val="tx1"/>
            </w14:solidFill>
          </w14:textFill>
        </w:rPr>
        <w:t>项目管理机构</w:t>
      </w:r>
      <w:bookmarkEnd w:id="1219"/>
      <w:bookmarkEnd w:id="1220"/>
      <w:bookmarkEnd w:id="1221"/>
      <w:bookmarkEnd w:id="1222"/>
    </w:p>
    <w:p w14:paraId="57350D2A">
      <w:pPr>
        <w:spacing w:line="360" w:lineRule="auto"/>
        <w:rPr>
          <w:rFonts w:ascii="宋体" w:hAnsi="宋体"/>
          <w:color w:val="000000" w:themeColor="text1"/>
          <w:highlight w:val="none"/>
          <w14:textFill>
            <w14:solidFill>
              <w14:schemeClr w14:val="tx1"/>
            </w14:solidFill>
          </w14:textFill>
        </w:rPr>
      </w:pPr>
    </w:p>
    <w:p w14:paraId="7C9D99DC">
      <w:pPr>
        <w:autoSpaceDE w:val="0"/>
        <w:autoSpaceDN w:val="0"/>
        <w:adjustRightInd w:val="0"/>
        <w:snapToGrid w:val="0"/>
        <w:spacing w:line="360" w:lineRule="auto"/>
        <w:jc w:val="center"/>
        <w:rPr>
          <w:rFonts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EBCED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E6C56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734" w:type="dxa"/>
            <w:vMerge w:val="restart"/>
            <w:vAlign w:val="center"/>
          </w:tcPr>
          <w:p w14:paraId="49A7F36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776" w:type="dxa"/>
            <w:vMerge w:val="restart"/>
            <w:vAlign w:val="center"/>
          </w:tcPr>
          <w:p w14:paraId="16A9587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6220" w:type="dxa"/>
            <w:gridSpan w:val="5"/>
            <w:vAlign w:val="center"/>
          </w:tcPr>
          <w:p w14:paraId="6BCBD0B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0CAA71E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1528E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C796C4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vMerge w:val="continue"/>
          </w:tcPr>
          <w:p w14:paraId="63CECA7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vMerge w:val="continue"/>
          </w:tcPr>
          <w:p w14:paraId="25B6008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vAlign w:val="center"/>
          </w:tcPr>
          <w:p w14:paraId="101FA72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776" w:type="dxa"/>
            <w:vAlign w:val="center"/>
          </w:tcPr>
          <w:p w14:paraId="1BE18F7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778" w:type="dxa"/>
            <w:vAlign w:val="center"/>
          </w:tcPr>
          <w:p w14:paraId="0F23508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776" w:type="dxa"/>
            <w:vAlign w:val="center"/>
          </w:tcPr>
          <w:p w14:paraId="6B6586E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2723" w:type="dxa"/>
            <w:vAlign w:val="center"/>
          </w:tcPr>
          <w:p w14:paraId="0FF84EE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67BBBF1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B368A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B31A94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项目经理</w:t>
            </w:r>
          </w:p>
        </w:tc>
        <w:tc>
          <w:tcPr>
            <w:tcW w:w="734" w:type="dxa"/>
          </w:tcPr>
          <w:p w14:paraId="5945C0B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06CCCC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3689C8D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65067FE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47B322E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270956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4D499E3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7E06F32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4965D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28BB01D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项目技术负责人</w:t>
            </w:r>
          </w:p>
        </w:tc>
        <w:tc>
          <w:tcPr>
            <w:tcW w:w="734" w:type="dxa"/>
          </w:tcPr>
          <w:p w14:paraId="1B94E4F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EE3952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57D7249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052882B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45B859D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213D3A9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7686652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50E34EC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25DB76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4AED7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5A38CF9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A2CBB6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5CB48C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57BF22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68A6B73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DD866D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2080778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78902E4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DD546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22905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10AD3AA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C43ED2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29BC279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27C048E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6977CC3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00049A1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2B7FB84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736A451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0719B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86FC72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09A37CD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719CD9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2EE7C0E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14EB95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2F08736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D0E6F7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47C5068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4BE6020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881BC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C01D6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0E5A3B3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34443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6B284A2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2C2D665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247E4AE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BDAE85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224D89A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2E71133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E65CD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21F01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2F4A4D5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6C745B0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73EA02E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6C475C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70EA39C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ACF3AA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7E5CC51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0FD6F78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34F68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903E8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1EE02B7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3D15EA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6A09185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0925520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6DBDA2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750AA8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575544C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185D74D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41D421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E1C813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5C6A3F2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66BEA8A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1C620D0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C63D2D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176506B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24F384B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6D67726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4BDE22F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45AF4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B2D52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7ABC9E3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A0034B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0A9522E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6DBFA2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2D3ECBF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812806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182810D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5325257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170D4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3D5015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7AA1DA0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4904D1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781CDCD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0816EA4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2931CCB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72D18B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31DD3DA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0491EA4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3CCA3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BBA03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10F6FC6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84AC28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329B55F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08BE88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1D79833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4D233B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7A6D380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6D003C6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2EB98F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02169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538D50A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72C8C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2AC0555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A7883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0F955E9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6400A9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4B01A0E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575D271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F02A3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1B9EC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37EA10C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85C63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6A040D1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AC0384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7F7DA68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8086B8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08255C7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28F1B32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C62E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FF174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486EFCB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6BCA5D9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2F887F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E28399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46FA39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538CA1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09400AB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274F5B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1AC52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4C354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066CDB6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2D5A03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19C119A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08FECC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7D73C4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0E7258A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292E4FD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463AF62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C057B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EC793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57A0A8F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5314996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56E513F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22971E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636F8C4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3161C45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4D9CB66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6B85A5F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006F33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59F97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34" w:type="dxa"/>
          </w:tcPr>
          <w:p w14:paraId="42ED344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1D8DA39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67" w:type="dxa"/>
          </w:tcPr>
          <w:p w14:paraId="0465762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722D371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8" w:type="dxa"/>
          </w:tcPr>
          <w:p w14:paraId="0AF9B70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776" w:type="dxa"/>
          </w:tcPr>
          <w:p w14:paraId="4386AAA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2723" w:type="dxa"/>
          </w:tcPr>
          <w:p w14:paraId="575536F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14:paraId="16458D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bl>
    <w:p w14:paraId="42708458">
      <w:pPr>
        <w:spacing w:line="20" w:lineRule="exact"/>
        <w:jc w:val="center"/>
        <w:rPr>
          <w:rFonts w:ascii="宋体" w:hAnsi="宋体"/>
          <w:color w:val="000000" w:themeColor="text1"/>
          <w:szCs w:val="21"/>
          <w:highlight w:val="none"/>
          <w14:textFill>
            <w14:solidFill>
              <w14:schemeClr w14:val="tx1"/>
            </w14:solidFill>
          </w14:textFill>
        </w:rPr>
      </w:pPr>
    </w:p>
    <w:p w14:paraId="1E06E6F0">
      <w:pPr>
        <w:spacing w:line="360" w:lineRule="auto"/>
        <w:ind w:firstLine="420" w:firstLineChars="200"/>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备注：本表仅填项目经理、项目技术负责人相关信息</w:t>
      </w: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sz w:val="32"/>
          <w:szCs w:val="32"/>
          <w:highlight w:val="none"/>
          <w14:textFill>
            <w14:solidFill>
              <w14:schemeClr w14:val="tx1"/>
            </w14:solidFill>
          </w14:textFill>
        </w:rPr>
        <w:t>主要人员简历表</w:t>
      </w:r>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3B018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CABD06">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2AF09D8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012E21C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5FE3348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23DDE5C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31AC92A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CD734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0B8F8B2">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6B18915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0E9711E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23DD163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F05E48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61EEFA6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9E2D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5B7365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5A87E427">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42937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D8C00D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4B3C0A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3780F1">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2BA05FD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592BF12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78AF7A0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68B89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6925A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31461A8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0EFD16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0B90F3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1BF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88221B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07BF57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90DCF0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39C8275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247ED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6EBEAB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50D6E2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2802416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290F2F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682C3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795CF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52DC8C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6876A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C96B78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243E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F6113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2183C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795AA7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723948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35BF6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1139D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0D564E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32AD379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983A76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DDD4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37827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0C046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900126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658CB1C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C7059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E50BB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A11E76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252D8A9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2EB09A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410BF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1B6F67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39E2A3A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BC5E53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60B4B6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AF9B2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79F4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D2652F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F9DE6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584C96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3D59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1447D9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3B4E7B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707BFC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7F5931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CBBFF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892465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71115E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1CC1EE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7ED619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B3627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A4E0E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53DE43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204ACC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2B6B15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6E24D094">
      <w:pPr>
        <w:pStyle w:val="5"/>
        <w:spacing w:before="0" w:after="0" w:line="240" w:lineRule="auto"/>
        <w:jc w:val="center"/>
        <w:rPr>
          <w:rFonts w:hint="eastAsia" w:ascii="宋体" w:hAnsi="宋体" w:eastAsia="宋体" w:cs="Times New Roman"/>
          <w:b w:val="0"/>
          <w:bCs w:val="0"/>
          <w:color w:val="000000" w:themeColor="text1"/>
          <w:highlight w:val="none"/>
          <w14:textFill>
            <w14:solidFill>
              <w14:schemeClr w14:val="tx1"/>
            </w14:solidFill>
          </w14:textFill>
        </w:rPr>
      </w:pPr>
      <w:r>
        <w:rPr>
          <w:rFonts w:hint="eastAsia" w:ascii="宋体" w:hAnsi="宋体" w:eastAsia="宋体" w:cs="Times New Roman"/>
          <w:b w:val="0"/>
          <w:bCs w:val="0"/>
          <w:color w:val="000000" w:themeColor="text1"/>
          <w:highlight w:val="none"/>
          <w:lang w:eastAsia="zh-CN"/>
          <w14:textFill>
            <w14:solidFill>
              <w14:schemeClr w14:val="tx1"/>
            </w14:solidFill>
          </w14:textFill>
        </w:rPr>
        <w:t>（</w:t>
      </w:r>
      <w:r>
        <w:rPr>
          <w:rFonts w:hint="eastAsia" w:ascii="宋体" w:hAnsi="宋体" w:eastAsia="宋体" w:cs="Times New Roman"/>
          <w:b w:val="0"/>
          <w:bCs w:val="0"/>
          <w:color w:val="000000" w:themeColor="text1"/>
          <w:highlight w:val="none"/>
          <w:lang w:val="en-US" w:eastAsia="zh-CN"/>
          <w14:textFill>
            <w14:solidFill>
              <w14:schemeClr w14:val="tx1"/>
            </w14:solidFill>
          </w14:textFill>
        </w:rPr>
        <w:t>四）</w:t>
      </w:r>
      <w:r>
        <w:rPr>
          <w:rFonts w:hint="eastAsia" w:ascii="宋体" w:hAnsi="宋体" w:eastAsia="宋体" w:cs="Times New Roman"/>
          <w:b w:val="0"/>
          <w:bCs w:val="0"/>
          <w:color w:val="000000" w:themeColor="text1"/>
          <w:highlight w:val="none"/>
          <w14:textFill>
            <w14:solidFill>
              <w14:schemeClr w14:val="tx1"/>
            </w14:solidFill>
          </w14:textFill>
        </w:rPr>
        <w:t>承</w:t>
      </w:r>
      <w:r>
        <w:rPr>
          <w:rFonts w:hint="eastAsia" w:ascii="宋体" w:hAnsi="宋体" w:eastAsia="宋体" w:cs="Times New Roman"/>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highlight w:val="none"/>
          <w14:textFill>
            <w14:solidFill>
              <w14:schemeClr w14:val="tx1"/>
            </w14:solidFill>
          </w14:textFill>
        </w:rPr>
        <w:t>诺</w:t>
      </w:r>
      <w:bookmarkEnd w:id="1217"/>
      <w:bookmarkEnd w:id="1218"/>
      <w:bookmarkEnd w:id="1223"/>
      <w:bookmarkEnd w:id="1224"/>
    </w:p>
    <w:p w14:paraId="7116EC8B">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（比选人名称）：</w:t>
      </w:r>
    </w:p>
    <w:p w14:paraId="15492FE9">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投标人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（招标项目名称）</w:t>
      </w:r>
      <w:r>
        <w:rPr>
          <w:rFonts w:hint="eastAsia" w:ascii="宋体" w:hAnsi="宋体"/>
          <w:color w:val="000000" w:themeColor="text1"/>
          <w:szCs w:val="21"/>
          <w:highlight w:val="none"/>
          <w14:textFill>
            <w14:solidFill>
              <w14:schemeClr w14:val="tx1"/>
            </w14:solidFill>
          </w14:textFill>
        </w:rPr>
        <w:t>的投标，自愿作出以下承诺：</w:t>
      </w:r>
    </w:p>
    <w:p w14:paraId="3BC8DD8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1、投标截止日投标资格情况不存在下列情形之一：</w:t>
      </w:r>
    </w:p>
    <w:p w14:paraId="752D9E9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1B51642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79944B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（3）被列入《重庆市工程建设领域招标投标信用管理暂行办法》规定的黑名单且在有效期内；</w:t>
      </w:r>
    </w:p>
    <w:p w14:paraId="0476C96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2AA9620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78A57344">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、主要管理人员</w:t>
      </w:r>
    </w:p>
    <w:p w14:paraId="3EDEF7D1">
      <w:pPr>
        <w:numPr>
          <w:ilvl w:val="0"/>
          <w:numId w:val="0"/>
        </w:num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我司承诺中标后在签订合同之前，按照本项目</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1.4.1的要求组建施工项目部，配置项目管理班子，出具任命文件。任命文件应当明确施工项目部的职责、岗位设置、人员配备，并书面通知建设单位。主要管理人员应持有相关行政主管部门要求的岗位证书（其中安全员必须具备安全生产考核合格证书）或注册证书或职称证书。中标后我司不能满足该要求的，取消我司中标资格，给比选人造成损失的，我司依法承担违约赔偿责任。</w:t>
      </w:r>
    </w:p>
    <w:p w14:paraId="76F2E038">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我司在本资格审查部分中的相关证明材料真实有效，不存在弄虚作假情形。</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在合同签订前均有权对我司提供的资料进行核实，若发现弄虚作假，</w:t>
      </w:r>
      <w:r>
        <w:rPr>
          <w:rFonts w:hint="eastAsia" w:ascii="宋体" w:hAnsi="宋体"/>
          <w:color w:val="000000" w:themeColor="text1"/>
          <w:szCs w:val="21"/>
          <w:highlight w:val="none"/>
          <w:u w:val="single"/>
          <w:lang w:eastAsia="zh-CN"/>
          <w14:textFill>
            <w14:solidFill>
              <w14:schemeClr w14:val="tx1"/>
            </w14:solidFill>
          </w14:textFill>
        </w:rPr>
        <w:t>按相关规定</w:t>
      </w:r>
      <w:r>
        <w:rPr>
          <w:rFonts w:hint="eastAsia" w:ascii="宋体" w:hAnsi="宋体"/>
          <w:color w:val="000000" w:themeColor="text1"/>
          <w:szCs w:val="21"/>
          <w:highlight w:val="none"/>
          <w:u w:val="single"/>
          <w14:textFill>
            <w14:solidFill>
              <w14:schemeClr w14:val="tx1"/>
            </w14:solidFill>
          </w14:textFill>
        </w:rPr>
        <w:t>取消</w:t>
      </w:r>
      <w:r>
        <w:rPr>
          <w:rFonts w:hint="eastAsia" w:ascii="宋体" w:hAnsi="宋体"/>
          <w:color w:val="000000" w:themeColor="text1"/>
          <w:szCs w:val="21"/>
          <w:highlight w:val="none"/>
          <w:u w:val="single"/>
          <w:lang w:eastAsia="zh-CN"/>
          <w14:textFill>
            <w14:solidFill>
              <w14:schemeClr w14:val="tx1"/>
            </w14:solidFill>
          </w14:textFill>
        </w:rPr>
        <w:t>我司</w:t>
      </w:r>
      <w:r>
        <w:rPr>
          <w:rFonts w:hint="eastAsia" w:ascii="宋体" w:hAnsi="宋体"/>
          <w:color w:val="000000" w:themeColor="text1"/>
          <w:szCs w:val="21"/>
          <w:highlight w:val="none"/>
          <w:u w:val="single"/>
          <w14:textFill>
            <w14:solidFill>
              <w14:schemeClr w14:val="tx1"/>
            </w14:solidFill>
          </w14:textFill>
        </w:rPr>
        <w:t>中标资格，并按相关法律法规报招标投标监督部门，投标保证金不予退还，我司自愿承担因此造成的相关责任并赔偿相应损失。</w:t>
      </w:r>
    </w:p>
    <w:p w14:paraId="0C62386D">
      <w:pPr>
        <w:numPr>
          <w:ilvl w:val="0"/>
          <w:numId w:val="0"/>
        </w:numPr>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s="Times New Roman"/>
          <w:color w:val="000000" w:themeColor="text1"/>
          <w:kern w:val="2"/>
          <w:szCs w:val="21"/>
          <w:highlight w:val="none"/>
          <w14:textFill>
            <w14:solidFill>
              <w14:schemeClr w14:val="tx1"/>
            </w14:solidFill>
          </w14:textFill>
        </w:rPr>
        <w:t>已标价工程量清单满足</w:t>
      </w:r>
      <w:r>
        <w:rPr>
          <w:rFonts w:hint="eastAsia" w:ascii="宋体" w:hAnsi="宋体" w:eastAsia="宋体" w:cs="Times New Roman"/>
          <w:color w:val="000000" w:themeColor="text1"/>
          <w:szCs w:val="21"/>
          <w:highlight w:val="none"/>
          <w14:textFill>
            <w14:solidFill>
              <w14:schemeClr w14:val="tx1"/>
            </w14:solidFill>
          </w14:textFill>
        </w:rPr>
        <w:t>第二章“投标人须知前附表”第3.2款第14条要求，如有差错则按第二章“投标人须知前附表”第3.2款第13条要求原则进行处理（或结算）。</w:t>
      </w:r>
    </w:p>
    <w:p w14:paraId="6601E23B">
      <w:pPr>
        <w:numPr>
          <w:ilvl w:val="0"/>
          <w:numId w:val="0"/>
        </w:numPr>
        <w:snapToGrid w:val="0"/>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 xml:space="preserve">、我公司不存在第二章 </w:t>
      </w:r>
      <w:r>
        <w:rPr>
          <w:rFonts w:hint="eastAsia" w:ascii="宋体" w:hAnsi="宋体" w:eastAsia="宋体" w:cs="Times New Roman"/>
          <w:color w:val="000000" w:themeColor="text1"/>
          <w:szCs w:val="21"/>
          <w:highlight w:val="none"/>
          <w:lang w:eastAsia="zh-CN"/>
          <w14:textFill>
            <w14:solidFill>
              <w14:schemeClr w14:val="tx1"/>
            </w14:solidFill>
          </w14:textFill>
        </w:rPr>
        <w:t>投标人</w:t>
      </w:r>
      <w:r>
        <w:rPr>
          <w:rFonts w:hint="eastAsia" w:ascii="宋体" w:hAnsi="宋体" w:eastAsia="宋体" w:cs="Times New Roman"/>
          <w:color w:val="000000" w:themeColor="text1"/>
          <w:szCs w:val="21"/>
          <w:highlight w:val="none"/>
          <w14:textFill>
            <w14:solidFill>
              <w14:schemeClr w14:val="tx1"/>
            </w14:solidFill>
          </w14:textFill>
        </w:rPr>
        <w:t>须知第 1.4.3 项规定的任何一种情形。</w:t>
      </w:r>
    </w:p>
    <w:p w14:paraId="1A03EF0B">
      <w:pPr>
        <w:numPr>
          <w:ilvl w:val="0"/>
          <w:numId w:val="0"/>
        </w:num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、我公司的投标文件符合第二</w:t>
      </w:r>
      <w:r>
        <w:rPr>
          <w:rFonts w:hint="eastAsia" w:ascii="宋体" w:hAnsi="宋体"/>
          <w:color w:val="000000" w:themeColor="text1"/>
          <w:szCs w:val="21"/>
          <w:highlight w:val="none"/>
          <w14:textFill>
            <w14:solidFill>
              <w14:schemeClr w14:val="tx1"/>
            </w14:solidFill>
          </w14:textFill>
        </w:rPr>
        <w:t>章 投标人须知第 1.3.1 项的规定。</w:t>
      </w:r>
    </w:p>
    <w:p w14:paraId="51EE1CA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、我公司的投标文件符合第四章 合同条款及格式规定，投标文件中没有</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不能接受的条件。</w:t>
      </w:r>
    </w:p>
    <w:p w14:paraId="3060DACC">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、我公司的投标文件符合第七章 技术标准和要求（如有）。</w:t>
      </w:r>
    </w:p>
    <w:p w14:paraId="75AD4EE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特此承诺。</w:t>
      </w:r>
    </w:p>
    <w:p w14:paraId="1D57363E">
      <w:pPr>
        <w:pStyle w:val="2"/>
        <w:rPr>
          <w:color w:val="000000" w:themeColor="text1"/>
          <w:highlight w:val="none"/>
          <w14:textFill>
            <w14:solidFill>
              <w14:schemeClr w14:val="tx1"/>
            </w14:solidFill>
          </w14:textFill>
        </w:rPr>
      </w:pPr>
    </w:p>
    <w:p w14:paraId="77F9E891">
      <w:pPr>
        <w:spacing w:line="360" w:lineRule="auto"/>
        <w:ind w:firstLine="4620" w:firstLineChars="2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497EC402">
      <w:pPr>
        <w:spacing w:line="360" w:lineRule="auto"/>
        <w:ind w:firstLine="4620" w:firstLineChars="2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签名或盖章</w:t>
      </w:r>
      <w:r>
        <w:rPr>
          <w:rFonts w:hint="eastAsia" w:ascii="宋体" w:hAnsi="宋体"/>
          <w:color w:val="000000" w:themeColor="text1"/>
          <w:kern w:val="0"/>
          <w:szCs w:val="21"/>
          <w:highlight w:val="none"/>
          <w14:textFill>
            <w14:solidFill>
              <w14:schemeClr w14:val="tx1"/>
            </w14:solidFill>
          </w14:textFill>
        </w:rPr>
        <w:t>）</w:t>
      </w:r>
    </w:p>
    <w:p w14:paraId="4A52876B">
      <w:pPr>
        <w:spacing w:line="360" w:lineRule="auto"/>
        <w:ind w:firstLine="6510" w:firstLineChars="31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307F275">
      <w:pPr>
        <w:spacing w:line="360" w:lineRule="auto"/>
        <w:ind w:firstLine="6510" w:firstLineChars="3100"/>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br w:type="page"/>
      </w:r>
    </w:p>
    <w:p w14:paraId="173488E1">
      <w:pPr>
        <w:rPr>
          <w:rFonts w:ascii="宋体" w:hAnsi="宋体" w:cs="宋体"/>
          <w:color w:val="000000" w:themeColor="text1"/>
          <w:highlight w:val="none"/>
          <w14:textFill>
            <w14:solidFill>
              <w14:schemeClr w14:val="tx1"/>
            </w14:solidFill>
          </w14:textFill>
        </w:rPr>
      </w:pPr>
    </w:p>
    <w:bookmarkEnd w:id="712"/>
    <w:bookmarkEnd w:id="713"/>
    <w:bookmarkEnd w:id="714"/>
    <w:p w14:paraId="209FFD2B">
      <w:pPr>
        <w:pStyle w:val="5"/>
        <w:numPr>
          <w:ilvl w:val="0"/>
          <w:numId w:val="0"/>
        </w:numPr>
        <w:spacing w:line="240" w:lineRule="auto"/>
        <w:jc w:val="cente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bookmarkStart w:id="1225" w:name="_Toc4532"/>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（五）其他资料</w:t>
      </w:r>
      <w:bookmarkEnd w:id="1225"/>
    </w:p>
    <w:p w14:paraId="2FA0D957">
      <w:pPr>
        <w:widowControl w:val="0"/>
        <w:numPr>
          <w:ilvl w:val="0"/>
          <w:numId w:val="0"/>
        </w:numPr>
        <w:jc w:val="both"/>
        <w:rPr>
          <w:color w:val="000000" w:themeColor="text1"/>
          <w:highlight w:val="none"/>
          <w14:textFill>
            <w14:solidFill>
              <w14:schemeClr w14:val="tx1"/>
            </w14:solidFill>
          </w14:textFill>
        </w:rPr>
      </w:pPr>
    </w:p>
    <w:p w14:paraId="09970B1A">
      <w:pPr>
        <w:pStyle w:val="2"/>
        <w:rPr>
          <w:color w:val="000000" w:themeColor="text1"/>
          <w:highlight w:val="none"/>
          <w14:textFill>
            <w14:solidFill>
              <w14:schemeClr w14:val="tx1"/>
            </w14:solidFill>
          </w14:textFill>
        </w:rPr>
      </w:pPr>
    </w:p>
    <w:p w14:paraId="26BA6898">
      <w:pPr>
        <w:rPr>
          <w:color w:val="000000" w:themeColor="text1"/>
          <w:highlight w:val="none"/>
          <w14:textFill>
            <w14:solidFill>
              <w14:schemeClr w14:val="tx1"/>
            </w14:solidFill>
          </w14:textFill>
        </w:rPr>
      </w:pPr>
    </w:p>
    <w:p w14:paraId="1CC50FC0">
      <w:pPr>
        <w:pStyle w:val="2"/>
        <w:rPr>
          <w:color w:val="000000" w:themeColor="text1"/>
          <w:highlight w:val="none"/>
          <w14:textFill>
            <w14:solidFill>
              <w14:schemeClr w14:val="tx1"/>
            </w14:solidFill>
          </w14:textFill>
        </w:rPr>
      </w:pPr>
    </w:p>
    <w:p w14:paraId="5E79D4F4">
      <w:pPr>
        <w:rPr>
          <w:color w:val="000000" w:themeColor="text1"/>
          <w:highlight w:val="none"/>
          <w14:textFill>
            <w14:solidFill>
              <w14:schemeClr w14:val="tx1"/>
            </w14:solidFill>
          </w14:textFill>
        </w:rPr>
      </w:pPr>
    </w:p>
    <w:p w14:paraId="0EC1AD94">
      <w:pPr>
        <w:pStyle w:val="2"/>
        <w:rPr>
          <w:color w:val="000000" w:themeColor="text1"/>
          <w:highlight w:val="none"/>
          <w14:textFill>
            <w14:solidFill>
              <w14:schemeClr w14:val="tx1"/>
            </w14:solidFill>
          </w14:textFill>
        </w:rPr>
      </w:pPr>
    </w:p>
    <w:p w14:paraId="59C43A74">
      <w:pPr>
        <w:rPr>
          <w:color w:val="000000" w:themeColor="text1"/>
          <w:highlight w:val="none"/>
          <w14:textFill>
            <w14:solidFill>
              <w14:schemeClr w14:val="tx1"/>
            </w14:solidFill>
          </w14:textFill>
        </w:rPr>
      </w:pPr>
    </w:p>
    <w:p w14:paraId="290EB072">
      <w:pPr>
        <w:pStyle w:val="2"/>
        <w:rPr>
          <w:color w:val="000000" w:themeColor="text1"/>
          <w:highlight w:val="none"/>
          <w14:textFill>
            <w14:solidFill>
              <w14:schemeClr w14:val="tx1"/>
            </w14:solidFill>
          </w14:textFill>
        </w:rPr>
      </w:pPr>
    </w:p>
    <w:p w14:paraId="10F4AE8B">
      <w:pPr>
        <w:rPr>
          <w:color w:val="000000" w:themeColor="text1"/>
          <w:highlight w:val="none"/>
          <w14:textFill>
            <w14:solidFill>
              <w14:schemeClr w14:val="tx1"/>
            </w14:solidFill>
          </w14:textFill>
        </w:rPr>
      </w:pPr>
    </w:p>
    <w:p w14:paraId="257A6D02">
      <w:pPr>
        <w:pStyle w:val="2"/>
        <w:rPr>
          <w:color w:val="000000" w:themeColor="text1"/>
          <w:highlight w:val="none"/>
          <w14:textFill>
            <w14:solidFill>
              <w14:schemeClr w14:val="tx1"/>
            </w14:solidFill>
          </w14:textFill>
        </w:rPr>
      </w:pPr>
    </w:p>
    <w:p w14:paraId="0305909B">
      <w:pPr>
        <w:rPr>
          <w:color w:val="000000" w:themeColor="text1"/>
          <w:highlight w:val="none"/>
          <w14:textFill>
            <w14:solidFill>
              <w14:schemeClr w14:val="tx1"/>
            </w14:solidFill>
          </w14:textFill>
        </w:rPr>
      </w:pPr>
    </w:p>
    <w:p w14:paraId="52E710B5">
      <w:pPr>
        <w:pStyle w:val="2"/>
        <w:rPr>
          <w:color w:val="000000" w:themeColor="text1"/>
          <w:highlight w:val="none"/>
          <w14:textFill>
            <w14:solidFill>
              <w14:schemeClr w14:val="tx1"/>
            </w14:solidFill>
          </w14:textFill>
        </w:rPr>
      </w:pPr>
    </w:p>
    <w:p w14:paraId="0A0FBD0D">
      <w:pPr>
        <w:rPr>
          <w:color w:val="000000" w:themeColor="text1"/>
          <w:highlight w:val="none"/>
          <w14:textFill>
            <w14:solidFill>
              <w14:schemeClr w14:val="tx1"/>
            </w14:solidFill>
          </w14:textFill>
        </w:rPr>
      </w:pPr>
    </w:p>
    <w:p w14:paraId="5896FE0F">
      <w:pPr>
        <w:pStyle w:val="2"/>
        <w:rPr>
          <w:color w:val="000000" w:themeColor="text1"/>
          <w:highlight w:val="none"/>
          <w14:textFill>
            <w14:solidFill>
              <w14:schemeClr w14:val="tx1"/>
            </w14:solidFill>
          </w14:textFill>
        </w:rPr>
      </w:pPr>
    </w:p>
    <w:p w14:paraId="616DCBAF">
      <w:pPr>
        <w:rPr>
          <w:color w:val="000000" w:themeColor="text1"/>
          <w:highlight w:val="none"/>
          <w14:textFill>
            <w14:solidFill>
              <w14:schemeClr w14:val="tx1"/>
            </w14:solidFill>
          </w14:textFill>
        </w:rPr>
      </w:pPr>
    </w:p>
    <w:p w14:paraId="11BD0D97">
      <w:pPr>
        <w:pStyle w:val="2"/>
        <w:rPr>
          <w:color w:val="000000" w:themeColor="text1"/>
          <w:highlight w:val="none"/>
          <w14:textFill>
            <w14:solidFill>
              <w14:schemeClr w14:val="tx1"/>
            </w14:solidFill>
          </w14:textFill>
        </w:rPr>
      </w:pPr>
    </w:p>
    <w:p w14:paraId="07E7A730">
      <w:pPr>
        <w:rPr>
          <w:color w:val="000000" w:themeColor="text1"/>
          <w:highlight w:val="none"/>
          <w14:textFill>
            <w14:solidFill>
              <w14:schemeClr w14:val="tx1"/>
            </w14:solidFill>
          </w14:textFill>
        </w:rPr>
      </w:pPr>
    </w:p>
    <w:p w14:paraId="627CA3FE">
      <w:pPr>
        <w:pStyle w:val="2"/>
        <w:rPr>
          <w:color w:val="000000" w:themeColor="text1"/>
          <w:highlight w:val="none"/>
          <w14:textFill>
            <w14:solidFill>
              <w14:schemeClr w14:val="tx1"/>
            </w14:solidFill>
          </w14:textFill>
        </w:rPr>
      </w:pPr>
    </w:p>
    <w:p w14:paraId="04BBB9B8">
      <w:pPr>
        <w:rPr>
          <w:color w:val="000000" w:themeColor="text1"/>
          <w:highlight w:val="none"/>
          <w14:textFill>
            <w14:solidFill>
              <w14:schemeClr w14:val="tx1"/>
            </w14:solidFill>
          </w14:textFill>
        </w:rPr>
      </w:pPr>
    </w:p>
    <w:p w14:paraId="53CC2DC4">
      <w:pPr>
        <w:pStyle w:val="2"/>
        <w:rPr>
          <w:color w:val="000000" w:themeColor="text1"/>
          <w:highlight w:val="none"/>
          <w14:textFill>
            <w14:solidFill>
              <w14:schemeClr w14:val="tx1"/>
            </w14:solidFill>
          </w14:textFill>
        </w:rPr>
      </w:pPr>
    </w:p>
    <w:p w14:paraId="5F0ABB49">
      <w:pPr>
        <w:rPr>
          <w:color w:val="000000" w:themeColor="text1"/>
          <w:highlight w:val="none"/>
          <w14:textFill>
            <w14:solidFill>
              <w14:schemeClr w14:val="tx1"/>
            </w14:solidFill>
          </w14:textFill>
        </w:rPr>
      </w:pPr>
    </w:p>
    <w:p w14:paraId="3248D69F">
      <w:pPr>
        <w:pStyle w:val="2"/>
        <w:rPr>
          <w:color w:val="000000" w:themeColor="text1"/>
          <w:highlight w:val="none"/>
          <w14:textFill>
            <w14:solidFill>
              <w14:schemeClr w14:val="tx1"/>
            </w14:solidFill>
          </w14:textFill>
        </w:rPr>
      </w:pPr>
    </w:p>
    <w:p w14:paraId="64CC0DE4">
      <w:pPr>
        <w:rPr>
          <w:color w:val="000000" w:themeColor="text1"/>
          <w:highlight w:val="none"/>
          <w14:textFill>
            <w14:solidFill>
              <w14:schemeClr w14:val="tx1"/>
            </w14:solidFill>
          </w14:textFill>
        </w:rPr>
      </w:pPr>
    </w:p>
    <w:p w14:paraId="0F4DE6A2">
      <w:pPr>
        <w:pStyle w:val="2"/>
        <w:rPr>
          <w:color w:val="000000" w:themeColor="text1"/>
          <w:highlight w:val="none"/>
          <w14:textFill>
            <w14:solidFill>
              <w14:schemeClr w14:val="tx1"/>
            </w14:solidFill>
          </w14:textFill>
        </w:rPr>
      </w:pPr>
    </w:p>
    <w:p w14:paraId="64E81DBB">
      <w:pPr>
        <w:rPr>
          <w:color w:val="000000" w:themeColor="text1"/>
          <w:highlight w:val="none"/>
          <w14:textFill>
            <w14:solidFill>
              <w14:schemeClr w14:val="tx1"/>
            </w14:solidFill>
          </w14:textFill>
        </w:rPr>
      </w:pPr>
    </w:p>
    <w:p w14:paraId="62E669D3">
      <w:pPr>
        <w:pStyle w:val="2"/>
        <w:rPr>
          <w:color w:val="000000" w:themeColor="text1"/>
          <w:highlight w:val="none"/>
          <w14:textFill>
            <w14:solidFill>
              <w14:schemeClr w14:val="tx1"/>
            </w14:solidFill>
          </w14:textFill>
        </w:rPr>
      </w:pPr>
    </w:p>
    <w:p w14:paraId="688A2EFC">
      <w:pPr>
        <w:jc w:val="both"/>
        <w:outlineLvl w:val="9"/>
        <w:rPr>
          <w:rFonts w:ascii="宋体" w:hAnsi="宋体" w:cs="宋体"/>
          <w:color w:val="000000" w:themeColor="text1"/>
          <w:kern w:val="0"/>
          <w:sz w:val="32"/>
          <w:szCs w:val="32"/>
          <w:highlight w:val="none"/>
          <w:u w:val="single"/>
          <w14:textFill>
            <w14:solidFill>
              <w14:schemeClr w14:val="tx1"/>
            </w14:solidFill>
          </w14:textFill>
        </w:rPr>
      </w:pPr>
      <w:bookmarkStart w:id="1226" w:name="_Toc21026"/>
    </w:p>
    <w:bookmarkEnd w:id="1226"/>
    <w:p w14:paraId="4F59432C">
      <w:pPr>
        <w:rPr>
          <w:color w:val="000000" w:themeColor="text1"/>
          <w:highlight w:val="none"/>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C682">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3BEED1">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73BEED1">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D4D">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22FD82">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A22FD82">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5BD2">
    <w:pPr>
      <w:pStyle w:val="29"/>
      <w:ind w:right="360"/>
      <w:jc w:val="center"/>
      <w:rPr>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E49CB4">
                          <w:pPr>
                            <w:pStyle w:val="29"/>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23E49CB4">
                    <w:pPr>
                      <w:pStyle w:val="2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3FCD3">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1C71B"/>
    <w:multiLevelType w:val="singleLevel"/>
    <w:tmpl w:val="AA31C71B"/>
    <w:lvl w:ilvl="0" w:tentative="0">
      <w:start w:val="4"/>
      <w:numFmt w:val="chineseCounting"/>
      <w:suff w:val="space"/>
      <w:lvlText w:val="第%1章"/>
      <w:lvlJc w:val="left"/>
      <w:rPr>
        <w:rFonts w:hint="eastAsia"/>
      </w:rPr>
    </w:lvl>
  </w:abstractNum>
  <w:abstractNum w:abstractNumId="1">
    <w:nsid w:val="CEB19739"/>
    <w:multiLevelType w:val="singleLevel"/>
    <w:tmpl w:val="CEB19739"/>
    <w:lvl w:ilvl="0" w:tentative="0">
      <w:start w:val="1"/>
      <w:numFmt w:val="decimal"/>
      <w:suff w:val="nothing"/>
      <w:lvlText w:val="（%1）"/>
      <w:lvlJc w:val="left"/>
    </w:lvl>
  </w:abstractNum>
  <w:abstractNum w:abstractNumId="2">
    <w:nsid w:val="DAEF1B41"/>
    <w:multiLevelType w:val="singleLevel"/>
    <w:tmpl w:val="DAEF1B41"/>
    <w:lvl w:ilvl="0" w:tentative="0">
      <w:start w:val="2"/>
      <w:numFmt w:val="chineseCounting"/>
      <w:suff w:val="space"/>
      <w:lvlText w:val="第%1部分"/>
      <w:lvlJc w:val="left"/>
      <w:rPr>
        <w:rFonts w:hint="eastAsia"/>
      </w:rPr>
    </w:lvl>
  </w:abstractNum>
  <w:abstractNum w:abstractNumId="3">
    <w:nsid w:val="092A94ED"/>
    <w:multiLevelType w:val="singleLevel"/>
    <w:tmpl w:val="092A94ED"/>
    <w:lvl w:ilvl="0" w:tentative="0">
      <w:start w:val="1"/>
      <w:numFmt w:val="decimal"/>
      <w:suff w:val="space"/>
      <w:lvlText w:val="%1."/>
      <w:lvlJc w:val="left"/>
    </w:lvl>
  </w:abstractNum>
  <w:abstractNum w:abstractNumId="4">
    <w:nsid w:val="37ED0FD6"/>
    <w:multiLevelType w:val="singleLevel"/>
    <w:tmpl w:val="37ED0FD6"/>
    <w:lvl w:ilvl="0" w:tentative="0">
      <w:start w:val="1"/>
      <w:numFmt w:val="decimal"/>
      <w:lvlText w:val="%1."/>
      <w:lvlJc w:val="left"/>
      <w:pPr>
        <w:tabs>
          <w:tab w:val="left" w:pos="312"/>
        </w:tabs>
      </w:pPr>
    </w:lvl>
  </w:abstractNum>
  <w:abstractNum w:abstractNumId="5">
    <w:nsid w:val="5FED4159"/>
    <w:multiLevelType w:val="singleLevel"/>
    <w:tmpl w:val="5FED4159"/>
    <w:lvl w:ilvl="0" w:tentative="0">
      <w:start w:val="2"/>
      <w:numFmt w:val="decimal"/>
      <w:suff w:val="nothing"/>
      <w:lvlText w:val="（%1）"/>
      <w:lvlJc w:val="left"/>
    </w:lvl>
  </w:abstractNum>
  <w:abstractNum w:abstractNumId="6">
    <w:nsid w:val="61027DAC"/>
    <w:multiLevelType w:val="singleLevel"/>
    <w:tmpl w:val="61027DAC"/>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DU2MDFiZWU5YTE1MTY4NThlOWExYTI5NWFmMDcifQ=="/>
  </w:docVars>
  <w:rsids>
    <w:rsidRoot w:val="00172A27"/>
    <w:rsid w:val="00001345"/>
    <w:rsid w:val="00001A09"/>
    <w:rsid w:val="00001B1E"/>
    <w:rsid w:val="000027C8"/>
    <w:rsid w:val="0000285A"/>
    <w:rsid w:val="00002D86"/>
    <w:rsid w:val="00003A3F"/>
    <w:rsid w:val="00005443"/>
    <w:rsid w:val="00005C71"/>
    <w:rsid w:val="00005D16"/>
    <w:rsid w:val="00005E79"/>
    <w:rsid w:val="000067A3"/>
    <w:rsid w:val="0000768D"/>
    <w:rsid w:val="00010048"/>
    <w:rsid w:val="00011867"/>
    <w:rsid w:val="00012611"/>
    <w:rsid w:val="00014531"/>
    <w:rsid w:val="00014DF1"/>
    <w:rsid w:val="00015333"/>
    <w:rsid w:val="0001571C"/>
    <w:rsid w:val="00015C9C"/>
    <w:rsid w:val="0001647D"/>
    <w:rsid w:val="0001650A"/>
    <w:rsid w:val="000165A8"/>
    <w:rsid w:val="0001665A"/>
    <w:rsid w:val="00017829"/>
    <w:rsid w:val="00017F2D"/>
    <w:rsid w:val="00020EB1"/>
    <w:rsid w:val="00021228"/>
    <w:rsid w:val="000215EB"/>
    <w:rsid w:val="000217B4"/>
    <w:rsid w:val="00022747"/>
    <w:rsid w:val="00022F4C"/>
    <w:rsid w:val="00023AD6"/>
    <w:rsid w:val="00023B7F"/>
    <w:rsid w:val="00024492"/>
    <w:rsid w:val="00025644"/>
    <w:rsid w:val="00025750"/>
    <w:rsid w:val="0002592F"/>
    <w:rsid w:val="00025C58"/>
    <w:rsid w:val="00025DD0"/>
    <w:rsid w:val="0002735F"/>
    <w:rsid w:val="000301A4"/>
    <w:rsid w:val="000316FE"/>
    <w:rsid w:val="00031F42"/>
    <w:rsid w:val="00032255"/>
    <w:rsid w:val="0003256A"/>
    <w:rsid w:val="00032A0F"/>
    <w:rsid w:val="00032B15"/>
    <w:rsid w:val="00033076"/>
    <w:rsid w:val="00033847"/>
    <w:rsid w:val="000347EB"/>
    <w:rsid w:val="00034B81"/>
    <w:rsid w:val="00035320"/>
    <w:rsid w:val="0003558C"/>
    <w:rsid w:val="000355D8"/>
    <w:rsid w:val="00035E2F"/>
    <w:rsid w:val="000365B0"/>
    <w:rsid w:val="0003673D"/>
    <w:rsid w:val="00037379"/>
    <w:rsid w:val="00037549"/>
    <w:rsid w:val="00037672"/>
    <w:rsid w:val="000407E9"/>
    <w:rsid w:val="00041302"/>
    <w:rsid w:val="000415C5"/>
    <w:rsid w:val="000418B4"/>
    <w:rsid w:val="000426A8"/>
    <w:rsid w:val="000426EA"/>
    <w:rsid w:val="000434B1"/>
    <w:rsid w:val="000437CD"/>
    <w:rsid w:val="00044029"/>
    <w:rsid w:val="00044ED8"/>
    <w:rsid w:val="00046E54"/>
    <w:rsid w:val="00046EAC"/>
    <w:rsid w:val="000477EA"/>
    <w:rsid w:val="00050329"/>
    <w:rsid w:val="000505D0"/>
    <w:rsid w:val="00050A2B"/>
    <w:rsid w:val="00050F21"/>
    <w:rsid w:val="00053B37"/>
    <w:rsid w:val="00053DC4"/>
    <w:rsid w:val="00054784"/>
    <w:rsid w:val="00054C30"/>
    <w:rsid w:val="00054D78"/>
    <w:rsid w:val="00054F64"/>
    <w:rsid w:val="00055401"/>
    <w:rsid w:val="0005572F"/>
    <w:rsid w:val="00057103"/>
    <w:rsid w:val="000578DC"/>
    <w:rsid w:val="00057A85"/>
    <w:rsid w:val="00057D13"/>
    <w:rsid w:val="00060FFA"/>
    <w:rsid w:val="00061927"/>
    <w:rsid w:val="00061B42"/>
    <w:rsid w:val="0006245E"/>
    <w:rsid w:val="00062D58"/>
    <w:rsid w:val="00063C01"/>
    <w:rsid w:val="000640B5"/>
    <w:rsid w:val="000654D9"/>
    <w:rsid w:val="00065C93"/>
    <w:rsid w:val="00065F0A"/>
    <w:rsid w:val="000663A1"/>
    <w:rsid w:val="000677BF"/>
    <w:rsid w:val="00067885"/>
    <w:rsid w:val="00067E50"/>
    <w:rsid w:val="0007009B"/>
    <w:rsid w:val="000703E1"/>
    <w:rsid w:val="00070444"/>
    <w:rsid w:val="0007082A"/>
    <w:rsid w:val="00070DB4"/>
    <w:rsid w:val="0007152F"/>
    <w:rsid w:val="00072AEF"/>
    <w:rsid w:val="00072C40"/>
    <w:rsid w:val="000733EC"/>
    <w:rsid w:val="0007377C"/>
    <w:rsid w:val="00073E89"/>
    <w:rsid w:val="00074445"/>
    <w:rsid w:val="00074926"/>
    <w:rsid w:val="000753AE"/>
    <w:rsid w:val="0007662F"/>
    <w:rsid w:val="00077788"/>
    <w:rsid w:val="000777DB"/>
    <w:rsid w:val="00080479"/>
    <w:rsid w:val="00080C91"/>
    <w:rsid w:val="00081375"/>
    <w:rsid w:val="00081E58"/>
    <w:rsid w:val="00084056"/>
    <w:rsid w:val="00084085"/>
    <w:rsid w:val="000843AE"/>
    <w:rsid w:val="00084AD3"/>
    <w:rsid w:val="0008524F"/>
    <w:rsid w:val="00085720"/>
    <w:rsid w:val="000859DF"/>
    <w:rsid w:val="00085DDD"/>
    <w:rsid w:val="00086B04"/>
    <w:rsid w:val="00086D56"/>
    <w:rsid w:val="00086F23"/>
    <w:rsid w:val="000874F6"/>
    <w:rsid w:val="00087724"/>
    <w:rsid w:val="00090828"/>
    <w:rsid w:val="0009083C"/>
    <w:rsid w:val="00090A07"/>
    <w:rsid w:val="00090FA6"/>
    <w:rsid w:val="00090FD7"/>
    <w:rsid w:val="000918E3"/>
    <w:rsid w:val="000925AC"/>
    <w:rsid w:val="000927A3"/>
    <w:rsid w:val="00092F8F"/>
    <w:rsid w:val="0009358F"/>
    <w:rsid w:val="00094007"/>
    <w:rsid w:val="00095189"/>
    <w:rsid w:val="0009559A"/>
    <w:rsid w:val="00095DEF"/>
    <w:rsid w:val="00096080"/>
    <w:rsid w:val="000967E2"/>
    <w:rsid w:val="00096B24"/>
    <w:rsid w:val="00096C42"/>
    <w:rsid w:val="0009770E"/>
    <w:rsid w:val="00097C86"/>
    <w:rsid w:val="000A0398"/>
    <w:rsid w:val="000A07BA"/>
    <w:rsid w:val="000A0D3C"/>
    <w:rsid w:val="000A2AF4"/>
    <w:rsid w:val="000A2CA5"/>
    <w:rsid w:val="000A3817"/>
    <w:rsid w:val="000A3C09"/>
    <w:rsid w:val="000A41FD"/>
    <w:rsid w:val="000A4A55"/>
    <w:rsid w:val="000A569B"/>
    <w:rsid w:val="000A7403"/>
    <w:rsid w:val="000A75F0"/>
    <w:rsid w:val="000A7D07"/>
    <w:rsid w:val="000B0A2E"/>
    <w:rsid w:val="000B0F51"/>
    <w:rsid w:val="000B1596"/>
    <w:rsid w:val="000B1B81"/>
    <w:rsid w:val="000B1DE8"/>
    <w:rsid w:val="000B1E71"/>
    <w:rsid w:val="000B283B"/>
    <w:rsid w:val="000B3303"/>
    <w:rsid w:val="000B3431"/>
    <w:rsid w:val="000B489F"/>
    <w:rsid w:val="000B4C5B"/>
    <w:rsid w:val="000B5039"/>
    <w:rsid w:val="000B55BE"/>
    <w:rsid w:val="000B5B07"/>
    <w:rsid w:val="000B5C3A"/>
    <w:rsid w:val="000B5E88"/>
    <w:rsid w:val="000B6027"/>
    <w:rsid w:val="000B6648"/>
    <w:rsid w:val="000B66D6"/>
    <w:rsid w:val="000B786B"/>
    <w:rsid w:val="000B787C"/>
    <w:rsid w:val="000B7BF7"/>
    <w:rsid w:val="000C0226"/>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494"/>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6F42"/>
    <w:rsid w:val="000E72B9"/>
    <w:rsid w:val="000F05AB"/>
    <w:rsid w:val="000F091D"/>
    <w:rsid w:val="000F1B68"/>
    <w:rsid w:val="000F2179"/>
    <w:rsid w:val="000F278B"/>
    <w:rsid w:val="000F2955"/>
    <w:rsid w:val="000F2C67"/>
    <w:rsid w:val="000F3235"/>
    <w:rsid w:val="000F40C0"/>
    <w:rsid w:val="000F45C8"/>
    <w:rsid w:val="000F47C3"/>
    <w:rsid w:val="000F4BBE"/>
    <w:rsid w:val="000F50C6"/>
    <w:rsid w:val="000F51EA"/>
    <w:rsid w:val="000F5AD4"/>
    <w:rsid w:val="000F7C66"/>
    <w:rsid w:val="000F7CF5"/>
    <w:rsid w:val="00100471"/>
    <w:rsid w:val="001019D6"/>
    <w:rsid w:val="00101E5F"/>
    <w:rsid w:val="001022CE"/>
    <w:rsid w:val="001025D9"/>
    <w:rsid w:val="00102885"/>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2C87"/>
    <w:rsid w:val="001138FC"/>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3E82"/>
    <w:rsid w:val="0012481C"/>
    <w:rsid w:val="001248F4"/>
    <w:rsid w:val="001269FF"/>
    <w:rsid w:val="00127316"/>
    <w:rsid w:val="00127995"/>
    <w:rsid w:val="001303A1"/>
    <w:rsid w:val="001303B7"/>
    <w:rsid w:val="00131556"/>
    <w:rsid w:val="00131D1B"/>
    <w:rsid w:val="00132B99"/>
    <w:rsid w:val="00132BF1"/>
    <w:rsid w:val="001330BB"/>
    <w:rsid w:val="001339C6"/>
    <w:rsid w:val="00134327"/>
    <w:rsid w:val="001347A9"/>
    <w:rsid w:val="00135872"/>
    <w:rsid w:val="00135DF9"/>
    <w:rsid w:val="00136173"/>
    <w:rsid w:val="00136D1E"/>
    <w:rsid w:val="001377F8"/>
    <w:rsid w:val="00137F99"/>
    <w:rsid w:val="0014084B"/>
    <w:rsid w:val="001440F2"/>
    <w:rsid w:val="0014490B"/>
    <w:rsid w:val="00144E04"/>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11E9"/>
    <w:rsid w:val="00152078"/>
    <w:rsid w:val="00154963"/>
    <w:rsid w:val="001552A6"/>
    <w:rsid w:val="0015596B"/>
    <w:rsid w:val="00155D1F"/>
    <w:rsid w:val="001561B1"/>
    <w:rsid w:val="00157A5C"/>
    <w:rsid w:val="001600A3"/>
    <w:rsid w:val="0016132F"/>
    <w:rsid w:val="0016174D"/>
    <w:rsid w:val="00161A99"/>
    <w:rsid w:val="00162B36"/>
    <w:rsid w:val="0016317C"/>
    <w:rsid w:val="00164DCB"/>
    <w:rsid w:val="00165642"/>
    <w:rsid w:val="00165B64"/>
    <w:rsid w:val="00165D82"/>
    <w:rsid w:val="00166C40"/>
    <w:rsid w:val="00166F24"/>
    <w:rsid w:val="00167BBE"/>
    <w:rsid w:val="00171217"/>
    <w:rsid w:val="00171489"/>
    <w:rsid w:val="001721A5"/>
    <w:rsid w:val="001724CE"/>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0012"/>
    <w:rsid w:val="001923EA"/>
    <w:rsid w:val="00192735"/>
    <w:rsid w:val="00192FBA"/>
    <w:rsid w:val="00193696"/>
    <w:rsid w:val="00193EC6"/>
    <w:rsid w:val="00193F18"/>
    <w:rsid w:val="0019411E"/>
    <w:rsid w:val="001947FB"/>
    <w:rsid w:val="00195720"/>
    <w:rsid w:val="001958B9"/>
    <w:rsid w:val="00196CDD"/>
    <w:rsid w:val="001975C9"/>
    <w:rsid w:val="001A065E"/>
    <w:rsid w:val="001A189F"/>
    <w:rsid w:val="001A19B8"/>
    <w:rsid w:val="001A293D"/>
    <w:rsid w:val="001A2A77"/>
    <w:rsid w:val="001A2ED0"/>
    <w:rsid w:val="001A3908"/>
    <w:rsid w:val="001A3A5A"/>
    <w:rsid w:val="001A4457"/>
    <w:rsid w:val="001A5133"/>
    <w:rsid w:val="001A57C2"/>
    <w:rsid w:val="001A5A82"/>
    <w:rsid w:val="001A670B"/>
    <w:rsid w:val="001A6DCB"/>
    <w:rsid w:val="001A773A"/>
    <w:rsid w:val="001A77C4"/>
    <w:rsid w:val="001A7BE0"/>
    <w:rsid w:val="001A7DD5"/>
    <w:rsid w:val="001B15C6"/>
    <w:rsid w:val="001B17D1"/>
    <w:rsid w:val="001B229E"/>
    <w:rsid w:val="001B23B1"/>
    <w:rsid w:val="001B2B2F"/>
    <w:rsid w:val="001B2DEF"/>
    <w:rsid w:val="001B3CE2"/>
    <w:rsid w:val="001B412E"/>
    <w:rsid w:val="001B4136"/>
    <w:rsid w:val="001B45EF"/>
    <w:rsid w:val="001B4768"/>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3C0A"/>
    <w:rsid w:val="001C4064"/>
    <w:rsid w:val="001C49F4"/>
    <w:rsid w:val="001C71D7"/>
    <w:rsid w:val="001D0F66"/>
    <w:rsid w:val="001D125F"/>
    <w:rsid w:val="001D16DA"/>
    <w:rsid w:val="001D17FB"/>
    <w:rsid w:val="001D2271"/>
    <w:rsid w:val="001D23D8"/>
    <w:rsid w:val="001D251C"/>
    <w:rsid w:val="001D27D7"/>
    <w:rsid w:val="001D3B3D"/>
    <w:rsid w:val="001D3FC6"/>
    <w:rsid w:val="001D42FF"/>
    <w:rsid w:val="001D4381"/>
    <w:rsid w:val="001D47CF"/>
    <w:rsid w:val="001D4A3E"/>
    <w:rsid w:val="001D4B38"/>
    <w:rsid w:val="001D56D9"/>
    <w:rsid w:val="001D5E86"/>
    <w:rsid w:val="001D6167"/>
    <w:rsid w:val="001D6225"/>
    <w:rsid w:val="001D6439"/>
    <w:rsid w:val="001D6C8B"/>
    <w:rsid w:val="001D6D8C"/>
    <w:rsid w:val="001D7007"/>
    <w:rsid w:val="001D7E9C"/>
    <w:rsid w:val="001E051E"/>
    <w:rsid w:val="001E054D"/>
    <w:rsid w:val="001E0FAD"/>
    <w:rsid w:val="001E1308"/>
    <w:rsid w:val="001E1520"/>
    <w:rsid w:val="001E19DD"/>
    <w:rsid w:val="001E19F9"/>
    <w:rsid w:val="001E26C7"/>
    <w:rsid w:val="001E2C16"/>
    <w:rsid w:val="001E394D"/>
    <w:rsid w:val="001E39AA"/>
    <w:rsid w:val="001E3AAF"/>
    <w:rsid w:val="001E3CA5"/>
    <w:rsid w:val="001E3D84"/>
    <w:rsid w:val="001E4518"/>
    <w:rsid w:val="001E4F0E"/>
    <w:rsid w:val="001E594C"/>
    <w:rsid w:val="001E6BFA"/>
    <w:rsid w:val="001E6F59"/>
    <w:rsid w:val="001E704C"/>
    <w:rsid w:val="001E73BA"/>
    <w:rsid w:val="001F07E9"/>
    <w:rsid w:val="001F0D0C"/>
    <w:rsid w:val="001F11F5"/>
    <w:rsid w:val="001F12EE"/>
    <w:rsid w:val="001F24B9"/>
    <w:rsid w:val="001F31AC"/>
    <w:rsid w:val="001F3446"/>
    <w:rsid w:val="001F3815"/>
    <w:rsid w:val="001F3DB0"/>
    <w:rsid w:val="001F3E77"/>
    <w:rsid w:val="001F4E82"/>
    <w:rsid w:val="001F57A7"/>
    <w:rsid w:val="001F5A67"/>
    <w:rsid w:val="001F6B1B"/>
    <w:rsid w:val="001F73FA"/>
    <w:rsid w:val="001F7682"/>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3D13"/>
    <w:rsid w:val="00214D7A"/>
    <w:rsid w:val="00214D88"/>
    <w:rsid w:val="00215286"/>
    <w:rsid w:val="00215906"/>
    <w:rsid w:val="002159C6"/>
    <w:rsid w:val="00215A2A"/>
    <w:rsid w:val="00215CE0"/>
    <w:rsid w:val="00215DA1"/>
    <w:rsid w:val="00216156"/>
    <w:rsid w:val="0021687E"/>
    <w:rsid w:val="002168E9"/>
    <w:rsid w:val="00217011"/>
    <w:rsid w:val="0021733C"/>
    <w:rsid w:val="00217AEF"/>
    <w:rsid w:val="002207FA"/>
    <w:rsid w:val="002212F5"/>
    <w:rsid w:val="0022149E"/>
    <w:rsid w:val="00221627"/>
    <w:rsid w:val="00221DD1"/>
    <w:rsid w:val="00221E51"/>
    <w:rsid w:val="00221F8E"/>
    <w:rsid w:val="00221FE1"/>
    <w:rsid w:val="002220C5"/>
    <w:rsid w:val="00222689"/>
    <w:rsid w:val="00223852"/>
    <w:rsid w:val="00223ADA"/>
    <w:rsid w:val="002245B9"/>
    <w:rsid w:val="0022492C"/>
    <w:rsid w:val="00224A21"/>
    <w:rsid w:val="00225099"/>
    <w:rsid w:val="002250CA"/>
    <w:rsid w:val="0022607A"/>
    <w:rsid w:val="00226152"/>
    <w:rsid w:val="00226456"/>
    <w:rsid w:val="002264D0"/>
    <w:rsid w:val="002270BE"/>
    <w:rsid w:val="0022786E"/>
    <w:rsid w:val="00232211"/>
    <w:rsid w:val="002329B7"/>
    <w:rsid w:val="00232AD2"/>
    <w:rsid w:val="002330FC"/>
    <w:rsid w:val="002343A7"/>
    <w:rsid w:val="0023462F"/>
    <w:rsid w:val="00234BF0"/>
    <w:rsid w:val="00235CE8"/>
    <w:rsid w:val="0023690C"/>
    <w:rsid w:val="002369E6"/>
    <w:rsid w:val="00237DCC"/>
    <w:rsid w:val="00237DD3"/>
    <w:rsid w:val="00237F17"/>
    <w:rsid w:val="0024052C"/>
    <w:rsid w:val="002410BB"/>
    <w:rsid w:val="0024122A"/>
    <w:rsid w:val="00241889"/>
    <w:rsid w:val="00242B0D"/>
    <w:rsid w:val="00243253"/>
    <w:rsid w:val="002432CD"/>
    <w:rsid w:val="002476F0"/>
    <w:rsid w:val="00247DA6"/>
    <w:rsid w:val="00250C49"/>
    <w:rsid w:val="00251F81"/>
    <w:rsid w:val="0025253B"/>
    <w:rsid w:val="002526AC"/>
    <w:rsid w:val="00252997"/>
    <w:rsid w:val="002534E3"/>
    <w:rsid w:val="00253DE9"/>
    <w:rsid w:val="00254512"/>
    <w:rsid w:val="00254725"/>
    <w:rsid w:val="002555DD"/>
    <w:rsid w:val="002555E1"/>
    <w:rsid w:val="00255C94"/>
    <w:rsid w:val="002567DA"/>
    <w:rsid w:val="00257031"/>
    <w:rsid w:val="00257CB4"/>
    <w:rsid w:val="00260191"/>
    <w:rsid w:val="00260279"/>
    <w:rsid w:val="002603C8"/>
    <w:rsid w:val="0026138C"/>
    <w:rsid w:val="00262012"/>
    <w:rsid w:val="00263DE8"/>
    <w:rsid w:val="0026466E"/>
    <w:rsid w:val="00264D7B"/>
    <w:rsid w:val="00264EBF"/>
    <w:rsid w:val="00265DD9"/>
    <w:rsid w:val="002667EA"/>
    <w:rsid w:val="00266C56"/>
    <w:rsid w:val="00267A99"/>
    <w:rsid w:val="002702C1"/>
    <w:rsid w:val="00270358"/>
    <w:rsid w:val="0027264B"/>
    <w:rsid w:val="002736CE"/>
    <w:rsid w:val="002742E2"/>
    <w:rsid w:val="00274CFD"/>
    <w:rsid w:val="00274ED6"/>
    <w:rsid w:val="002752C6"/>
    <w:rsid w:val="002755EF"/>
    <w:rsid w:val="0027586B"/>
    <w:rsid w:val="002769C3"/>
    <w:rsid w:val="00276BC6"/>
    <w:rsid w:val="00276C59"/>
    <w:rsid w:val="0027792D"/>
    <w:rsid w:val="00281357"/>
    <w:rsid w:val="00281E2F"/>
    <w:rsid w:val="00282A25"/>
    <w:rsid w:val="00282F72"/>
    <w:rsid w:val="002830A8"/>
    <w:rsid w:val="00283515"/>
    <w:rsid w:val="00283721"/>
    <w:rsid w:val="00283BAD"/>
    <w:rsid w:val="0028466A"/>
    <w:rsid w:val="002846E8"/>
    <w:rsid w:val="002849BD"/>
    <w:rsid w:val="00284F98"/>
    <w:rsid w:val="0028510E"/>
    <w:rsid w:val="0028561D"/>
    <w:rsid w:val="00285FF7"/>
    <w:rsid w:val="002860F1"/>
    <w:rsid w:val="0028624A"/>
    <w:rsid w:val="00286808"/>
    <w:rsid w:val="00287C0E"/>
    <w:rsid w:val="002907E7"/>
    <w:rsid w:val="00291148"/>
    <w:rsid w:val="002913EC"/>
    <w:rsid w:val="0029190D"/>
    <w:rsid w:val="00292278"/>
    <w:rsid w:val="0029337D"/>
    <w:rsid w:val="00293EBA"/>
    <w:rsid w:val="00294433"/>
    <w:rsid w:val="00294B26"/>
    <w:rsid w:val="00295263"/>
    <w:rsid w:val="0029555F"/>
    <w:rsid w:val="00295590"/>
    <w:rsid w:val="00296087"/>
    <w:rsid w:val="0029631A"/>
    <w:rsid w:val="002963F0"/>
    <w:rsid w:val="00297BEE"/>
    <w:rsid w:val="002A05DC"/>
    <w:rsid w:val="002A0F20"/>
    <w:rsid w:val="002A104F"/>
    <w:rsid w:val="002A13A2"/>
    <w:rsid w:val="002A17CC"/>
    <w:rsid w:val="002A3274"/>
    <w:rsid w:val="002A32D9"/>
    <w:rsid w:val="002A3CF1"/>
    <w:rsid w:val="002A59B9"/>
    <w:rsid w:val="002A5E8D"/>
    <w:rsid w:val="002A5F23"/>
    <w:rsid w:val="002A68CD"/>
    <w:rsid w:val="002B0218"/>
    <w:rsid w:val="002B13CB"/>
    <w:rsid w:val="002B14EA"/>
    <w:rsid w:val="002B1854"/>
    <w:rsid w:val="002B1A51"/>
    <w:rsid w:val="002B22B3"/>
    <w:rsid w:val="002B2AE1"/>
    <w:rsid w:val="002B310A"/>
    <w:rsid w:val="002B3159"/>
    <w:rsid w:val="002B3A8F"/>
    <w:rsid w:val="002B3E1F"/>
    <w:rsid w:val="002B4646"/>
    <w:rsid w:val="002B517A"/>
    <w:rsid w:val="002B5324"/>
    <w:rsid w:val="002B5C76"/>
    <w:rsid w:val="002B5C91"/>
    <w:rsid w:val="002B5F4B"/>
    <w:rsid w:val="002B6603"/>
    <w:rsid w:val="002B6F5F"/>
    <w:rsid w:val="002C0828"/>
    <w:rsid w:val="002C124B"/>
    <w:rsid w:val="002C1A0B"/>
    <w:rsid w:val="002C1E90"/>
    <w:rsid w:val="002C33AF"/>
    <w:rsid w:val="002C370D"/>
    <w:rsid w:val="002C3B75"/>
    <w:rsid w:val="002C3E1B"/>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5149"/>
    <w:rsid w:val="002D58AD"/>
    <w:rsid w:val="002D5E11"/>
    <w:rsid w:val="002D67F5"/>
    <w:rsid w:val="002D6CDA"/>
    <w:rsid w:val="002D6EFD"/>
    <w:rsid w:val="002E0D86"/>
    <w:rsid w:val="002E16AE"/>
    <w:rsid w:val="002E1795"/>
    <w:rsid w:val="002E1871"/>
    <w:rsid w:val="002E1A25"/>
    <w:rsid w:val="002E1C38"/>
    <w:rsid w:val="002E3486"/>
    <w:rsid w:val="002E3521"/>
    <w:rsid w:val="002E37F4"/>
    <w:rsid w:val="002E43A5"/>
    <w:rsid w:val="002E4434"/>
    <w:rsid w:val="002E539B"/>
    <w:rsid w:val="002E5665"/>
    <w:rsid w:val="002E7318"/>
    <w:rsid w:val="002E7617"/>
    <w:rsid w:val="002E7C56"/>
    <w:rsid w:val="002E7D8E"/>
    <w:rsid w:val="002F0408"/>
    <w:rsid w:val="002F06FF"/>
    <w:rsid w:val="002F136D"/>
    <w:rsid w:val="002F210E"/>
    <w:rsid w:val="002F27B6"/>
    <w:rsid w:val="002F2B50"/>
    <w:rsid w:val="002F3CDE"/>
    <w:rsid w:val="002F405F"/>
    <w:rsid w:val="002F46CE"/>
    <w:rsid w:val="002F491B"/>
    <w:rsid w:val="002F4953"/>
    <w:rsid w:val="002F4ACB"/>
    <w:rsid w:val="002F7430"/>
    <w:rsid w:val="002F777B"/>
    <w:rsid w:val="002F7BB2"/>
    <w:rsid w:val="00300191"/>
    <w:rsid w:val="00300414"/>
    <w:rsid w:val="00300578"/>
    <w:rsid w:val="00300AAF"/>
    <w:rsid w:val="00300BDE"/>
    <w:rsid w:val="00300F8D"/>
    <w:rsid w:val="00303129"/>
    <w:rsid w:val="00303B66"/>
    <w:rsid w:val="00304FC4"/>
    <w:rsid w:val="003059F4"/>
    <w:rsid w:val="0030605F"/>
    <w:rsid w:val="0030689E"/>
    <w:rsid w:val="003068D7"/>
    <w:rsid w:val="00306EF1"/>
    <w:rsid w:val="003071B2"/>
    <w:rsid w:val="00307599"/>
    <w:rsid w:val="003075B8"/>
    <w:rsid w:val="00310399"/>
    <w:rsid w:val="00310803"/>
    <w:rsid w:val="00310D8D"/>
    <w:rsid w:val="0031445A"/>
    <w:rsid w:val="003149F6"/>
    <w:rsid w:val="00315977"/>
    <w:rsid w:val="00316368"/>
    <w:rsid w:val="003174B4"/>
    <w:rsid w:val="003202FE"/>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7D9"/>
    <w:rsid w:val="00335E56"/>
    <w:rsid w:val="00335E6A"/>
    <w:rsid w:val="00337322"/>
    <w:rsid w:val="0033743F"/>
    <w:rsid w:val="00337D7A"/>
    <w:rsid w:val="00340CDE"/>
    <w:rsid w:val="0034133E"/>
    <w:rsid w:val="003415A1"/>
    <w:rsid w:val="00342048"/>
    <w:rsid w:val="00342994"/>
    <w:rsid w:val="00342F54"/>
    <w:rsid w:val="00343735"/>
    <w:rsid w:val="0034388D"/>
    <w:rsid w:val="00343F87"/>
    <w:rsid w:val="00345DCC"/>
    <w:rsid w:val="00346101"/>
    <w:rsid w:val="00346CAB"/>
    <w:rsid w:val="00347620"/>
    <w:rsid w:val="00347C24"/>
    <w:rsid w:val="00347EB1"/>
    <w:rsid w:val="003508F6"/>
    <w:rsid w:val="00351DDB"/>
    <w:rsid w:val="00351FF3"/>
    <w:rsid w:val="00352B90"/>
    <w:rsid w:val="00353231"/>
    <w:rsid w:val="00353F39"/>
    <w:rsid w:val="00354D6E"/>
    <w:rsid w:val="0035514C"/>
    <w:rsid w:val="00356084"/>
    <w:rsid w:val="003568C0"/>
    <w:rsid w:val="00356E07"/>
    <w:rsid w:val="00357E34"/>
    <w:rsid w:val="00357F2D"/>
    <w:rsid w:val="0036056A"/>
    <w:rsid w:val="003642D2"/>
    <w:rsid w:val="0036450C"/>
    <w:rsid w:val="00364574"/>
    <w:rsid w:val="0036468B"/>
    <w:rsid w:val="0036546D"/>
    <w:rsid w:val="003664C3"/>
    <w:rsid w:val="00366D25"/>
    <w:rsid w:val="003675A1"/>
    <w:rsid w:val="0036773D"/>
    <w:rsid w:val="00367FEB"/>
    <w:rsid w:val="00370AF6"/>
    <w:rsid w:val="003711C1"/>
    <w:rsid w:val="00371BC3"/>
    <w:rsid w:val="00371CBE"/>
    <w:rsid w:val="00372C24"/>
    <w:rsid w:val="00372C38"/>
    <w:rsid w:val="00372C9E"/>
    <w:rsid w:val="0037332F"/>
    <w:rsid w:val="00373811"/>
    <w:rsid w:val="00373AD4"/>
    <w:rsid w:val="0037428F"/>
    <w:rsid w:val="00374539"/>
    <w:rsid w:val="003747BD"/>
    <w:rsid w:val="00374DD5"/>
    <w:rsid w:val="00374E43"/>
    <w:rsid w:val="0037591D"/>
    <w:rsid w:val="00376E05"/>
    <w:rsid w:val="0037720A"/>
    <w:rsid w:val="003774FC"/>
    <w:rsid w:val="00377F5B"/>
    <w:rsid w:val="0038006D"/>
    <w:rsid w:val="00381554"/>
    <w:rsid w:val="003816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46B"/>
    <w:rsid w:val="003974DF"/>
    <w:rsid w:val="0039750E"/>
    <w:rsid w:val="00397618"/>
    <w:rsid w:val="00397731"/>
    <w:rsid w:val="00397EA0"/>
    <w:rsid w:val="00397EA7"/>
    <w:rsid w:val="003A1350"/>
    <w:rsid w:val="003A17CE"/>
    <w:rsid w:val="003A1920"/>
    <w:rsid w:val="003A1A61"/>
    <w:rsid w:val="003A2C3E"/>
    <w:rsid w:val="003A2D49"/>
    <w:rsid w:val="003A3487"/>
    <w:rsid w:val="003A41EB"/>
    <w:rsid w:val="003A5228"/>
    <w:rsid w:val="003A583A"/>
    <w:rsid w:val="003A591A"/>
    <w:rsid w:val="003A5F2B"/>
    <w:rsid w:val="003A722D"/>
    <w:rsid w:val="003B01FB"/>
    <w:rsid w:val="003B0557"/>
    <w:rsid w:val="003B0E02"/>
    <w:rsid w:val="003B0FDA"/>
    <w:rsid w:val="003B1656"/>
    <w:rsid w:val="003B231B"/>
    <w:rsid w:val="003B2DCE"/>
    <w:rsid w:val="003B3157"/>
    <w:rsid w:val="003B3FC0"/>
    <w:rsid w:val="003B4786"/>
    <w:rsid w:val="003B56E2"/>
    <w:rsid w:val="003B5926"/>
    <w:rsid w:val="003B602A"/>
    <w:rsid w:val="003B71D0"/>
    <w:rsid w:val="003B7450"/>
    <w:rsid w:val="003C25D6"/>
    <w:rsid w:val="003C2C74"/>
    <w:rsid w:val="003C3021"/>
    <w:rsid w:val="003C3055"/>
    <w:rsid w:val="003C36E4"/>
    <w:rsid w:val="003C3EAC"/>
    <w:rsid w:val="003C4015"/>
    <w:rsid w:val="003C45E6"/>
    <w:rsid w:val="003C4A67"/>
    <w:rsid w:val="003C568C"/>
    <w:rsid w:val="003C56E9"/>
    <w:rsid w:val="003C5F11"/>
    <w:rsid w:val="003C63A8"/>
    <w:rsid w:val="003C6725"/>
    <w:rsid w:val="003C69B6"/>
    <w:rsid w:val="003C6A36"/>
    <w:rsid w:val="003C6F78"/>
    <w:rsid w:val="003C703E"/>
    <w:rsid w:val="003C7107"/>
    <w:rsid w:val="003C752E"/>
    <w:rsid w:val="003C7932"/>
    <w:rsid w:val="003D0D2D"/>
    <w:rsid w:val="003D16A1"/>
    <w:rsid w:val="003D16F1"/>
    <w:rsid w:val="003D1778"/>
    <w:rsid w:val="003D1B5E"/>
    <w:rsid w:val="003D28A5"/>
    <w:rsid w:val="003D30C9"/>
    <w:rsid w:val="003D4135"/>
    <w:rsid w:val="003D472B"/>
    <w:rsid w:val="003D4F91"/>
    <w:rsid w:val="003D5092"/>
    <w:rsid w:val="003D6240"/>
    <w:rsid w:val="003D6FE7"/>
    <w:rsid w:val="003D7A99"/>
    <w:rsid w:val="003D7B28"/>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E03"/>
    <w:rsid w:val="003F330F"/>
    <w:rsid w:val="003F36C9"/>
    <w:rsid w:val="003F38E9"/>
    <w:rsid w:val="003F43BB"/>
    <w:rsid w:val="003F441E"/>
    <w:rsid w:val="003F4A7C"/>
    <w:rsid w:val="003F5144"/>
    <w:rsid w:val="003F584D"/>
    <w:rsid w:val="003F5959"/>
    <w:rsid w:val="003F5DC0"/>
    <w:rsid w:val="003F6BA9"/>
    <w:rsid w:val="003F73B2"/>
    <w:rsid w:val="00400538"/>
    <w:rsid w:val="0040067C"/>
    <w:rsid w:val="004012CF"/>
    <w:rsid w:val="00401357"/>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0C1E"/>
    <w:rsid w:val="004117D4"/>
    <w:rsid w:val="00411C6C"/>
    <w:rsid w:val="004133BA"/>
    <w:rsid w:val="00413638"/>
    <w:rsid w:val="00413B4D"/>
    <w:rsid w:val="00413ED4"/>
    <w:rsid w:val="00414834"/>
    <w:rsid w:val="00414B0A"/>
    <w:rsid w:val="00414B6F"/>
    <w:rsid w:val="00414DD6"/>
    <w:rsid w:val="004159EE"/>
    <w:rsid w:val="0041663C"/>
    <w:rsid w:val="00417D6B"/>
    <w:rsid w:val="004202B5"/>
    <w:rsid w:val="00422022"/>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2796B"/>
    <w:rsid w:val="004307C5"/>
    <w:rsid w:val="00430AD8"/>
    <w:rsid w:val="00430E04"/>
    <w:rsid w:val="004327C7"/>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22A"/>
    <w:rsid w:val="00443AA8"/>
    <w:rsid w:val="00444293"/>
    <w:rsid w:val="00444AFB"/>
    <w:rsid w:val="00444F38"/>
    <w:rsid w:val="00445781"/>
    <w:rsid w:val="004468EF"/>
    <w:rsid w:val="00446C45"/>
    <w:rsid w:val="00446F78"/>
    <w:rsid w:val="004479E5"/>
    <w:rsid w:val="00450535"/>
    <w:rsid w:val="00450551"/>
    <w:rsid w:val="00450E73"/>
    <w:rsid w:val="00451333"/>
    <w:rsid w:val="00451AD8"/>
    <w:rsid w:val="00452BA8"/>
    <w:rsid w:val="00452C04"/>
    <w:rsid w:val="00452C19"/>
    <w:rsid w:val="00452C3B"/>
    <w:rsid w:val="00453AEE"/>
    <w:rsid w:val="004550B3"/>
    <w:rsid w:val="0045516B"/>
    <w:rsid w:val="00455783"/>
    <w:rsid w:val="00455C4E"/>
    <w:rsid w:val="00456C7D"/>
    <w:rsid w:val="00457C26"/>
    <w:rsid w:val="00457C9D"/>
    <w:rsid w:val="004607DA"/>
    <w:rsid w:val="00460A63"/>
    <w:rsid w:val="004611AB"/>
    <w:rsid w:val="00461373"/>
    <w:rsid w:val="00461886"/>
    <w:rsid w:val="004628A4"/>
    <w:rsid w:val="00462A0F"/>
    <w:rsid w:val="00463DBF"/>
    <w:rsid w:val="004645C9"/>
    <w:rsid w:val="00464BDB"/>
    <w:rsid w:val="00464FEE"/>
    <w:rsid w:val="004657E9"/>
    <w:rsid w:val="00465B8F"/>
    <w:rsid w:val="00465BC5"/>
    <w:rsid w:val="00466020"/>
    <w:rsid w:val="00466F51"/>
    <w:rsid w:val="00466FB3"/>
    <w:rsid w:val="00467813"/>
    <w:rsid w:val="00467C63"/>
    <w:rsid w:val="004704EB"/>
    <w:rsid w:val="00470B02"/>
    <w:rsid w:val="00470D29"/>
    <w:rsid w:val="00470FCF"/>
    <w:rsid w:val="004738CC"/>
    <w:rsid w:val="00473922"/>
    <w:rsid w:val="00473BE0"/>
    <w:rsid w:val="004742F2"/>
    <w:rsid w:val="004749A9"/>
    <w:rsid w:val="00474B56"/>
    <w:rsid w:val="00474B70"/>
    <w:rsid w:val="004750DD"/>
    <w:rsid w:val="004755C9"/>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432"/>
    <w:rsid w:val="00485562"/>
    <w:rsid w:val="0048567E"/>
    <w:rsid w:val="004861E3"/>
    <w:rsid w:val="004864EC"/>
    <w:rsid w:val="00486E1F"/>
    <w:rsid w:val="00487255"/>
    <w:rsid w:val="004877A9"/>
    <w:rsid w:val="004903E3"/>
    <w:rsid w:val="00491485"/>
    <w:rsid w:val="00491A69"/>
    <w:rsid w:val="00491E53"/>
    <w:rsid w:val="0049221E"/>
    <w:rsid w:val="0049286D"/>
    <w:rsid w:val="00492C5B"/>
    <w:rsid w:val="0049312E"/>
    <w:rsid w:val="004932B1"/>
    <w:rsid w:val="004933BA"/>
    <w:rsid w:val="00493CD1"/>
    <w:rsid w:val="00494084"/>
    <w:rsid w:val="004944CE"/>
    <w:rsid w:val="004947D2"/>
    <w:rsid w:val="00494BCE"/>
    <w:rsid w:val="0049512D"/>
    <w:rsid w:val="0049547D"/>
    <w:rsid w:val="004956F3"/>
    <w:rsid w:val="00496A42"/>
    <w:rsid w:val="004976A9"/>
    <w:rsid w:val="00497B07"/>
    <w:rsid w:val="00497F32"/>
    <w:rsid w:val="004A0046"/>
    <w:rsid w:val="004A14A9"/>
    <w:rsid w:val="004A195A"/>
    <w:rsid w:val="004A2078"/>
    <w:rsid w:val="004A2959"/>
    <w:rsid w:val="004A3BE1"/>
    <w:rsid w:val="004A4429"/>
    <w:rsid w:val="004A45C0"/>
    <w:rsid w:val="004A46D2"/>
    <w:rsid w:val="004A4B79"/>
    <w:rsid w:val="004A5051"/>
    <w:rsid w:val="004A5390"/>
    <w:rsid w:val="004A7153"/>
    <w:rsid w:val="004A7948"/>
    <w:rsid w:val="004A7ADA"/>
    <w:rsid w:val="004B04F6"/>
    <w:rsid w:val="004B0657"/>
    <w:rsid w:val="004B134A"/>
    <w:rsid w:val="004B1444"/>
    <w:rsid w:val="004B147C"/>
    <w:rsid w:val="004B256E"/>
    <w:rsid w:val="004B2D58"/>
    <w:rsid w:val="004B36B6"/>
    <w:rsid w:val="004B53F7"/>
    <w:rsid w:val="004B586D"/>
    <w:rsid w:val="004B709E"/>
    <w:rsid w:val="004B78B9"/>
    <w:rsid w:val="004B7C5E"/>
    <w:rsid w:val="004C0B6B"/>
    <w:rsid w:val="004C0D2F"/>
    <w:rsid w:val="004C0FA9"/>
    <w:rsid w:val="004C1884"/>
    <w:rsid w:val="004C1967"/>
    <w:rsid w:val="004C1AFC"/>
    <w:rsid w:val="004C3A86"/>
    <w:rsid w:val="004C4B31"/>
    <w:rsid w:val="004C52F8"/>
    <w:rsid w:val="004C552D"/>
    <w:rsid w:val="004C5E6B"/>
    <w:rsid w:val="004C6663"/>
    <w:rsid w:val="004C70BF"/>
    <w:rsid w:val="004C78A7"/>
    <w:rsid w:val="004D011B"/>
    <w:rsid w:val="004D0B12"/>
    <w:rsid w:val="004D0F84"/>
    <w:rsid w:val="004D1CA0"/>
    <w:rsid w:val="004D23CC"/>
    <w:rsid w:val="004D3D5B"/>
    <w:rsid w:val="004D48FE"/>
    <w:rsid w:val="004D51D6"/>
    <w:rsid w:val="004D62A4"/>
    <w:rsid w:val="004D646A"/>
    <w:rsid w:val="004D6CB7"/>
    <w:rsid w:val="004D7170"/>
    <w:rsid w:val="004D786D"/>
    <w:rsid w:val="004D79D7"/>
    <w:rsid w:val="004E104C"/>
    <w:rsid w:val="004E20A4"/>
    <w:rsid w:val="004E25EB"/>
    <w:rsid w:val="004E2FF4"/>
    <w:rsid w:val="004E352A"/>
    <w:rsid w:val="004E37B5"/>
    <w:rsid w:val="004E3C1F"/>
    <w:rsid w:val="004E42F1"/>
    <w:rsid w:val="004E4817"/>
    <w:rsid w:val="004E5189"/>
    <w:rsid w:val="004E5335"/>
    <w:rsid w:val="004E5C08"/>
    <w:rsid w:val="004E61F6"/>
    <w:rsid w:val="004E6478"/>
    <w:rsid w:val="004E670B"/>
    <w:rsid w:val="004E6B0B"/>
    <w:rsid w:val="004E755F"/>
    <w:rsid w:val="004E7748"/>
    <w:rsid w:val="004E79D0"/>
    <w:rsid w:val="004F18EA"/>
    <w:rsid w:val="004F210D"/>
    <w:rsid w:val="004F22A2"/>
    <w:rsid w:val="004F2678"/>
    <w:rsid w:val="004F2D46"/>
    <w:rsid w:val="004F2DD9"/>
    <w:rsid w:val="004F4034"/>
    <w:rsid w:val="004F4D07"/>
    <w:rsid w:val="004F58BD"/>
    <w:rsid w:val="004F6936"/>
    <w:rsid w:val="004F6BD5"/>
    <w:rsid w:val="004F74C3"/>
    <w:rsid w:val="004F7829"/>
    <w:rsid w:val="004F7B94"/>
    <w:rsid w:val="00500041"/>
    <w:rsid w:val="00500514"/>
    <w:rsid w:val="005005B7"/>
    <w:rsid w:val="0050073E"/>
    <w:rsid w:val="005008C0"/>
    <w:rsid w:val="0050188D"/>
    <w:rsid w:val="0050241E"/>
    <w:rsid w:val="0050246E"/>
    <w:rsid w:val="005024B2"/>
    <w:rsid w:val="0050296B"/>
    <w:rsid w:val="005041DF"/>
    <w:rsid w:val="00504207"/>
    <w:rsid w:val="005049DE"/>
    <w:rsid w:val="00504C0A"/>
    <w:rsid w:val="00504DDF"/>
    <w:rsid w:val="0050543E"/>
    <w:rsid w:val="00505647"/>
    <w:rsid w:val="00505AFF"/>
    <w:rsid w:val="00505C13"/>
    <w:rsid w:val="00505C40"/>
    <w:rsid w:val="00505C49"/>
    <w:rsid w:val="0050672C"/>
    <w:rsid w:val="00506BCC"/>
    <w:rsid w:val="00506D93"/>
    <w:rsid w:val="0050725D"/>
    <w:rsid w:val="00507D2E"/>
    <w:rsid w:val="005105D0"/>
    <w:rsid w:val="00510C3C"/>
    <w:rsid w:val="00510F3D"/>
    <w:rsid w:val="0051174F"/>
    <w:rsid w:val="00511B7C"/>
    <w:rsid w:val="00511CAC"/>
    <w:rsid w:val="005121F6"/>
    <w:rsid w:val="005124E1"/>
    <w:rsid w:val="005125B6"/>
    <w:rsid w:val="005126A3"/>
    <w:rsid w:val="00512791"/>
    <w:rsid w:val="00512A0B"/>
    <w:rsid w:val="005137B6"/>
    <w:rsid w:val="00513FA7"/>
    <w:rsid w:val="00513FCB"/>
    <w:rsid w:val="005145EB"/>
    <w:rsid w:val="005149CC"/>
    <w:rsid w:val="00514D8B"/>
    <w:rsid w:val="00515025"/>
    <w:rsid w:val="00515A9C"/>
    <w:rsid w:val="00516A7C"/>
    <w:rsid w:val="00516B9F"/>
    <w:rsid w:val="00516FDB"/>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9B2"/>
    <w:rsid w:val="00526E2B"/>
    <w:rsid w:val="00527756"/>
    <w:rsid w:val="00527C26"/>
    <w:rsid w:val="0053173F"/>
    <w:rsid w:val="0053229A"/>
    <w:rsid w:val="0053293B"/>
    <w:rsid w:val="005333D5"/>
    <w:rsid w:val="00533421"/>
    <w:rsid w:val="00533882"/>
    <w:rsid w:val="00533A0E"/>
    <w:rsid w:val="005341E3"/>
    <w:rsid w:val="0053428F"/>
    <w:rsid w:val="005348C6"/>
    <w:rsid w:val="005358F1"/>
    <w:rsid w:val="0053666F"/>
    <w:rsid w:val="00536682"/>
    <w:rsid w:val="005369A9"/>
    <w:rsid w:val="005374EA"/>
    <w:rsid w:val="00537BE1"/>
    <w:rsid w:val="005405A8"/>
    <w:rsid w:val="00540675"/>
    <w:rsid w:val="005413F9"/>
    <w:rsid w:val="005417DF"/>
    <w:rsid w:val="0054190B"/>
    <w:rsid w:val="00541A86"/>
    <w:rsid w:val="0054235C"/>
    <w:rsid w:val="00542803"/>
    <w:rsid w:val="0054329C"/>
    <w:rsid w:val="00543AC4"/>
    <w:rsid w:val="00545811"/>
    <w:rsid w:val="00545BF2"/>
    <w:rsid w:val="0054791B"/>
    <w:rsid w:val="005479A3"/>
    <w:rsid w:val="00547EAD"/>
    <w:rsid w:val="00550520"/>
    <w:rsid w:val="00551A81"/>
    <w:rsid w:val="0055250D"/>
    <w:rsid w:val="00552BFC"/>
    <w:rsid w:val="00552C62"/>
    <w:rsid w:val="00554298"/>
    <w:rsid w:val="00555BE1"/>
    <w:rsid w:val="0055676A"/>
    <w:rsid w:val="005567C4"/>
    <w:rsid w:val="00557913"/>
    <w:rsid w:val="00560AC2"/>
    <w:rsid w:val="00560BB3"/>
    <w:rsid w:val="00561FA5"/>
    <w:rsid w:val="00562324"/>
    <w:rsid w:val="00562C60"/>
    <w:rsid w:val="00563644"/>
    <w:rsid w:val="00563773"/>
    <w:rsid w:val="00563AEA"/>
    <w:rsid w:val="00563CE5"/>
    <w:rsid w:val="00564141"/>
    <w:rsid w:val="005642B9"/>
    <w:rsid w:val="005644A8"/>
    <w:rsid w:val="00564947"/>
    <w:rsid w:val="00564E1B"/>
    <w:rsid w:val="00564F4F"/>
    <w:rsid w:val="005652C8"/>
    <w:rsid w:val="0056629D"/>
    <w:rsid w:val="0056698E"/>
    <w:rsid w:val="005676F1"/>
    <w:rsid w:val="00567723"/>
    <w:rsid w:val="005709A2"/>
    <w:rsid w:val="00571233"/>
    <w:rsid w:val="0057130A"/>
    <w:rsid w:val="00571907"/>
    <w:rsid w:val="005726ED"/>
    <w:rsid w:val="0057274D"/>
    <w:rsid w:val="00572924"/>
    <w:rsid w:val="00572FE1"/>
    <w:rsid w:val="00573BDF"/>
    <w:rsid w:val="00573CC6"/>
    <w:rsid w:val="00573E1E"/>
    <w:rsid w:val="005744A4"/>
    <w:rsid w:val="0057597C"/>
    <w:rsid w:val="0057633C"/>
    <w:rsid w:val="005766A1"/>
    <w:rsid w:val="0057676F"/>
    <w:rsid w:val="005769A2"/>
    <w:rsid w:val="00576C7A"/>
    <w:rsid w:val="005815B7"/>
    <w:rsid w:val="00581682"/>
    <w:rsid w:val="00581A9F"/>
    <w:rsid w:val="00581B14"/>
    <w:rsid w:val="00581F7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2F49"/>
    <w:rsid w:val="00593DC3"/>
    <w:rsid w:val="00593E6C"/>
    <w:rsid w:val="0059433A"/>
    <w:rsid w:val="00594ADE"/>
    <w:rsid w:val="00594ECA"/>
    <w:rsid w:val="00595505"/>
    <w:rsid w:val="00595ACE"/>
    <w:rsid w:val="005964EC"/>
    <w:rsid w:val="00596AB7"/>
    <w:rsid w:val="00596D1F"/>
    <w:rsid w:val="00597CA5"/>
    <w:rsid w:val="005A1261"/>
    <w:rsid w:val="005A1A4C"/>
    <w:rsid w:val="005A1DB5"/>
    <w:rsid w:val="005A29F9"/>
    <w:rsid w:val="005A4C07"/>
    <w:rsid w:val="005A4EA2"/>
    <w:rsid w:val="005A5DA5"/>
    <w:rsid w:val="005A5F3A"/>
    <w:rsid w:val="005A6250"/>
    <w:rsid w:val="005A7422"/>
    <w:rsid w:val="005A76AD"/>
    <w:rsid w:val="005A79D6"/>
    <w:rsid w:val="005A7A28"/>
    <w:rsid w:val="005B106A"/>
    <w:rsid w:val="005B1893"/>
    <w:rsid w:val="005B1C4C"/>
    <w:rsid w:val="005B1ECD"/>
    <w:rsid w:val="005B1FEB"/>
    <w:rsid w:val="005B32A0"/>
    <w:rsid w:val="005B3807"/>
    <w:rsid w:val="005B43D5"/>
    <w:rsid w:val="005B4B95"/>
    <w:rsid w:val="005B4F87"/>
    <w:rsid w:val="005B542D"/>
    <w:rsid w:val="005B5B1E"/>
    <w:rsid w:val="005B5D9A"/>
    <w:rsid w:val="005B677B"/>
    <w:rsid w:val="005B714F"/>
    <w:rsid w:val="005B7D9A"/>
    <w:rsid w:val="005C1A57"/>
    <w:rsid w:val="005C1C8B"/>
    <w:rsid w:val="005C2088"/>
    <w:rsid w:val="005C2504"/>
    <w:rsid w:val="005C41C5"/>
    <w:rsid w:val="005C5B5C"/>
    <w:rsid w:val="005C5EC4"/>
    <w:rsid w:val="005D0CED"/>
    <w:rsid w:val="005D1036"/>
    <w:rsid w:val="005D1A4D"/>
    <w:rsid w:val="005D213D"/>
    <w:rsid w:val="005D22BA"/>
    <w:rsid w:val="005D2E9B"/>
    <w:rsid w:val="005D35F9"/>
    <w:rsid w:val="005D43DD"/>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C27"/>
    <w:rsid w:val="005E4400"/>
    <w:rsid w:val="005E4634"/>
    <w:rsid w:val="005E46B3"/>
    <w:rsid w:val="005E4F4D"/>
    <w:rsid w:val="005E5BDB"/>
    <w:rsid w:val="005E681E"/>
    <w:rsid w:val="005E730A"/>
    <w:rsid w:val="005E776F"/>
    <w:rsid w:val="005F023F"/>
    <w:rsid w:val="005F089F"/>
    <w:rsid w:val="005F0A40"/>
    <w:rsid w:val="005F0A77"/>
    <w:rsid w:val="005F0C3A"/>
    <w:rsid w:val="005F133C"/>
    <w:rsid w:val="005F1E3B"/>
    <w:rsid w:val="005F270E"/>
    <w:rsid w:val="005F28DA"/>
    <w:rsid w:val="005F2C7A"/>
    <w:rsid w:val="005F30C1"/>
    <w:rsid w:val="005F3260"/>
    <w:rsid w:val="005F4B8E"/>
    <w:rsid w:val="005F4C0D"/>
    <w:rsid w:val="005F5DE4"/>
    <w:rsid w:val="005F66ED"/>
    <w:rsid w:val="005F6FC3"/>
    <w:rsid w:val="006002F0"/>
    <w:rsid w:val="0060077C"/>
    <w:rsid w:val="00600C12"/>
    <w:rsid w:val="00600CD2"/>
    <w:rsid w:val="00600F4E"/>
    <w:rsid w:val="00601949"/>
    <w:rsid w:val="00601B0B"/>
    <w:rsid w:val="00602412"/>
    <w:rsid w:val="00602468"/>
    <w:rsid w:val="006028D2"/>
    <w:rsid w:val="006042C2"/>
    <w:rsid w:val="006046B9"/>
    <w:rsid w:val="00605D03"/>
    <w:rsid w:val="00605DDB"/>
    <w:rsid w:val="006061FB"/>
    <w:rsid w:val="00606EC0"/>
    <w:rsid w:val="00607AE9"/>
    <w:rsid w:val="00607B18"/>
    <w:rsid w:val="00610ED1"/>
    <w:rsid w:val="006112E4"/>
    <w:rsid w:val="006132AB"/>
    <w:rsid w:val="00613EE3"/>
    <w:rsid w:val="00613FE1"/>
    <w:rsid w:val="006140DF"/>
    <w:rsid w:val="00614799"/>
    <w:rsid w:val="00615CAC"/>
    <w:rsid w:val="00615DDA"/>
    <w:rsid w:val="006167A3"/>
    <w:rsid w:val="00616DC1"/>
    <w:rsid w:val="00616DC5"/>
    <w:rsid w:val="006176A7"/>
    <w:rsid w:val="00621192"/>
    <w:rsid w:val="006215E3"/>
    <w:rsid w:val="0062208C"/>
    <w:rsid w:val="0062287B"/>
    <w:rsid w:val="00623A1A"/>
    <w:rsid w:val="00623C2F"/>
    <w:rsid w:val="006242A7"/>
    <w:rsid w:val="0062464B"/>
    <w:rsid w:val="00624C04"/>
    <w:rsid w:val="00625243"/>
    <w:rsid w:val="00625656"/>
    <w:rsid w:val="00626A94"/>
    <w:rsid w:val="0062773D"/>
    <w:rsid w:val="0062794E"/>
    <w:rsid w:val="00627EF5"/>
    <w:rsid w:val="006303C8"/>
    <w:rsid w:val="00630B1E"/>
    <w:rsid w:val="0063110A"/>
    <w:rsid w:val="006313F2"/>
    <w:rsid w:val="00631498"/>
    <w:rsid w:val="006317AC"/>
    <w:rsid w:val="0063297F"/>
    <w:rsid w:val="0063515D"/>
    <w:rsid w:val="0063570A"/>
    <w:rsid w:val="0063688A"/>
    <w:rsid w:val="00636932"/>
    <w:rsid w:val="00637ACA"/>
    <w:rsid w:val="00637C91"/>
    <w:rsid w:val="00640A23"/>
    <w:rsid w:val="00640F55"/>
    <w:rsid w:val="00641343"/>
    <w:rsid w:val="0064225F"/>
    <w:rsid w:val="00642829"/>
    <w:rsid w:val="00643351"/>
    <w:rsid w:val="0064392A"/>
    <w:rsid w:val="00643B9A"/>
    <w:rsid w:val="00644364"/>
    <w:rsid w:val="006443D9"/>
    <w:rsid w:val="00645167"/>
    <w:rsid w:val="0064565A"/>
    <w:rsid w:val="0064598C"/>
    <w:rsid w:val="006459AE"/>
    <w:rsid w:val="00645A69"/>
    <w:rsid w:val="00645DD1"/>
    <w:rsid w:val="00645F24"/>
    <w:rsid w:val="00646422"/>
    <w:rsid w:val="006467D5"/>
    <w:rsid w:val="00646952"/>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49C5"/>
    <w:rsid w:val="006650EA"/>
    <w:rsid w:val="0066562C"/>
    <w:rsid w:val="00666821"/>
    <w:rsid w:val="00670350"/>
    <w:rsid w:val="00670441"/>
    <w:rsid w:val="006718E5"/>
    <w:rsid w:val="00671A10"/>
    <w:rsid w:val="00671B82"/>
    <w:rsid w:val="00672CE5"/>
    <w:rsid w:val="00673818"/>
    <w:rsid w:val="00674103"/>
    <w:rsid w:val="0067443A"/>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5E7"/>
    <w:rsid w:val="00691169"/>
    <w:rsid w:val="00691E55"/>
    <w:rsid w:val="006926BE"/>
    <w:rsid w:val="006940C2"/>
    <w:rsid w:val="00694335"/>
    <w:rsid w:val="00694876"/>
    <w:rsid w:val="006949D1"/>
    <w:rsid w:val="00694A8B"/>
    <w:rsid w:val="006951A1"/>
    <w:rsid w:val="00695696"/>
    <w:rsid w:val="00695AB4"/>
    <w:rsid w:val="00696FBE"/>
    <w:rsid w:val="00697046"/>
    <w:rsid w:val="00697459"/>
    <w:rsid w:val="006A00F4"/>
    <w:rsid w:val="006A06AA"/>
    <w:rsid w:val="006A096B"/>
    <w:rsid w:val="006A0E29"/>
    <w:rsid w:val="006A17EA"/>
    <w:rsid w:val="006A1A5D"/>
    <w:rsid w:val="006A21C6"/>
    <w:rsid w:val="006A2A92"/>
    <w:rsid w:val="006A3519"/>
    <w:rsid w:val="006A3A07"/>
    <w:rsid w:val="006A3DB7"/>
    <w:rsid w:val="006A47CB"/>
    <w:rsid w:val="006A4B16"/>
    <w:rsid w:val="006A6079"/>
    <w:rsid w:val="006A635E"/>
    <w:rsid w:val="006A6C34"/>
    <w:rsid w:val="006A6FE8"/>
    <w:rsid w:val="006A731A"/>
    <w:rsid w:val="006A7A44"/>
    <w:rsid w:val="006B01AE"/>
    <w:rsid w:val="006B03ED"/>
    <w:rsid w:val="006B0C7E"/>
    <w:rsid w:val="006B107F"/>
    <w:rsid w:val="006B1EE4"/>
    <w:rsid w:val="006B21C1"/>
    <w:rsid w:val="006B228B"/>
    <w:rsid w:val="006B2CD7"/>
    <w:rsid w:val="006B33D4"/>
    <w:rsid w:val="006B348A"/>
    <w:rsid w:val="006B3D38"/>
    <w:rsid w:val="006B4003"/>
    <w:rsid w:val="006B4F96"/>
    <w:rsid w:val="006B5455"/>
    <w:rsid w:val="006B5BD6"/>
    <w:rsid w:val="006B5D75"/>
    <w:rsid w:val="006B5EB2"/>
    <w:rsid w:val="006B6E20"/>
    <w:rsid w:val="006B6FB8"/>
    <w:rsid w:val="006C19F2"/>
    <w:rsid w:val="006C26A5"/>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1D"/>
    <w:rsid w:val="006D60CB"/>
    <w:rsid w:val="006D63F3"/>
    <w:rsid w:val="006D65DB"/>
    <w:rsid w:val="006D660E"/>
    <w:rsid w:val="006D6652"/>
    <w:rsid w:val="006D673F"/>
    <w:rsid w:val="006D69E1"/>
    <w:rsid w:val="006E11DD"/>
    <w:rsid w:val="006E1BBD"/>
    <w:rsid w:val="006E247D"/>
    <w:rsid w:val="006E318F"/>
    <w:rsid w:val="006E3729"/>
    <w:rsid w:val="006E3AB9"/>
    <w:rsid w:val="006E4199"/>
    <w:rsid w:val="006E437C"/>
    <w:rsid w:val="006E471D"/>
    <w:rsid w:val="006E4760"/>
    <w:rsid w:val="006E4B23"/>
    <w:rsid w:val="006E5E47"/>
    <w:rsid w:val="006E6CD5"/>
    <w:rsid w:val="006E6F37"/>
    <w:rsid w:val="006E736B"/>
    <w:rsid w:val="006E7915"/>
    <w:rsid w:val="006E7B75"/>
    <w:rsid w:val="006F0E28"/>
    <w:rsid w:val="006F1775"/>
    <w:rsid w:val="006F21DF"/>
    <w:rsid w:val="006F22B4"/>
    <w:rsid w:val="006F2AD6"/>
    <w:rsid w:val="006F3553"/>
    <w:rsid w:val="006F37F6"/>
    <w:rsid w:val="006F453E"/>
    <w:rsid w:val="006F5759"/>
    <w:rsid w:val="006F5A07"/>
    <w:rsid w:val="006F5B3E"/>
    <w:rsid w:val="006F6BA4"/>
    <w:rsid w:val="006F7FC3"/>
    <w:rsid w:val="007006A7"/>
    <w:rsid w:val="0070125B"/>
    <w:rsid w:val="0070154F"/>
    <w:rsid w:val="007017D0"/>
    <w:rsid w:val="00701BA5"/>
    <w:rsid w:val="007026E9"/>
    <w:rsid w:val="00702A08"/>
    <w:rsid w:val="00704820"/>
    <w:rsid w:val="00705B58"/>
    <w:rsid w:val="00705FD1"/>
    <w:rsid w:val="00707E55"/>
    <w:rsid w:val="0071018D"/>
    <w:rsid w:val="00710221"/>
    <w:rsid w:val="00710E39"/>
    <w:rsid w:val="00710EDD"/>
    <w:rsid w:val="007115CF"/>
    <w:rsid w:val="00711643"/>
    <w:rsid w:val="007116A8"/>
    <w:rsid w:val="00713B15"/>
    <w:rsid w:val="00713B1F"/>
    <w:rsid w:val="007141D0"/>
    <w:rsid w:val="0071475A"/>
    <w:rsid w:val="0071487E"/>
    <w:rsid w:val="007148D1"/>
    <w:rsid w:val="00714A05"/>
    <w:rsid w:val="00715E70"/>
    <w:rsid w:val="0071655A"/>
    <w:rsid w:val="0071695D"/>
    <w:rsid w:val="00716CC1"/>
    <w:rsid w:val="00720F38"/>
    <w:rsid w:val="007213AE"/>
    <w:rsid w:val="00721ECB"/>
    <w:rsid w:val="007229DE"/>
    <w:rsid w:val="00722B44"/>
    <w:rsid w:val="00722C0F"/>
    <w:rsid w:val="00722C6D"/>
    <w:rsid w:val="00722D39"/>
    <w:rsid w:val="00723857"/>
    <w:rsid w:val="00723AA7"/>
    <w:rsid w:val="0072466C"/>
    <w:rsid w:val="00724BD6"/>
    <w:rsid w:val="007251B2"/>
    <w:rsid w:val="0072575D"/>
    <w:rsid w:val="007273C5"/>
    <w:rsid w:val="00727672"/>
    <w:rsid w:val="00727695"/>
    <w:rsid w:val="00727824"/>
    <w:rsid w:val="00727D4F"/>
    <w:rsid w:val="00730C6C"/>
    <w:rsid w:val="00731438"/>
    <w:rsid w:val="007323BE"/>
    <w:rsid w:val="0073255F"/>
    <w:rsid w:val="0073274E"/>
    <w:rsid w:val="007335DB"/>
    <w:rsid w:val="0073384E"/>
    <w:rsid w:val="0073499B"/>
    <w:rsid w:val="007355ED"/>
    <w:rsid w:val="00735BA5"/>
    <w:rsid w:val="007365F0"/>
    <w:rsid w:val="00736977"/>
    <w:rsid w:val="00737307"/>
    <w:rsid w:val="00737C7A"/>
    <w:rsid w:val="00740015"/>
    <w:rsid w:val="0074049E"/>
    <w:rsid w:val="00740B05"/>
    <w:rsid w:val="00741124"/>
    <w:rsid w:val="00741AF0"/>
    <w:rsid w:val="00742860"/>
    <w:rsid w:val="0074408D"/>
    <w:rsid w:val="007447A5"/>
    <w:rsid w:val="007453DC"/>
    <w:rsid w:val="007455C8"/>
    <w:rsid w:val="00745C76"/>
    <w:rsid w:val="00745DEE"/>
    <w:rsid w:val="0074667D"/>
    <w:rsid w:val="0074697F"/>
    <w:rsid w:val="007469D3"/>
    <w:rsid w:val="00747805"/>
    <w:rsid w:val="00747B89"/>
    <w:rsid w:val="00747DC1"/>
    <w:rsid w:val="00747E7D"/>
    <w:rsid w:val="007507CF"/>
    <w:rsid w:val="007519D7"/>
    <w:rsid w:val="00751DDE"/>
    <w:rsid w:val="007523B9"/>
    <w:rsid w:val="00752749"/>
    <w:rsid w:val="00752DA9"/>
    <w:rsid w:val="00752F38"/>
    <w:rsid w:val="00753B60"/>
    <w:rsid w:val="007542C5"/>
    <w:rsid w:val="0075437C"/>
    <w:rsid w:val="00754686"/>
    <w:rsid w:val="007546CD"/>
    <w:rsid w:val="00754F5E"/>
    <w:rsid w:val="007550FE"/>
    <w:rsid w:val="00755721"/>
    <w:rsid w:val="00755910"/>
    <w:rsid w:val="00755CE8"/>
    <w:rsid w:val="00756C7E"/>
    <w:rsid w:val="00757755"/>
    <w:rsid w:val="007604FB"/>
    <w:rsid w:val="00760606"/>
    <w:rsid w:val="0076141D"/>
    <w:rsid w:val="007615EF"/>
    <w:rsid w:val="00761B67"/>
    <w:rsid w:val="00763440"/>
    <w:rsid w:val="0076352C"/>
    <w:rsid w:val="00763A24"/>
    <w:rsid w:val="00763A72"/>
    <w:rsid w:val="00764005"/>
    <w:rsid w:val="00764085"/>
    <w:rsid w:val="0076426C"/>
    <w:rsid w:val="007671BB"/>
    <w:rsid w:val="00767B35"/>
    <w:rsid w:val="00767DCD"/>
    <w:rsid w:val="007709C0"/>
    <w:rsid w:val="00770D17"/>
    <w:rsid w:val="00771293"/>
    <w:rsid w:val="00771628"/>
    <w:rsid w:val="00771A5F"/>
    <w:rsid w:val="00771BA2"/>
    <w:rsid w:val="00771DA3"/>
    <w:rsid w:val="00771EA2"/>
    <w:rsid w:val="00772D14"/>
    <w:rsid w:val="0077354E"/>
    <w:rsid w:val="00773F60"/>
    <w:rsid w:val="00773FAD"/>
    <w:rsid w:val="007741CD"/>
    <w:rsid w:val="0077429A"/>
    <w:rsid w:val="0077524C"/>
    <w:rsid w:val="00776715"/>
    <w:rsid w:val="007769F4"/>
    <w:rsid w:val="0077768C"/>
    <w:rsid w:val="0078006D"/>
    <w:rsid w:val="0078014D"/>
    <w:rsid w:val="00780869"/>
    <w:rsid w:val="00780CCE"/>
    <w:rsid w:val="00781304"/>
    <w:rsid w:val="00781B0F"/>
    <w:rsid w:val="00781EF3"/>
    <w:rsid w:val="00781F85"/>
    <w:rsid w:val="007838FC"/>
    <w:rsid w:val="007840F3"/>
    <w:rsid w:val="00784124"/>
    <w:rsid w:val="00784656"/>
    <w:rsid w:val="00785BF3"/>
    <w:rsid w:val="00786210"/>
    <w:rsid w:val="0078684A"/>
    <w:rsid w:val="00787645"/>
    <w:rsid w:val="007900FE"/>
    <w:rsid w:val="007910B8"/>
    <w:rsid w:val="00792302"/>
    <w:rsid w:val="007927E7"/>
    <w:rsid w:val="00792AA5"/>
    <w:rsid w:val="00792D90"/>
    <w:rsid w:val="0079361D"/>
    <w:rsid w:val="0079367B"/>
    <w:rsid w:val="00793EF6"/>
    <w:rsid w:val="00794020"/>
    <w:rsid w:val="00794924"/>
    <w:rsid w:val="00794CA6"/>
    <w:rsid w:val="00794E88"/>
    <w:rsid w:val="00795B32"/>
    <w:rsid w:val="00795DD9"/>
    <w:rsid w:val="00796B72"/>
    <w:rsid w:val="007971B7"/>
    <w:rsid w:val="00797677"/>
    <w:rsid w:val="007976FB"/>
    <w:rsid w:val="007A0946"/>
    <w:rsid w:val="007A127B"/>
    <w:rsid w:val="007A1D54"/>
    <w:rsid w:val="007A1D72"/>
    <w:rsid w:val="007A1F25"/>
    <w:rsid w:val="007A26FC"/>
    <w:rsid w:val="007A27C0"/>
    <w:rsid w:val="007A2F52"/>
    <w:rsid w:val="007A4182"/>
    <w:rsid w:val="007A41E1"/>
    <w:rsid w:val="007A5158"/>
    <w:rsid w:val="007A5201"/>
    <w:rsid w:val="007A5471"/>
    <w:rsid w:val="007A5774"/>
    <w:rsid w:val="007A6735"/>
    <w:rsid w:val="007A68F1"/>
    <w:rsid w:val="007A7185"/>
    <w:rsid w:val="007A7788"/>
    <w:rsid w:val="007A7C4D"/>
    <w:rsid w:val="007B0214"/>
    <w:rsid w:val="007B130C"/>
    <w:rsid w:val="007B1B5B"/>
    <w:rsid w:val="007B1BAB"/>
    <w:rsid w:val="007B1CD2"/>
    <w:rsid w:val="007B1D80"/>
    <w:rsid w:val="007B2DB4"/>
    <w:rsid w:val="007B2F45"/>
    <w:rsid w:val="007B361F"/>
    <w:rsid w:val="007B48C3"/>
    <w:rsid w:val="007B4EDE"/>
    <w:rsid w:val="007B54D1"/>
    <w:rsid w:val="007B558D"/>
    <w:rsid w:val="007B70C3"/>
    <w:rsid w:val="007B75D5"/>
    <w:rsid w:val="007B773F"/>
    <w:rsid w:val="007B7D6F"/>
    <w:rsid w:val="007C0323"/>
    <w:rsid w:val="007C0459"/>
    <w:rsid w:val="007C04BC"/>
    <w:rsid w:val="007C285A"/>
    <w:rsid w:val="007C336C"/>
    <w:rsid w:val="007C3562"/>
    <w:rsid w:val="007C359F"/>
    <w:rsid w:val="007C36AB"/>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5BBD"/>
    <w:rsid w:val="007D642C"/>
    <w:rsid w:val="007D66D5"/>
    <w:rsid w:val="007D7356"/>
    <w:rsid w:val="007D74F0"/>
    <w:rsid w:val="007D79A8"/>
    <w:rsid w:val="007D7C6D"/>
    <w:rsid w:val="007E05AE"/>
    <w:rsid w:val="007E0641"/>
    <w:rsid w:val="007E06CE"/>
    <w:rsid w:val="007E07F2"/>
    <w:rsid w:val="007E167D"/>
    <w:rsid w:val="007E1889"/>
    <w:rsid w:val="007E1E2C"/>
    <w:rsid w:val="007E230F"/>
    <w:rsid w:val="007E29A1"/>
    <w:rsid w:val="007E39CD"/>
    <w:rsid w:val="007E492A"/>
    <w:rsid w:val="007E4F78"/>
    <w:rsid w:val="007E543C"/>
    <w:rsid w:val="007E587C"/>
    <w:rsid w:val="007E58A1"/>
    <w:rsid w:val="007E5C7A"/>
    <w:rsid w:val="007E5E39"/>
    <w:rsid w:val="007E5E79"/>
    <w:rsid w:val="007E5F69"/>
    <w:rsid w:val="007E62E4"/>
    <w:rsid w:val="007E6EA8"/>
    <w:rsid w:val="007F0040"/>
    <w:rsid w:val="007F03F4"/>
    <w:rsid w:val="007F0C1B"/>
    <w:rsid w:val="007F2B15"/>
    <w:rsid w:val="007F2D79"/>
    <w:rsid w:val="007F2E3D"/>
    <w:rsid w:val="007F3C69"/>
    <w:rsid w:val="007F40B6"/>
    <w:rsid w:val="007F452E"/>
    <w:rsid w:val="007F4693"/>
    <w:rsid w:val="007F4D6C"/>
    <w:rsid w:val="007F4DE0"/>
    <w:rsid w:val="007F50E0"/>
    <w:rsid w:val="007F5754"/>
    <w:rsid w:val="007F5766"/>
    <w:rsid w:val="007F5C0E"/>
    <w:rsid w:val="007F5E0C"/>
    <w:rsid w:val="007F6734"/>
    <w:rsid w:val="007F67A4"/>
    <w:rsid w:val="007F6C15"/>
    <w:rsid w:val="007F7A1B"/>
    <w:rsid w:val="007F7F4F"/>
    <w:rsid w:val="008002AC"/>
    <w:rsid w:val="00800C41"/>
    <w:rsid w:val="00801475"/>
    <w:rsid w:val="00802911"/>
    <w:rsid w:val="00802A8E"/>
    <w:rsid w:val="00802EFC"/>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1B8F"/>
    <w:rsid w:val="00812040"/>
    <w:rsid w:val="008124E6"/>
    <w:rsid w:val="00812E21"/>
    <w:rsid w:val="00813347"/>
    <w:rsid w:val="00813374"/>
    <w:rsid w:val="008136A3"/>
    <w:rsid w:val="008140D1"/>
    <w:rsid w:val="00814119"/>
    <w:rsid w:val="00814A2E"/>
    <w:rsid w:val="00814AD7"/>
    <w:rsid w:val="00814B26"/>
    <w:rsid w:val="00815897"/>
    <w:rsid w:val="00815F0A"/>
    <w:rsid w:val="00816752"/>
    <w:rsid w:val="0081709E"/>
    <w:rsid w:val="00817191"/>
    <w:rsid w:val="00817CC9"/>
    <w:rsid w:val="00817D58"/>
    <w:rsid w:val="008201A2"/>
    <w:rsid w:val="008204D1"/>
    <w:rsid w:val="0082072D"/>
    <w:rsid w:val="0082081D"/>
    <w:rsid w:val="00820F5A"/>
    <w:rsid w:val="008217AF"/>
    <w:rsid w:val="00821A99"/>
    <w:rsid w:val="008228F2"/>
    <w:rsid w:val="00822D67"/>
    <w:rsid w:val="008239D3"/>
    <w:rsid w:val="00824092"/>
    <w:rsid w:val="008243A0"/>
    <w:rsid w:val="00824CA2"/>
    <w:rsid w:val="008254D6"/>
    <w:rsid w:val="0082570B"/>
    <w:rsid w:val="00826C9F"/>
    <w:rsid w:val="00827117"/>
    <w:rsid w:val="008275BB"/>
    <w:rsid w:val="00827796"/>
    <w:rsid w:val="00827CA0"/>
    <w:rsid w:val="00827EE3"/>
    <w:rsid w:val="00830143"/>
    <w:rsid w:val="0083053A"/>
    <w:rsid w:val="00830720"/>
    <w:rsid w:val="00830881"/>
    <w:rsid w:val="0083108D"/>
    <w:rsid w:val="008311E8"/>
    <w:rsid w:val="008314F9"/>
    <w:rsid w:val="0083198D"/>
    <w:rsid w:val="00833CAA"/>
    <w:rsid w:val="0083432A"/>
    <w:rsid w:val="00835326"/>
    <w:rsid w:val="008353C5"/>
    <w:rsid w:val="00835FC2"/>
    <w:rsid w:val="008367B9"/>
    <w:rsid w:val="00836AC6"/>
    <w:rsid w:val="00836E15"/>
    <w:rsid w:val="0083705B"/>
    <w:rsid w:val="00842F85"/>
    <w:rsid w:val="008431C6"/>
    <w:rsid w:val="008433BB"/>
    <w:rsid w:val="00843A6C"/>
    <w:rsid w:val="008447A9"/>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3FA"/>
    <w:rsid w:val="00855467"/>
    <w:rsid w:val="008558F4"/>
    <w:rsid w:val="00855C82"/>
    <w:rsid w:val="008569D1"/>
    <w:rsid w:val="00857C40"/>
    <w:rsid w:val="00857D66"/>
    <w:rsid w:val="008604B3"/>
    <w:rsid w:val="0086065E"/>
    <w:rsid w:val="00860CBA"/>
    <w:rsid w:val="00860D44"/>
    <w:rsid w:val="00861777"/>
    <w:rsid w:val="008618BC"/>
    <w:rsid w:val="008620B9"/>
    <w:rsid w:val="008625CF"/>
    <w:rsid w:val="00862AA0"/>
    <w:rsid w:val="008631A9"/>
    <w:rsid w:val="00863B1E"/>
    <w:rsid w:val="008644AA"/>
    <w:rsid w:val="00866061"/>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533E"/>
    <w:rsid w:val="0087534F"/>
    <w:rsid w:val="00876C60"/>
    <w:rsid w:val="008771F7"/>
    <w:rsid w:val="00877561"/>
    <w:rsid w:val="00877736"/>
    <w:rsid w:val="0087795A"/>
    <w:rsid w:val="00880506"/>
    <w:rsid w:val="0088114A"/>
    <w:rsid w:val="008812E4"/>
    <w:rsid w:val="00881758"/>
    <w:rsid w:val="0088237B"/>
    <w:rsid w:val="00882739"/>
    <w:rsid w:val="00882863"/>
    <w:rsid w:val="00882DFA"/>
    <w:rsid w:val="00882F0B"/>
    <w:rsid w:val="0088455D"/>
    <w:rsid w:val="008854F6"/>
    <w:rsid w:val="0088566E"/>
    <w:rsid w:val="00887615"/>
    <w:rsid w:val="00887DEB"/>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7FA"/>
    <w:rsid w:val="008A08FF"/>
    <w:rsid w:val="008A0B95"/>
    <w:rsid w:val="008A1712"/>
    <w:rsid w:val="008A1CF2"/>
    <w:rsid w:val="008A2622"/>
    <w:rsid w:val="008A2CAD"/>
    <w:rsid w:val="008A3502"/>
    <w:rsid w:val="008A3788"/>
    <w:rsid w:val="008A4912"/>
    <w:rsid w:val="008A5076"/>
    <w:rsid w:val="008A5662"/>
    <w:rsid w:val="008A599D"/>
    <w:rsid w:val="008A5FF2"/>
    <w:rsid w:val="008A6976"/>
    <w:rsid w:val="008A6CBE"/>
    <w:rsid w:val="008A7EE8"/>
    <w:rsid w:val="008B0DE7"/>
    <w:rsid w:val="008B19A4"/>
    <w:rsid w:val="008B1D38"/>
    <w:rsid w:val="008B280C"/>
    <w:rsid w:val="008B304A"/>
    <w:rsid w:val="008B32A3"/>
    <w:rsid w:val="008B3F1E"/>
    <w:rsid w:val="008B3FF9"/>
    <w:rsid w:val="008B4641"/>
    <w:rsid w:val="008B5D25"/>
    <w:rsid w:val="008B6294"/>
    <w:rsid w:val="008B66EC"/>
    <w:rsid w:val="008B6711"/>
    <w:rsid w:val="008B6D7A"/>
    <w:rsid w:val="008C0197"/>
    <w:rsid w:val="008C07D0"/>
    <w:rsid w:val="008C0B7B"/>
    <w:rsid w:val="008C0BCA"/>
    <w:rsid w:val="008C1FAE"/>
    <w:rsid w:val="008C2336"/>
    <w:rsid w:val="008C26A4"/>
    <w:rsid w:val="008C29B2"/>
    <w:rsid w:val="008C2C44"/>
    <w:rsid w:val="008C34A9"/>
    <w:rsid w:val="008C466B"/>
    <w:rsid w:val="008C5B62"/>
    <w:rsid w:val="008C5F6D"/>
    <w:rsid w:val="008C6044"/>
    <w:rsid w:val="008C69AD"/>
    <w:rsid w:val="008C69BC"/>
    <w:rsid w:val="008C72BD"/>
    <w:rsid w:val="008C741E"/>
    <w:rsid w:val="008C77BE"/>
    <w:rsid w:val="008C7B80"/>
    <w:rsid w:val="008C7F53"/>
    <w:rsid w:val="008D081C"/>
    <w:rsid w:val="008D08A4"/>
    <w:rsid w:val="008D0F5E"/>
    <w:rsid w:val="008D17DD"/>
    <w:rsid w:val="008D1D11"/>
    <w:rsid w:val="008D3447"/>
    <w:rsid w:val="008D4091"/>
    <w:rsid w:val="008D44F8"/>
    <w:rsid w:val="008D5278"/>
    <w:rsid w:val="008D556A"/>
    <w:rsid w:val="008D5696"/>
    <w:rsid w:val="008D619E"/>
    <w:rsid w:val="008D6BAE"/>
    <w:rsid w:val="008D6CC0"/>
    <w:rsid w:val="008D7A30"/>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37CD"/>
    <w:rsid w:val="008F55C0"/>
    <w:rsid w:val="008F5751"/>
    <w:rsid w:val="008F5B0A"/>
    <w:rsid w:val="008F5EA9"/>
    <w:rsid w:val="008F614E"/>
    <w:rsid w:val="008F67D3"/>
    <w:rsid w:val="008F7196"/>
    <w:rsid w:val="008F7C2F"/>
    <w:rsid w:val="00900130"/>
    <w:rsid w:val="00901034"/>
    <w:rsid w:val="00901911"/>
    <w:rsid w:val="009024D7"/>
    <w:rsid w:val="00902520"/>
    <w:rsid w:val="0090254C"/>
    <w:rsid w:val="00902D20"/>
    <w:rsid w:val="00902FA1"/>
    <w:rsid w:val="0090353E"/>
    <w:rsid w:val="00903602"/>
    <w:rsid w:val="0090392D"/>
    <w:rsid w:val="00903D5F"/>
    <w:rsid w:val="00904D25"/>
    <w:rsid w:val="00904E04"/>
    <w:rsid w:val="009056CB"/>
    <w:rsid w:val="00906450"/>
    <w:rsid w:val="009067E6"/>
    <w:rsid w:val="0090683B"/>
    <w:rsid w:val="009076C9"/>
    <w:rsid w:val="00907B80"/>
    <w:rsid w:val="00907D89"/>
    <w:rsid w:val="00910480"/>
    <w:rsid w:val="00910CA5"/>
    <w:rsid w:val="00911600"/>
    <w:rsid w:val="00912854"/>
    <w:rsid w:val="0091461A"/>
    <w:rsid w:val="00915C51"/>
    <w:rsid w:val="00915CE8"/>
    <w:rsid w:val="00916EA1"/>
    <w:rsid w:val="00916F91"/>
    <w:rsid w:val="00917CA5"/>
    <w:rsid w:val="0092070A"/>
    <w:rsid w:val="00920A83"/>
    <w:rsid w:val="009211E9"/>
    <w:rsid w:val="00922085"/>
    <w:rsid w:val="0092319C"/>
    <w:rsid w:val="00923573"/>
    <w:rsid w:val="00923DBC"/>
    <w:rsid w:val="009241A7"/>
    <w:rsid w:val="00924D5F"/>
    <w:rsid w:val="00925380"/>
    <w:rsid w:val="0092582C"/>
    <w:rsid w:val="00925B41"/>
    <w:rsid w:val="00925F6E"/>
    <w:rsid w:val="00926535"/>
    <w:rsid w:val="00926FCA"/>
    <w:rsid w:val="00927160"/>
    <w:rsid w:val="00927A54"/>
    <w:rsid w:val="00930568"/>
    <w:rsid w:val="0093094E"/>
    <w:rsid w:val="00931142"/>
    <w:rsid w:val="00931BB4"/>
    <w:rsid w:val="00932284"/>
    <w:rsid w:val="00933AF5"/>
    <w:rsid w:val="009340F4"/>
    <w:rsid w:val="00934291"/>
    <w:rsid w:val="00935AF5"/>
    <w:rsid w:val="00935B3A"/>
    <w:rsid w:val="00935EDE"/>
    <w:rsid w:val="00940C05"/>
    <w:rsid w:val="00943792"/>
    <w:rsid w:val="00943C7C"/>
    <w:rsid w:val="00944CB1"/>
    <w:rsid w:val="00944D93"/>
    <w:rsid w:val="009459E7"/>
    <w:rsid w:val="00945B2A"/>
    <w:rsid w:val="00945B4F"/>
    <w:rsid w:val="00945CD7"/>
    <w:rsid w:val="00947CCD"/>
    <w:rsid w:val="00951737"/>
    <w:rsid w:val="009518B9"/>
    <w:rsid w:val="00952047"/>
    <w:rsid w:val="0095238C"/>
    <w:rsid w:val="009528C4"/>
    <w:rsid w:val="00953021"/>
    <w:rsid w:val="009539D5"/>
    <w:rsid w:val="00954566"/>
    <w:rsid w:val="00954802"/>
    <w:rsid w:val="00954D23"/>
    <w:rsid w:val="00954E10"/>
    <w:rsid w:val="00955131"/>
    <w:rsid w:val="0095513A"/>
    <w:rsid w:val="00955DC9"/>
    <w:rsid w:val="00956987"/>
    <w:rsid w:val="00956C0F"/>
    <w:rsid w:val="00957979"/>
    <w:rsid w:val="00957CE3"/>
    <w:rsid w:val="009602A1"/>
    <w:rsid w:val="00961170"/>
    <w:rsid w:val="009615C0"/>
    <w:rsid w:val="009619FB"/>
    <w:rsid w:val="00961F6F"/>
    <w:rsid w:val="00963200"/>
    <w:rsid w:val="009634A8"/>
    <w:rsid w:val="00963865"/>
    <w:rsid w:val="009640FD"/>
    <w:rsid w:val="009647DE"/>
    <w:rsid w:val="009654EE"/>
    <w:rsid w:val="00965BE5"/>
    <w:rsid w:val="00965D6D"/>
    <w:rsid w:val="0096638C"/>
    <w:rsid w:val="0096721E"/>
    <w:rsid w:val="00967499"/>
    <w:rsid w:val="00967588"/>
    <w:rsid w:val="009678C6"/>
    <w:rsid w:val="009678CB"/>
    <w:rsid w:val="00967A83"/>
    <w:rsid w:val="009700F7"/>
    <w:rsid w:val="00970D15"/>
    <w:rsid w:val="00970DF9"/>
    <w:rsid w:val="009717E4"/>
    <w:rsid w:val="00971861"/>
    <w:rsid w:val="00972C4F"/>
    <w:rsid w:val="00972F1D"/>
    <w:rsid w:val="00972FF8"/>
    <w:rsid w:val="00973933"/>
    <w:rsid w:val="00973B22"/>
    <w:rsid w:val="00974B5C"/>
    <w:rsid w:val="009763A2"/>
    <w:rsid w:val="00976704"/>
    <w:rsid w:val="009768B0"/>
    <w:rsid w:val="00980C1A"/>
    <w:rsid w:val="009810AB"/>
    <w:rsid w:val="0098119B"/>
    <w:rsid w:val="00981F3D"/>
    <w:rsid w:val="009830F4"/>
    <w:rsid w:val="0098352A"/>
    <w:rsid w:val="00983D97"/>
    <w:rsid w:val="009846FF"/>
    <w:rsid w:val="0098535F"/>
    <w:rsid w:val="00985785"/>
    <w:rsid w:val="0098653C"/>
    <w:rsid w:val="009865D9"/>
    <w:rsid w:val="00986D20"/>
    <w:rsid w:val="00986D76"/>
    <w:rsid w:val="00987FCC"/>
    <w:rsid w:val="0099002E"/>
    <w:rsid w:val="00990FCB"/>
    <w:rsid w:val="00991EE1"/>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678"/>
    <w:rsid w:val="009A5830"/>
    <w:rsid w:val="009A58D9"/>
    <w:rsid w:val="009A5FBC"/>
    <w:rsid w:val="009A66B4"/>
    <w:rsid w:val="009A6F18"/>
    <w:rsid w:val="009B0182"/>
    <w:rsid w:val="009B0B11"/>
    <w:rsid w:val="009B0EBD"/>
    <w:rsid w:val="009B16EE"/>
    <w:rsid w:val="009B1893"/>
    <w:rsid w:val="009B24A4"/>
    <w:rsid w:val="009B2621"/>
    <w:rsid w:val="009B34E3"/>
    <w:rsid w:val="009B38A3"/>
    <w:rsid w:val="009B44FE"/>
    <w:rsid w:val="009B50F1"/>
    <w:rsid w:val="009B5107"/>
    <w:rsid w:val="009B5BD5"/>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2D"/>
    <w:rsid w:val="009C7D4B"/>
    <w:rsid w:val="009D037F"/>
    <w:rsid w:val="009D076A"/>
    <w:rsid w:val="009D0A13"/>
    <w:rsid w:val="009D108B"/>
    <w:rsid w:val="009D194F"/>
    <w:rsid w:val="009D1F58"/>
    <w:rsid w:val="009D24BE"/>
    <w:rsid w:val="009D2930"/>
    <w:rsid w:val="009D2AE5"/>
    <w:rsid w:val="009D2CF3"/>
    <w:rsid w:val="009D3289"/>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238"/>
    <w:rsid w:val="009E230A"/>
    <w:rsid w:val="009E2AB2"/>
    <w:rsid w:val="009E30CC"/>
    <w:rsid w:val="009E3C16"/>
    <w:rsid w:val="009E4D7C"/>
    <w:rsid w:val="009E4DD0"/>
    <w:rsid w:val="009E5F04"/>
    <w:rsid w:val="009E65E2"/>
    <w:rsid w:val="009E7B97"/>
    <w:rsid w:val="009F00F6"/>
    <w:rsid w:val="009F09F3"/>
    <w:rsid w:val="009F0E84"/>
    <w:rsid w:val="009F130C"/>
    <w:rsid w:val="009F2D54"/>
    <w:rsid w:val="009F2D9D"/>
    <w:rsid w:val="009F2F92"/>
    <w:rsid w:val="009F3395"/>
    <w:rsid w:val="009F4163"/>
    <w:rsid w:val="009F4D12"/>
    <w:rsid w:val="009F50DD"/>
    <w:rsid w:val="009F6C3E"/>
    <w:rsid w:val="009F6DDF"/>
    <w:rsid w:val="009F70B8"/>
    <w:rsid w:val="00A009B3"/>
    <w:rsid w:val="00A00C92"/>
    <w:rsid w:val="00A02691"/>
    <w:rsid w:val="00A03272"/>
    <w:rsid w:val="00A046AC"/>
    <w:rsid w:val="00A05DD4"/>
    <w:rsid w:val="00A06AAB"/>
    <w:rsid w:val="00A0758E"/>
    <w:rsid w:val="00A0783C"/>
    <w:rsid w:val="00A078F5"/>
    <w:rsid w:val="00A07E1C"/>
    <w:rsid w:val="00A11238"/>
    <w:rsid w:val="00A11838"/>
    <w:rsid w:val="00A11F67"/>
    <w:rsid w:val="00A11FCC"/>
    <w:rsid w:val="00A12825"/>
    <w:rsid w:val="00A12B21"/>
    <w:rsid w:val="00A12E36"/>
    <w:rsid w:val="00A13146"/>
    <w:rsid w:val="00A132BF"/>
    <w:rsid w:val="00A1481C"/>
    <w:rsid w:val="00A14FA1"/>
    <w:rsid w:val="00A15128"/>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09"/>
    <w:rsid w:val="00A2227D"/>
    <w:rsid w:val="00A22426"/>
    <w:rsid w:val="00A2279E"/>
    <w:rsid w:val="00A23769"/>
    <w:rsid w:val="00A243A3"/>
    <w:rsid w:val="00A24EAE"/>
    <w:rsid w:val="00A25699"/>
    <w:rsid w:val="00A25723"/>
    <w:rsid w:val="00A25A39"/>
    <w:rsid w:val="00A25A8C"/>
    <w:rsid w:val="00A261EB"/>
    <w:rsid w:val="00A26405"/>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4EB"/>
    <w:rsid w:val="00A43902"/>
    <w:rsid w:val="00A4422F"/>
    <w:rsid w:val="00A4426D"/>
    <w:rsid w:val="00A44B7E"/>
    <w:rsid w:val="00A44FDF"/>
    <w:rsid w:val="00A450A8"/>
    <w:rsid w:val="00A479D5"/>
    <w:rsid w:val="00A51227"/>
    <w:rsid w:val="00A517BD"/>
    <w:rsid w:val="00A52410"/>
    <w:rsid w:val="00A5330A"/>
    <w:rsid w:val="00A533C0"/>
    <w:rsid w:val="00A53BE0"/>
    <w:rsid w:val="00A54EA6"/>
    <w:rsid w:val="00A55075"/>
    <w:rsid w:val="00A55120"/>
    <w:rsid w:val="00A55398"/>
    <w:rsid w:val="00A553A4"/>
    <w:rsid w:val="00A55D9C"/>
    <w:rsid w:val="00A56520"/>
    <w:rsid w:val="00A567CB"/>
    <w:rsid w:val="00A56D3E"/>
    <w:rsid w:val="00A6117A"/>
    <w:rsid w:val="00A6177D"/>
    <w:rsid w:val="00A61C04"/>
    <w:rsid w:val="00A6310C"/>
    <w:rsid w:val="00A63A13"/>
    <w:rsid w:val="00A643F8"/>
    <w:rsid w:val="00A65DD1"/>
    <w:rsid w:val="00A663EC"/>
    <w:rsid w:val="00A66E0B"/>
    <w:rsid w:val="00A6760C"/>
    <w:rsid w:val="00A70557"/>
    <w:rsid w:val="00A707F1"/>
    <w:rsid w:val="00A70C31"/>
    <w:rsid w:val="00A7104B"/>
    <w:rsid w:val="00A712CE"/>
    <w:rsid w:val="00A71C7C"/>
    <w:rsid w:val="00A71DB5"/>
    <w:rsid w:val="00A72358"/>
    <w:rsid w:val="00A729A6"/>
    <w:rsid w:val="00A7346F"/>
    <w:rsid w:val="00A74A86"/>
    <w:rsid w:val="00A74C39"/>
    <w:rsid w:val="00A74DD9"/>
    <w:rsid w:val="00A75C0F"/>
    <w:rsid w:val="00A75E13"/>
    <w:rsid w:val="00A760F3"/>
    <w:rsid w:val="00A7624A"/>
    <w:rsid w:val="00A776C2"/>
    <w:rsid w:val="00A776D1"/>
    <w:rsid w:val="00A77E09"/>
    <w:rsid w:val="00A816AF"/>
    <w:rsid w:val="00A81720"/>
    <w:rsid w:val="00A81753"/>
    <w:rsid w:val="00A818E4"/>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48A1"/>
    <w:rsid w:val="00A94E60"/>
    <w:rsid w:val="00A95A20"/>
    <w:rsid w:val="00A96F32"/>
    <w:rsid w:val="00A9721B"/>
    <w:rsid w:val="00AA0635"/>
    <w:rsid w:val="00AA068C"/>
    <w:rsid w:val="00AA1412"/>
    <w:rsid w:val="00AA162D"/>
    <w:rsid w:val="00AA1EA1"/>
    <w:rsid w:val="00AA21C4"/>
    <w:rsid w:val="00AA2A40"/>
    <w:rsid w:val="00AA30B2"/>
    <w:rsid w:val="00AA36ED"/>
    <w:rsid w:val="00AA37B5"/>
    <w:rsid w:val="00AA3F36"/>
    <w:rsid w:val="00AA4737"/>
    <w:rsid w:val="00AA4899"/>
    <w:rsid w:val="00AA48B5"/>
    <w:rsid w:val="00AA5262"/>
    <w:rsid w:val="00AA5AB7"/>
    <w:rsid w:val="00AA5BE3"/>
    <w:rsid w:val="00AA77EF"/>
    <w:rsid w:val="00AB019A"/>
    <w:rsid w:val="00AB22B2"/>
    <w:rsid w:val="00AB2877"/>
    <w:rsid w:val="00AB2F06"/>
    <w:rsid w:val="00AB315D"/>
    <w:rsid w:val="00AB3E95"/>
    <w:rsid w:val="00AB5149"/>
    <w:rsid w:val="00AB54CB"/>
    <w:rsid w:val="00AB5F46"/>
    <w:rsid w:val="00AB661C"/>
    <w:rsid w:val="00AB67CC"/>
    <w:rsid w:val="00AB689D"/>
    <w:rsid w:val="00AB7491"/>
    <w:rsid w:val="00AB7519"/>
    <w:rsid w:val="00AB766F"/>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13EE"/>
    <w:rsid w:val="00AD26BD"/>
    <w:rsid w:val="00AD3833"/>
    <w:rsid w:val="00AD3A05"/>
    <w:rsid w:val="00AD3AEF"/>
    <w:rsid w:val="00AD3E0E"/>
    <w:rsid w:val="00AD50F5"/>
    <w:rsid w:val="00AD554D"/>
    <w:rsid w:val="00AD59DD"/>
    <w:rsid w:val="00AD6676"/>
    <w:rsid w:val="00AD67B3"/>
    <w:rsid w:val="00AD68C8"/>
    <w:rsid w:val="00AD6C4D"/>
    <w:rsid w:val="00AE0021"/>
    <w:rsid w:val="00AE05E3"/>
    <w:rsid w:val="00AE0E2E"/>
    <w:rsid w:val="00AE1841"/>
    <w:rsid w:val="00AE2231"/>
    <w:rsid w:val="00AE2348"/>
    <w:rsid w:val="00AE24DA"/>
    <w:rsid w:val="00AE25A2"/>
    <w:rsid w:val="00AE283B"/>
    <w:rsid w:val="00AE314A"/>
    <w:rsid w:val="00AE3E0B"/>
    <w:rsid w:val="00AE4BE9"/>
    <w:rsid w:val="00AE4C8C"/>
    <w:rsid w:val="00AE5231"/>
    <w:rsid w:val="00AE588D"/>
    <w:rsid w:val="00AE5D50"/>
    <w:rsid w:val="00AE624F"/>
    <w:rsid w:val="00AE63E4"/>
    <w:rsid w:val="00AE7A44"/>
    <w:rsid w:val="00AE7B48"/>
    <w:rsid w:val="00AF007F"/>
    <w:rsid w:val="00AF05E2"/>
    <w:rsid w:val="00AF1536"/>
    <w:rsid w:val="00AF1A4C"/>
    <w:rsid w:val="00AF2B90"/>
    <w:rsid w:val="00AF4A9F"/>
    <w:rsid w:val="00AF4BC0"/>
    <w:rsid w:val="00AF4CF2"/>
    <w:rsid w:val="00AF4F99"/>
    <w:rsid w:val="00AF501B"/>
    <w:rsid w:val="00AF56ED"/>
    <w:rsid w:val="00AF62F4"/>
    <w:rsid w:val="00AF6473"/>
    <w:rsid w:val="00AF6D7D"/>
    <w:rsid w:val="00AF7CBB"/>
    <w:rsid w:val="00AF7F4D"/>
    <w:rsid w:val="00B00065"/>
    <w:rsid w:val="00B01DF9"/>
    <w:rsid w:val="00B01EDB"/>
    <w:rsid w:val="00B023EA"/>
    <w:rsid w:val="00B028FA"/>
    <w:rsid w:val="00B03C25"/>
    <w:rsid w:val="00B04490"/>
    <w:rsid w:val="00B0491A"/>
    <w:rsid w:val="00B057FC"/>
    <w:rsid w:val="00B05ECB"/>
    <w:rsid w:val="00B067AF"/>
    <w:rsid w:val="00B06BA2"/>
    <w:rsid w:val="00B10129"/>
    <w:rsid w:val="00B1026B"/>
    <w:rsid w:val="00B10F2A"/>
    <w:rsid w:val="00B11B90"/>
    <w:rsid w:val="00B11D89"/>
    <w:rsid w:val="00B121C0"/>
    <w:rsid w:val="00B1252E"/>
    <w:rsid w:val="00B12DEE"/>
    <w:rsid w:val="00B12FBB"/>
    <w:rsid w:val="00B13044"/>
    <w:rsid w:val="00B14455"/>
    <w:rsid w:val="00B1454B"/>
    <w:rsid w:val="00B14699"/>
    <w:rsid w:val="00B14D9F"/>
    <w:rsid w:val="00B14DB1"/>
    <w:rsid w:val="00B156B7"/>
    <w:rsid w:val="00B1582F"/>
    <w:rsid w:val="00B1585A"/>
    <w:rsid w:val="00B15F1B"/>
    <w:rsid w:val="00B16181"/>
    <w:rsid w:val="00B16D73"/>
    <w:rsid w:val="00B173F8"/>
    <w:rsid w:val="00B17BE7"/>
    <w:rsid w:val="00B204F6"/>
    <w:rsid w:val="00B21A74"/>
    <w:rsid w:val="00B21F71"/>
    <w:rsid w:val="00B22797"/>
    <w:rsid w:val="00B22D45"/>
    <w:rsid w:val="00B232E1"/>
    <w:rsid w:val="00B238C9"/>
    <w:rsid w:val="00B2397F"/>
    <w:rsid w:val="00B248C2"/>
    <w:rsid w:val="00B27178"/>
    <w:rsid w:val="00B2717C"/>
    <w:rsid w:val="00B27414"/>
    <w:rsid w:val="00B2791D"/>
    <w:rsid w:val="00B3092D"/>
    <w:rsid w:val="00B30A4B"/>
    <w:rsid w:val="00B30B15"/>
    <w:rsid w:val="00B30D2E"/>
    <w:rsid w:val="00B31853"/>
    <w:rsid w:val="00B3191E"/>
    <w:rsid w:val="00B31E1E"/>
    <w:rsid w:val="00B31ECE"/>
    <w:rsid w:val="00B32204"/>
    <w:rsid w:val="00B32CCF"/>
    <w:rsid w:val="00B330B8"/>
    <w:rsid w:val="00B333E1"/>
    <w:rsid w:val="00B33DB2"/>
    <w:rsid w:val="00B33F8E"/>
    <w:rsid w:val="00B3407F"/>
    <w:rsid w:val="00B345D2"/>
    <w:rsid w:val="00B35148"/>
    <w:rsid w:val="00B3569F"/>
    <w:rsid w:val="00B364AD"/>
    <w:rsid w:val="00B36740"/>
    <w:rsid w:val="00B3716B"/>
    <w:rsid w:val="00B37DE4"/>
    <w:rsid w:val="00B400D2"/>
    <w:rsid w:val="00B40765"/>
    <w:rsid w:val="00B40FE7"/>
    <w:rsid w:val="00B41E4B"/>
    <w:rsid w:val="00B4365F"/>
    <w:rsid w:val="00B43BE8"/>
    <w:rsid w:val="00B446C6"/>
    <w:rsid w:val="00B44A73"/>
    <w:rsid w:val="00B4552F"/>
    <w:rsid w:val="00B45911"/>
    <w:rsid w:val="00B45C60"/>
    <w:rsid w:val="00B46EFE"/>
    <w:rsid w:val="00B473B8"/>
    <w:rsid w:val="00B5187F"/>
    <w:rsid w:val="00B5219C"/>
    <w:rsid w:val="00B52206"/>
    <w:rsid w:val="00B52919"/>
    <w:rsid w:val="00B53D03"/>
    <w:rsid w:val="00B55359"/>
    <w:rsid w:val="00B557E1"/>
    <w:rsid w:val="00B558D1"/>
    <w:rsid w:val="00B56207"/>
    <w:rsid w:val="00B56D7A"/>
    <w:rsid w:val="00B61369"/>
    <w:rsid w:val="00B643E2"/>
    <w:rsid w:val="00B64716"/>
    <w:rsid w:val="00B649ED"/>
    <w:rsid w:val="00B64E56"/>
    <w:rsid w:val="00B64FA6"/>
    <w:rsid w:val="00B66923"/>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4DA"/>
    <w:rsid w:val="00B845A2"/>
    <w:rsid w:val="00B84611"/>
    <w:rsid w:val="00B84E0E"/>
    <w:rsid w:val="00B84FB9"/>
    <w:rsid w:val="00B85493"/>
    <w:rsid w:val="00B85D6B"/>
    <w:rsid w:val="00B8726C"/>
    <w:rsid w:val="00B87793"/>
    <w:rsid w:val="00B879AD"/>
    <w:rsid w:val="00B908D9"/>
    <w:rsid w:val="00B91324"/>
    <w:rsid w:val="00B915B7"/>
    <w:rsid w:val="00B91C34"/>
    <w:rsid w:val="00B91F86"/>
    <w:rsid w:val="00B9224A"/>
    <w:rsid w:val="00B9228D"/>
    <w:rsid w:val="00B9249D"/>
    <w:rsid w:val="00B928A6"/>
    <w:rsid w:val="00B92B28"/>
    <w:rsid w:val="00B9378D"/>
    <w:rsid w:val="00B937CE"/>
    <w:rsid w:val="00B94C5B"/>
    <w:rsid w:val="00B94C69"/>
    <w:rsid w:val="00B961D3"/>
    <w:rsid w:val="00B966D0"/>
    <w:rsid w:val="00B96FBE"/>
    <w:rsid w:val="00B97565"/>
    <w:rsid w:val="00B97B6B"/>
    <w:rsid w:val="00B97E0C"/>
    <w:rsid w:val="00BA03D4"/>
    <w:rsid w:val="00BA0EF1"/>
    <w:rsid w:val="00BA207D"/>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2566"/>
    <w:rsid w:val="00BB3443"/>
    <w:rsid w:val="00BB3CC9"/>
    <w:rsid w:val="00BB43C3"/>
    <w:rsid w:val="00BB45B4"/>
    <w:rsid w:val="00BB53C1"/>
    <w:rsid w:val="00BB5A01"/>
    <w:rsid w:val="00BB639A"/>
    <w:rsid w:val="00BB6CDC"/>
    <w:rsid w:val="00BB713F"/>
    <w:rsid w:val="00BB764E"/>
    <w:rsid w:val="00BB7F71"/>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5"/>
    <w:rsid w:val="00BD538C"/>
    <w:rsid w:val="00BD59D4"/>
    <w:rsid w:val="00BD6083"/>
    <w:rsid w:val="00BD608A"/>
    <w:rsid w:val="00BD60D9"/>
    <w:rsid w:val="00BD65E8"/>
    <w:rsid w:val="00BD68E0"/>
    <w:rsid w:val="00BD79ED"/>
    <w:rsid w:val="00BE04D0"/>
    <w:rsid w:val="00BE073E"/>
    <w:rsid w:val="00BE0DDE"/>
    <w:rsid w:val="00BE0DE5"/>
    <w:rsid w:val="00BE0F85"/>
    <w:rsid w:val="00BE16CE"/>
    <w:rsid w:val="00BE1D2C"/>
    <w:rsid w:val="00BE1D3D"/>
    <w:rsid w:val="00BE1F84"/>
    <w:rsid w:val="00BE270B"/>
    <w:rsid w:val="00BE38EA"/>
    <w:rsid w:val="00BE4A5B"/>
    <w:rsid w:val="00BE5A8A"/>
    <w:rsid w:val="00BE5B39"/>
    <w:rsid w:val="00BE6456"/>
    <w:rsid w:val="00BE6784"/>
    <w:rsid w:val="00BE7CF6"/>
    <w:rsid w:val="00BF26D7"/>
    <w:rsid w:val="00BF3228"/>
    <w:rsid w:val="00BF3260"/>
    <w:rsid w:val="00BF3B1C"/>
    <w:rsid w:val="00BF4BDF"/>
    <w:rsid w:val="00BF667F"/>
    <w:rsid w:val="00BF7B0F"/>
    <w:rsid w:val="00C00048"/>
    <w:rsid w:val="00C00816"/>
    <w:rsid w:val="00C014BE"/>
    <w:rsid w:val="00C014D1"/>
    <w:rsid w:val="00C01702"/>
    <w:rsid w:val="00C0174D"/>
    <w:rsid w:val="00C0190A"/>
    <w:rsid w:val="00C01ABD"/>
    <w:rsid w:val="00C021A4"/>
    <w:rsid w:val="00C0335F"/>
    <w:rsid w:val="00C03894"/>
    <w:rsid w:val="00C03999"/>
    <w:rsid w:val="00C04E1F"/>
    <w:rsid w:val="00C05505"/>
    <w:rsid w:val="00C05E35"/>
    <w:rsid w:val="00C06A89"/>
    <w:rsid w:val="00C06CFB"/>
    <w:rsid w:val="00C07044"/>
    <w:rsid w:val="00C10853"/>
    <w:rsid w:val="00C112EE"/>
    <w:rsid w:val="00C11313"/>
    <w:rsid w:val="00C11FA6"/>
    <w:rsid w:val="00C121EC"/>
    <w:rsid w:val="00C126AC"/>
    <w:rsid w:val="00C129A2"/>
    <w:rsid w:val="00C12D8D"/>
    <w:rsid w:val="00C14070"/>
    <w:rsid w:val="00C1468E"/>
    <w:rsid w:val="00C147DD"/>
    <w:rsid w:val="00C149B9"/>
    <w:rsid w:val="00C1548D"/>
    <w:rsid w:val="00C1578D"/>
    <w:rsid w:val="00C16153"/>
    <w:rsid w:val="00C166FB"/>
    <w:rsid w:val="00C167EF"/>
    <w:rsid w:val="00C16869"/>
    <w:rsid w:val="00C16F23"/>
    <w:rsid w:val="00C17337"/>
    <w:rsid w:val="00C20444"/>
    <w:rsid w:val="00C20818"/>
    <w:rsid w:val="00C20EBB"/>
    <w:rsid w:val="00C21065"/>
    <w:rsid w:val="00C21185"/>
    <w:rsid w:val="00C21993"/>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1E48"/>
    <w:rsid w:val="00C325F1"/>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057"/>
    <w:rsid w:val="00C536ED"/>
    <w:rsid w:val="00C539DD"/>
    <w:rsid w:val="00C541F9"/>
    <w:rsid w:val="00C543EE"/>
    <w:rsid w:val="00C543F3"/>
    <w:rsid w:val="00C54876"/>
    <w:rsid w:val="00C55D19"/>
    <w:rsid w:val="00C56429"/>
    <w:rsid w:val="00C5693C"/>
    <w:rsid w:val="00C56F8E"/>
    <w:rsid w:val="00C5783C"/>
    <w:rsid w:val="00C602AF"/>
    <w:rsid w:val="00C61D22"/>
    <w:rsid w:val="00C63703"/>
    <w:rsid w:val="00C63DD2"/>
    <w:rsid w:val="00C647A6"/>
    <w:rsid w:val="00C64C37"/>
    <w:rsid w:val="00C6520F"/>
    <w:rsid w:val="00C655BE"/>
    <w:rsid w:val="00C65D0E"/>
    <w:rsid w:val="00C65F37"/>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4F8"/>
    <w:rsid w:val="00C76834"/>
    <w:rsid w:val="00C76FEB"/>
    <w:rsid w:val="00C8000E"/>
    <w:rsid w:val="00C8093C"/>
    <w:rsid w:val="00C80A8B"/>
    <w:rsid w:val="00C8118D"/>
    <w:rsid w:val="00C82108"/>
    <w:rsid w:val="00C82B7A"/>
    <w:rsid w:val="00C8314F"/>
    <w:rsid w:val="00C8376F"/>
    <w:rsid w:val="00C83B73"/>
    <w:rsid w:val="00C83C87"/>
    <w:rsid w:val="00C8449B"/>
    <w:rsid w:val="00C85B96"/>
    <w:rsid w:val="00C8642F"/>
    <w:rsid w:val="00C86596"/>
    <w:rsid w:val="00C876E4"/>
    <w:rsid w:val="00C87CDF"/>
    <w:rsid w:val="00C90B07"/>
    <w:rsid w:val="00C9124D"/>
    <w:rsid w:val="00C91C31"/>
    <w:rsid w:val="00C9228D"/>
    <w:rsid w:val="00C92A40"/>
    <w:rsid w:val="00C92A53"/>
    <w:rsid w:val="00C92B48"/>
    <w:rsid w:val="00C931F1"/>
    <w:rsid w:val="00C947B2"/>
    <w:rsid w:val="00C960EB"/>
    <w:rsid w:val="00C964D5"/>
    <w:rsid w:val="00C970BA"/>
    <w:rsid w:val="00C976F9"/>
    <w:rsid w:val="00CA213B"/>
    <w:rsid w:val="00CA2D27"/>
    <w:rsid w:val="00CA42C9"/>
    <w:rsid w:val="00CA4458"/>
    <w:rsid w:val="00CA4800"/>
    <w:rsid w:val="00CA48E7"/>
    <w:rsid w:val="00CA4DB0"/>
    <w:rsid w:val="00CA4EF5"/>
    <w:rsid w:val="00CA51B9"/>
    <w:rsid w:val="00CA5B37"/>
    <w:rsid w:val="00CA5B85"/>
    <w:rsid w:val="00CA7221"/>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B7ED9"/>
    <w:rsid w:val="00CC0967"/>
    <w:rsid w:val="00CC0A90"/>
    <w:rsid w:val="00CC0ACB"/>
    <w:rsid w:val="00CC0CDD"/>
    <w:rsid w:val="00CC1FF4"/>
    <w:rsid w:val="00CC2777"/>
    <w:rsid w:val="00CC30B6"/>
    <w:rsid w:val="00CC4280"/>
    <w:rsid w:val="00CC552B"/>
    <w:rsid w:val="00CC642C"/>
    <w:rsid w:val="00CC65DB"/>
    <w:rsid w:val="00CC6931"/>
    <w:rsid w:val="00CC6AD5"/>
    <w:rsid w:val="00CC6DB9"/>
    <w:rsid w:val="00CC6EED"/>
    <w:rsid w:val="00CC712E"/>
    <w:rsid w:val="00CC71B4"/>
    <w:rsid w:val="00CD00A5"/>
    <w:rsid w:val="00CD00EF"/>
    <w:rsid w:val="00CD1331"/>
    <w:rsid w:val="00CD16A3"/>
    <w:rsid w:val="00CD2D67"/>
    <w:rsid w:val="00CD31D8"/>
    <w:rsid w:val="00CD3B50"/>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3DCE"/>
    <w:rsid w:val="00CE40F6"/>
    <w:rsid w:val="00CE41E1"/>
    <w:rsid w:val="00CE47CA"/>
    <w:rsid w:val="00CE5294"/>
    <w:rsid w:val="00CE5E7A"/>
    <w:rsid w:val="00CE6071"/>
    <w:rsid w:val="00CE7253"/>
    <w:rsid w:val="00CE7D13"/>
    <w:rsid w:val="00CF0B5D"/>
    <w:rsid w:val="00CF14FD"/>
    <w:rsid w:val="00CF2069"/>
    <w:rsid w:val="00CF2621"/>
    <w:rsid w:val="00CF2EA3"/>
    <w:rsid w:val="00CF2ED6"/>
    <w:rsid w:val="00CF3926"/>
    <w:rsid w:val="00CF3939"/>
    <w:rsid w:val="00CF3DF7"/>
    <w:rsid w:val="00CF5476"/>
    <w:rsid w:val="00CF5A08"/>
    <w:rsid w:val="00CF5FCD"/>
    <w:rsid w:val="00CF6C04"/>
    <w:rsid w:val="00CF7883"/>
    <w:rsid w:val="00CF7A14"/>
    <w:rsid w:val="00CF7F9F"/>
    <w:rsid w:val="00D0085C"/>
    <w:rsid w:val="00D00DCF"/>
    <w:rsid w:val="00D0139A"/>
    <w:rsid w:val="00D01AB1"/>
    <w:rsid w:val="00D02201"/>
    <w:rsid w:val="00D023C7"/>
    <w:rsid w:val="00D02643"/>
    <w:rsid w:val="00D03D3B"/>
    <w:rsid w:val="00D03E5E"/>
    <w:rsid w:val="00D04DA6"/>
    <w:rsid w:val="00D05A4D"/>
    <w:rsid w:val="00D05B8C"/>
    <w:rsid w:val="00D06397"/>
    <w:rsid w:val="00D06725"/>
    <w:rsid w:val="00D06B3A"/>
    <w:rsid w:val="00D070EC"/>
    <w:rsid w:val="00D071F2"/>
    <w:rsid w:val="00D073F9"/>
    <w:rsid w:val="00D10337"/>
    <w:rsid w:val="00D10859"/>
    <w:rsid w:val="00D10EC5"/>
    <w:rsid w:val="00D11784"/>
    <w:rsid w:val="00D1221F"/>
    <w:rsid w:val="00D126B1"/>
    <w:rsid w:val="00D13B4B"/>
    <w:rsid w:val="00D13E1C"/>
    <w:rsid w:val="00D160D4"/>
    <w:rsid w:val="00D161D3"/>
    <w:rsid w:val="00D1654C"/>
    <w:rsid w:val="00D1657E"/>
    <w:rsid w:val="00D16E24"/>
    <w:rsid w:val="00D2013B"/>
    <w:rsid w:val="00D203C8"/>
    <w:rsid w:val="00D207F5"/>
    <w:rsid w:val="00D207F8"/>
    <w:rsid w:val="00D20DE3"/>
    <w:rsid w:val="00D21072"/>
    <w:rsid w:val="00D21526"/>
    <w:rsid w:val="00D2153B"/>
    <w:rsid w:val="00D21691"/>
    <w:rsid w:val="00D2187E"/>
    <w:rsid w:val="00D21F51"/>
    <w:rsid w:val="00D2267E"/>
    <w:rsid w:val="00D226A5"/>
    <w:rsid w:val="00D22BCC"/>
    <w:rsid w:val="00D22E1D"/>
    <w:rsid w:val="00D25868"/>
    <w:rsid w:val="00D25AD0"/>
    <w:rsid w:val="00D25B75"/>
    <w:rsid w:val="00D25EBB"/>
    <w:rsid w:val="00D26AED"/>
    <w:rsid w:val="00D26B05"/>
    <w:rsid w:val="00D26BE3"/>
    <w:rsid w:val="00D26FC1"/>
    <w:rsid w:val="00D27A2D"/>
    <w:rsid w:val="00D30E45"/>
    <w:rsid w:val="00D31956"/>
    <w:rsid w:val="00D31B91"/>
    <w:rsid w:val="00D32B06"/>
    <w:rsid w:val="00D32D41"/>
    <w:rsid w:val="00D335DA"/>
    <w:rsid w:val="00D33766"/>
    <w:rsid w:val="00D33996"/>
    <w:rsid w:val="00D34711"/>
    <w:rsid w:val="00D34727"/>
    <w:rsid w:val="00D34779"/>
    <w:rsid w:val="00D35050"/>
    <w:rsid w:val="00D352DB"/>
    <w:rsid w:val="00D3534A"/>
    <w:rsid w:val="00D35B32"/>
    <w:rsid w:val="00D36556"/>
    <w:rsid w:val="00D36B7F"/>
    <w:rsid w:val="00D36C82"/>
    <w:rsid w:val="00D36CB4"/>
    <w:rsid w:val="00D372E1"/>
    <w:rsid w:val="00D40100"/>
    <w:rsid w:val="00D40C39"/>
    <w:rsid w:val="00D41F92"/>
    <w:rsid w:val="00D429F0"/>
    <w:rsid w:val="00D42C8C"/>
    <w:rsid w:val="00D45057"/>
    <w:rsid w:val="00D45819"/>
    <w:rsid w:val="00D45EFC"/>
    <w:rsid w:val="00D4654F"/>
    <w:rsid w:val="00D467EF"/>
    <w:rsid w:val="00D46B74"/>
    <w:rsid w:val="00D47EE0"/>
    <w:rsid w:val="00D51B97"/>
    <w:rsid w:val="00D51D10"/>
    <w:rsid w:val="00D523B3"/>
    <w:rsid w:val="00D52DA8"/>
    <w:rsid w:val="00D5334F"/>
    <w:rsid w:val="00D54942"/>
    <w:rsid w:val="00D54F7E"/>
    <w:rsid w:val="00D56336"/>
    <w:rsid w:val="00D56FAE"/>
    <w:rsid w:val="00D5718E"/>
    <w:rsid w:val="00D57222"/>
    <w:rsid w:val="00D5771F"/>
    <w:rsid w:val="00D577B2"/>
    <w:rsid w:val="00D604ED"/>
    <w:rsid w:val="00D604F3"/>
    <w:rsid w:val="00D60F10"/>
    <w:rsid w:val="00D62BF4"/>
    <w:rsid w:val="00D62E84"/>
    <w:rsid w:val="00D634FD"/>
    <w:rsid w:val="00D64314"/>
    <w:rsid w:val="00D64567"/>
    <w:rsid w:val="00D646D8"/>
    <w:rsid w:val="00D659FA"/>
    <w:rsid w:val="00D65D3B"/>
    <w:rsid w:val="00D665F6"/>
    <w:rsid w:val="00D67593"/>
    <w:rsid w:val="00D67EBE"/>
    <w:rsid w:val="00D67ECD"/>
    <w:rsid w:val="00D7039D"/>
    <w:rsid w:val="00D704B0"/>
    <w:rsid w:val="00D7100F"/>
    <w:rsid w:val="00D7161A"/>
    <w:rsid w:val="00D71AA2"/>
    <w:rsid w:val="00D72EF0"/>
    <w:rsid w:val="00D73215"/>
    <w:rsid w:val="00D73D09"/>
    <w:rsid w:val="00D744BC"/>
    <w:rsid w:val="00D74D73"/>
    <w:rsid w:val="00D75C55"/>
    <w:rsid w:val="00D76B29"/>
    <w:rsid w:val="00D76D98"/>
    <w:rsid w:val="00D77AFA"/>
    <w:rsid w:val="00D77FB1"/>
    <w:rsid w:val="00D8046D"/>
    <w:rsid w:val="00D80A35"/>
    <w:rsid w:val="00D81ADE"/>
    <w:rsid w:val="00D81D7C"/>
    <w:rsid w:val="00D821D2"/>
    <w:rsid w:val="00D83923"/>
    <w:rsid w:val="00D83BDB"/>
    <w:rsid w:val="00D83CCD"/>
    <w:rsid w:val="00D83D28"/>
    <w:rsid w:val="00D83E8F"/>
    <w:rsid w:val="00D83FF1"/>
    <w:rsid w:val="00D84F9E"/>
    <w:rsid w:val="00D870A5"/>
    <w:rsid w:val="00D87136"/>
    <w:rsid w:val="00D907F5"/>
    <w:rsid w:val="00D917FD"/>
    <w:rsid w:val="00D918C7"/>
    <w:rsid w:val="00D9264F"/>
    <w:rsid w:val="00D92F8A"/>
    <w:rsid w:val="00D93379"/>
    <w:rsid w:val="00D93E8C"/>
    <w:rsid w:val="00D95B75"/>
    <w:rsid w:val="00D96218"/>
    <w:rsid w:val="00D969D1"/>
    <w:rsid w:val="00DA0302"/>
    <w:rsid w:val="00DA0369"/>
    <w:rsid w:val="00DA03AC"/>
    <w:rsid w:val="00DA0496"/>
    <w:rsid w:val="00DA07DE"/>
    <w:rsid w:val="00DA0912"/>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1F39"/>
    <w:rsid w:val="00DB1F91"/>
    <w:rsid w:val="00DB2DF4"/>
    <w:rsid w:val="00DB3523"/>
    <w:rsid w:val="00DB3A8D"/>
    <w:rsid w:val="00DB4D7C"/>
    <w:rsid w:val="00DB5213"/>
    <w:rsid w:val="00DB5749"/>
    <w:rsid w:val="00DB5BB9"/>
    <w:rsid w:val="00DB6038"/>
    <w:rsid w:val="00DB60AF"/>
    <w:rsid w:val="00DB64AD"/>
    <w:rsid w:val="00DB6AE6"/>
    <w:rsid w:val="00DB6BD9"/>
    <w:rsid w:val="00DB6C95"/>
    <w:rsid w:val="00DB6C9F"/>
    <w:rsid w:val="00DB7AD6"/>
    <w:rsid w:val="00DB7B80"/>
    <w:rsid w:val="00DB7B8B"/>
    <w:rsid w:val="00DC093B"/>
    <w:rsid w:val="00DC157B"/>
    <w:rsid w:val="00DC287C"/>
    <w:rsid w:val="00DC2B68"/>
    <w:rsid w:val="00DC34D4"/>
    <w:rsid w:val="00DC3674"/>
    <w:rsid w:val="00DC5581"/>
    <w:rsid w:val="00DC674C"/>
    <w:rsid w:val="00DC7452"/>
    <w:rsid w:val="00DD05FF"/>
    <w:rsid w:val="00DD06EF"/>
    <w:rsid w:val="00DD0B9D"/>
    <w:rsid w:val="00DD0D00"/>
    <w:rsid w:val="00DD0DCA"/>
    <w:rsid w:val="00DD28EC"/>
    <w:rsid w:val="00DD2CAD"/>
    <w:rsid w:val="00DD2CE7"/>
    <w:rsid w:val="00DD3370"/>
    <w:rsid w:val="00DD376D"/>
    <w:rsid w:val="00DD4286"/>
    <w:rsid w:val="00DD4383"/>
    <w:rsid w:val="00DD43B9"/>
    <w:rsid w:val="00DD4F6F"/>
    <w:rsid w:val="00DD513C"/>
    <w:rsid w:val="00DD7853"/>
    <w:rsid w:val="00DE1399"/>
    <w:rsid w:val="00DE1CDF"/>
    <w:rsid w:val="00DE1EBB"/>
    <w:rsid w:val="00DE2F78"/>
    <w:rsid w:val="00DE2FA9"/>
    <w:rsid w:val="00DE35EE"/>
    <w:rsid w:val="00DE39C4"/>
    <w:rsid w:val="00DE3C25"/>
    <w:rsid w:val="00DE3CF2"/>
    <w:rsid w:val="00DE419F"/>
    <w:rsid w:val="00DE44F7"/>
    <w:rsid w:val="00DE462E"/>
    <w:rsid w:val="00DE4EF7"/>
    <w:rsid w:val="00DE5652"/>
    <w:rsid w:val="00DE66F2"/>
    <w:rsid w:val="00DE7B59"/>
    <w:rsid w:val="00DF0CE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6F"/>
    <w:rsid w:val="00E05F28"/>
    <w:rsid w:val="00E06D35"/>
    <w:rsid w:val="00E07F5E"/>
    <w:rsid w:val="00E1018C"/>
    <w:rsid w:val="00E10655"/>
    <w:rsid w:val="00E118CC"/>
    <w:rsid w:val="00E12149"/>
    <w:rsid w:val="00E132AD"/>
    <w:rsid w:val="00E13809"/>
    <w:rsid w:val="00E1431C"/>
    <w:rsid w:val="00E14521"/>
    <w:rsid w:val="00E14850"/>
    <w:rsid w:val="00E148F6"/>
    <w:rsid w:val="00E171E9"/>
    <w:rsid w:val="00E171F6"/>
    <w:rsid w:val="00E20BCE"/>
    <w:rsid w:val="00E20F38"/>
    <w:rsid w:val="00E2104A"/>
    <w:rsid w:val="00E2270B"/>
    <w:rsid w:val="00E22CE6"/>
    <w:rsid w:val="00E233DE"/>
    <w:rsid w:val="00E23A8C"/>
    <w:rsid w:val="00E2443B"/>
    <w:rsid w:val="00E2487A"/>
    <w:rsid w:val="00E25255"/>
    <w:rsid w:val="00E252B2"/>
    <w:rsid w:val="00E25481"/>
    <w:rsid w:val="00E25483"/>
    <w:rsid w:val="00E256F5"/>
    <w:rsid w:val="00E259B8"/>
    <w:rsid w:val="00E261EE"/>
    <w:rsid w:val="00E27141"/>
    <w:rsid w:val="00E27F67"/>
    <w:rsid w:val="00E3121B"/>
    <w:rsid w:val="00E316DD"/>
    <w:rsid w:val="00E318EE"/>
    <w:rsid w:val="00E31B0B"/>
    <w:rsid w:val="00E3316D"/>
    <w:rsid w:val="00E35537"/>
    <w:rsid w:val="00E36A5F"/>
    <w:rsid w:val="00E404D3"/>
    <w:rsid w:val="00E410BA"/>
    <w:rsid w:val="00E4118B"/>
    <w:rsid w:val="00E41762"/>
    <w:rsid w:val="00E41A8B"/>
    <w:rsid w:val="00E42601"/>
    <w:rsid w:val="00E43969"/>
    <w:rsid w:val="00E45359"/>
    <w:rsid w:val="00E45626"/>
    <w:rsid w:val="00E45EEA"/>
    <w:rsid w:val="00E4631A"/>
    <w:rsid w:val="00E46AEE"/>
    <w:rsid w:val="00E46C04"/>
    <w:rsid w:val="00E4769F"/>
    <w:rsid w:val="00E47A93"/>
    <w:rsid w:val="00E508FE"/>
    <w:rsid w:val="00E50C5D"/>
    <w:rsid w:val="00E50EBA"/>
    <w:rsid w:val="00E51114"/>
    <w:rsid w:val="00E512ED"/>
    <w:rsid w:val="00E51412"/>
    <w:rsid w:val="00E51558"/>
    <w:rsid w:val="00E51595"/>
    <w:rsid w:val="00E515C4"/>
    <w:rsid w:val="00E534C8"/>
    <w:rsid w:val="00E536CD"/>
    <w:rsid w:val="00E541A0"/>
    <w:rsid w:val="00E551AA"/>
    <w:rsid w:val="00E56602"/>
    <w:rsid w:val="00E56D48"/>
    <w:rsid w:val="00E5799C"/>
    <w:rsid w:val="00E6021A"/>
    <w:rsid w:val="00E60F41"/>
    <w:rsid w:val="00E61F35"/>
    <w:rsid w:val="00E61FB6"/>
    <w:rsid w:val="00E623EC"/>
    <w:rsid w:val="00E62B88"/>
    <w:rsid w:val="00E6329E"/>
    <w:rsid w:val="00E63861"/>
    <w:rsid w:val="00E63881"/>
    <w:rsid w:val="00E6464E"/>
    <w:rsid w:val="00E6512C"/>
    <w:rsid w:val="00E663B5"/>
    <w:rsid w:val="00E66AA5"/>
    <w:rsid w:val="00E66EE1"/>
    <w:rsid w:val="00E675A2"/>
    <w:rsid w:val="00E67E41"/>
    <w:rsid w:val="00E70007"/>
    <w:rsid w:val="00E70552"/>
    <w:rsid w:val="00E70838"/>
    <w:rsid w:val="00E70A43"/>
    <w:rsid w:val="00E7161A"/>
    <w:rsid w:val="00E71681"/>
    <w:rsid w:val="00E71AE5"/>
    <w:rsid w:val="00E72586"/>
    <w:rsid w:val="00E72682"/>
    <w:rsid w:val="00E734C9"/>
    <w:rsid w:val="00E73D82"/>
    <w:rsid w:val="00E73FD9"/>
    <w:rsid w:val="00E801B6"/>
    <w:rsid w:val="00E80CF8"/>
    <w:rsid w:val="00E816C9"/>
    <w:rsid w:val="00E817DA"/>
    <w:rsid w:val="00E81D4B"/>
    <w:rsid w:val="00E826C0"/>
    <w:rsid w:val="00E83271"/>
    <w:rsid w:val="00E83AEE"/>
    <w:rsid w:val="00E84406"/>
    <w:rsid w:val="00E846C4"/>
    <w:rsid w:val="00E8473D"/>
    <w:rsid w:val="00E8484E"/>
    <w:rsid w:val="00E849E3"/>
    <w:rsid w:val="00E84A78"/>
    <w:rsid w:val="00E84CF5"/>
    <w:rsid w:val="00E86053"/>
    <w:rsid w:val="00E86097"/>
    <w:rsid w:val="00E86566"/>
    <w:rsid w:val="00E867CC"/>
    <w:rsid w:val="00E86987"/>
    <w:rsid w:val="00E86E65"/>
    <w:rsid w:val="00E87129"/>
    <w:rsid w:val="00E87130"/>
    <w:rsid w:val="00E91EBC"/>
    <w:rsid w:val="00E92D94"/>
    <w:rsid w:val="00E938B9"/>
    <w:rsid w:val="00E9398B"/>
    <w:rsid w:val="00E93AA4"/>
    <w:rsid w:val="00E942B7"/>
    <w:rsid w:val="00E945F7"/>
    <w:rsid w:val="00E94F81"/>
    <w:rsid w:val="00E952F3"/>
    <w:rsid w:val="00E95A72"/>
    <w:rsid w:val="00E95A93"/>
    <w:rsid w:val="00E95C2B"/>
    <w:rsid w:val="00E965B8"/>
    <w:rsid w:val="00E96746"/>
    <w:rsid w:val="00E975FC"/>
    <w:rsid w:val="00EA02C5"/>
    <w:rsid w:val="00EA06C2"/>
    <w:rsid w:val="00EA0800"/>
    <w:rsid w:val="00EA0B57"/>
    <w:rsid w:val="00EA1072"/>
    <w:rsid w:val="00EA17F5"/>
    <w:rsid w:val="00EA2AE8"/>
    <w:rsid w:val="00EA415F"/>
    <w:rsid w:val="00EA46E3"/>
    <w:rsid w:val="00EA4999"/>
    <w:rsid w:val="00EA4FE7"/>
    <w:rsid w:val="00EA513C"/>
    <w:rsid w:val="00EA576B"/>
    <w:rsid w:val="00EA5D05"/>
    <w:rsid w:val="00EA6539"/>
    <w:rsid w:val="00EA6981"/>
    <w:rsid w:val="00EA7670"/>
    <w:rsid w:val="00EB0061"/>
    <w:rsid w:val="00EB083C"/>
    <w:rsid w:val="00EB20D2"/>
    <w:rsid w:val="00EB2183"/>
    <w:rsid w:val="00EB2305"/>
    <w:rsid w:val="00EB3DE4"/>
    <w:rsid w:val="00EB4580"/>
    <w:rsid w:val="00EB4DDB"/>
    <w:rsid w:val="00EB6C2E"/>
    <w:rsid w:val="00EB7626"/>
    <w:rsid w:val="00EB79C7"/>
    <w:rsid w:val="00EB7E92"/>
    <w:rsid w:val="00EC09D7"/>
    <w:rsid w:val="00EC0A46"/>
    <w:rsid w:val="00EC1EEF"/>
    <w:rsid w:val="00EC220B"/>
    <w:rsid w:val="00EC27C1"/>
    <w:rsid w:val="00EC287D"/>
    <w:rsid w:val="00EC2F0F"/>
    <w:rsid w:val="00EC36C5"/>
    <w:rsid w:val="00EC3BF9"/>
    <w:rsid w:val="00EC433E"/>
    <w:rsid w:val="00EC4755"/>
    <w:rsid w:val="00EC5363"/>
    <w:rsid w:val="00EC5BF5"/>
    <w:rsid w:val="00EC5D20"/>
    <w:rsid w:val="00EC5DFE"/>
    <w:rsid w:val="00EC63A1"/>
    <w:rsid w:val="00EC66C4"/>
    <w:rsid w:val="00EC72AE"/>
    <w:rsid w:val="00EC7AAF"/>
    <w:rsid w:val="00EC7BA5"/>
    <w:rsid w:val="00EC7EB4"/>
    <w:rsid w:val="00ED0C88"/>
    <w:rsid w:val="00ED11CC"/>
    <w:rsid w:val="00ED1414"/>
    <w:rsid w:val="00ED166C"/>
    <w:rsid w:val="00ED19AB"/>
    <w:rsid w:val="00ED1EB8"/>
    <w:rsid w:val="00ED2D76"/>
    <w:rsid w:val="00ED3919"/>
    <w:rsid w:val="00ED438A"/>
    <w:rsid w:val="00ED43AC"/>
    <w:rsid w:val="00ED4DFA"/>
    <w:rsid w:val="00ED54F5"/>
    <w:rsid w:val="00ED5C9D"/>
    <w:rsid w:val="00ED71B5"/>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58E2"/>
    <w:rsid w:val="00EF5AC7"/>
    <w:rsid w:val="00EF63A9"/>
    <w:rsid w:val="00EF657C"/>
    <w:rsid w:val="00EF6DB2"/>
    <w:rsid w:val="00EF6F37"/>
    <w:rsid w:val="00F003BF"/>
    <w:rsid w:val="00F02DBA"/>
    <w:rsid w:val="00F0315C"/>
    <w:rsid w:val="00F0389C"/>
    <w:rsid w:val="00F03AF9"/>
    <w:rsid w:val="00F04313"/>
    <w:rsid w:val="00F049F3"/>
    <w:rsid w:val="00F06086"/>
    <w:rsid w:val="00F06AAD"/>
    <w:rsid w:val="00F0726F"/>
    <w:rsid w:val="00F07B12"/>
    <w:rsid w:val="00F07BCB"/>
    <w:rsid w:val="00F07D69"/>
    <w:rsid w:val="00F1034D"/>
    <w:rsid w:val="00F1038F"/>
    <w:rsid w:val="00F1079F"/>
    <w:rsid w:val="00F117ED"/>
    <w:rsid w:val="00F11876"/>
    <w:rsid w:val="00F1193D"/>
    <w:rsid w:val="00F12A31"/>
    <w:rsid w:val="00F12FEB"/>
    <w:rsid w:val="00F132B1"/>
    <w:rsid w:val="00F148C3"/>
    <w:rsid w:val="00F15A83"/>
    <w:rsid w:val="00F15D66"/>
    <w:rsid w:val="00F15DEB"/>
    <w:rsid w:val="00F21D22"/>
    <w:rsid w:val="00F223DB"/>
    <w:rsid w:val="00F229E1"/>
    <w:rsid w:val="00F23AB2"/>
    <w:rsid w:val="00F24BC9"/>
    <w:rsid w:val="00F25A5C"/>
    <w:rsid w:val="00F26B66"/>
    <w:rsid w:val="00F27257"/>
    <w:rsid w:val="00F27375"/>
    <w:rsid w:val="00F27A5E"/>
    <w:rsid w:val="00F27CDB"/>
    <w:rsid w:val="00F30B77"/>
    <w:rsid w:val="00F31036"/>
    <w:rsid w:val="00F311E3"/>
    <w:rsid w:val="00F318F0"/>
    <w:rsid w:val="00F32AB7"/>
    <w:rsid w:val="00F33F9D"/>
    <w:rsid w:val="00F34B11"/>
    <w:rsid w:val="00F35399"/>
    <w:rsid w:val="00F362A8"/>
    <w:rsid w:val="00F37298"/>
    <w:rsid w:val="00F373EB"/>
    <w:rsid w:val="00F37BD3"/>
    <w:rsid w:val="00F4024D"/>
    <w:rsid w:val="00F4040B"/>
    <w:rsid w:val="00F40A13"/>
    <w:rsid w:val="00F420A1"/>
    <w:rsid w:val="00F4354F"/>
    <w:rsid w:val="00F43732"/>
    <w:rsid w:val="00F4397B"/>
    <w:rsid w:val="00F439B0"/>
    <w:rsid w:val="00F43E2A"/>
    <w:rsid w:val="00F45152"/>
    <w:rsid w:val="00F45668"/>
    <w:rsid w:val="00F45BAE"/>
    <w:rsid w:val="00F460E0"/>
    <w:rsid w:val="00F46349"/>
    <w:rsid w:val="00F464A0"/>
    <w:rsid w:val="00F46E79"/>
    <w:rsid w:val="00F47254"/>
    <w:rsid w:val="00F47378"/>
    <w:rsid w:val="00F47678"/>
    <w:rsid w:val="00F5015B"/>
    <w:rsid w:val="00F50CDA"/>
    <w:rsid w:val="00F50D4E"/>
    <w:rsid w:val="00F50E87"/>
    <w:rsid w:val="00F51212"/>
    <w:rsid w:val="00F51F68"/>
    <w:rsid w:val="00F52610"/>
    <w:rsid w:val="00F52876"/>
    <w:rsid w:val="00F52B6A"/>
    <w:rsid w:val="00F52C75"/>
    <w:rsid w:val="00F52CA0"/>
    <w:rsid w:val="00F52FA7"/>
    <w:rsid w:val="00F5316C"/>
    <w:rsid w:val="00F53389"/>
    <w:rsid w:val="00F53D1E"/>
    <w:rsid w:val="00F542C1"/>
    <w:rsid w:val="00F5457A"/>
    <w:rsid w:val="00F546AD"/>
    <w:rsid w:val="00F547D0"/>
    <w:rsid w:val="00F557D6"/>
    <w:rsid w:val="00F558AF"/>
    <w:rsid w:val="00F558F7"/>
    <w:rsid w:val="00F559D8"/>
    <w:rsid w:val="00F55A60"/>
    <w:rsid w:val="00F56305"/>
    <w:rsid w:val="00F56354"/>
    <w:rsid w:val="00F57267"/>
    <w:rsid w:val="00F57DE9"/>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6F64"/>
    <w:rsid w:val="00F6725A"/>
    <w:rsid w:val="00F67A29"/>
    <w:rsid w:val="00F67DA6"/>
    <w:rsid w:val="00F702EB"/>
    <w:rsid w:val="00F70380"/>
    <w:rsid w:val="00F708ED"/>
    <w:rsid w:val="00F710D6"/>
    <w:rsid w:val="00F717E1"/>
    <w:rsid w:val="00F71D7D"/>
    <w:rsid w:val="00F72BDF"/>
    <w:rsid w:val="00F72CA9"/>
    <w:rsid w:val="00F72EB3"/>
    <w:rsid w:val="00F73321"/>
    <w:rsid w:val="00F735A7"/>
    <w:rsid w:val="00F74441"/>
    <w:rsid w:val="00F745D9"/>
    <w:rsid w:val="00F75D17"/>
    <w:rsid w:val="00F76BB3"/>
    <w:rsid w:val="00F76D4E"/>
    <w:rsid w:val="00F772DA"/>
    <w:rsid w:val="00F7781E"/>
    <w:rsid w:val="00F77D2B"/>
    <w:rsid w:val="00F81110"/>
    <w:rsid w:val="00F81708"/>
    <w:rsid w:val="00F81F1D"/>
    <w:rsid w:val="00F82D68"/>
    <w:rsid w:val="00F8304F"/>
    <w:rsid w:val="00F845C4"/>
    <w:rsid w:val="00F847B5"/>
    <w:rsid w:val="00F85D3F"/>
    <w:rsid w:val="00F85DFD"/>
    <w:rsid w:val="00F868BC"/>
    <w:rsid w:val="00F871F5"/>
    <w:rsid w:val="00F875DE"/>
    <w:rsid w:val="00F879B1"/>
    <w:rsid w:val="00F90D95"/>
    <w:rsid w:val="00F90F9D"/>
    <w:rsid w:val="00F91054"/>
    <w:rsid w:val="00F9181C"/>
    <w:rsid w:val="00F92653"/>
    <w:rsid w:val="00F92C69"/>
    <w:rsid w:val="00F9332E"/>
    <w:rsid w:val="00F94962"/>
    <w:rsid w:val="00F9521E"/>
    <w:rsid w:val="00F95E15"/>
    <w:rsid w:val="00F961DD"/>
    <w:rsid w:val="00F96FB0"/>
    <w:rsid w:val="00F97015"/>
    <w:rsid w:val="00F9746E"/>
    <w:rsid w:val="00F974A9"/>
    <w:rsid w:val="00FA03B6"/>
    <w:rsid w:val="00FA083B"/>
    <w:rsid w:val="00FA0AC1"/>
    <w:rsid w:val="00FA1144"/>
    <w:rsid w:val="00FA1629"/>
    <w:rsid w:val="00FA1865"/>
    <w:rsid w:val="00FA226B"/>
    <w:rsid w:val="00FA234D"/>
    <w:rsid w:val="00FA2DC5"/>
    <w:rsid w:val="00FA2E83"/>
    <w:rsid w:val="00FA33D9"/>
    <w:rsid w:val="00FA3486"/>
    <w:rsid w:val="00FA36DB"/>
    <w:rsid w:val="00FA429A"/>
    <w:rsid w:val="00FA4D82"/>
    <w:rsid w:val="00FA528E"/>
    <w:rsid w:val="00FA52E7"/>
    <w:rsid w:val="00FA5DD2"/>
    <w:rsid w:val="00FA63FC"/>
    <w:rsid w:val="00FA6C34"/>
    <w:rsid w:val="00FA70D4"/>
    <w:rsid w:val="00FB092A"/>
    <w:rsid w:val="00FB0BC2"/>
    <w:rsid w:val="00FB2F90"/>
    <w:rsid w:val="00FB308E"/>
    <w:rsid w:val="00FB32D4"/>
    <w:rsid w:val="00FB3461"/>
    <w:rsid w:val="00FB3ED6"/>
    <w:rsid w:val="00FB48FD"/>
    <w:rsid w:val="00FB5CA3"/>
    <w:rsid w:val="00FC006A"/>
    <w:rsid w:val="00FC12B5"/>
    <w:rsid w:val="00FC15E4"/>
    <w:rsid w:val="00FC1882"/>
    <w:rsid w:val="00FC1AD6"/>
    <w:rsid w:val="00FC1C2D"/>
    <w:rsid w:val="00FC27E6"/>
    <w:rsid w:val="00FC2803"/>
    <w:rsid w:val="00FC2B2D"/>
    <w:rsid w:val="00FC2CDB"/>
    <w:rsid w:val="00FC3263"/>
    <w:rsid w:val="00FC3633"/>
    <w:rsid w:val="00FC3A48"/>
    <w:rsid w:val="00FC49C1"/>
    <w:rsid w:val="00FC5058"/>
    <w:rsid w:val="00FC54B8"/>
    <w:rsid w:val="00FC7171"/>
    <w:rsid w:val="00FC735E"/>
    <w:rsid w:val="00FC7F42"/>
    <w:rsid w:val="00FD0883"/>
    <w:rsid w:val="00FD0CEF"/>
    <w:rsid w:val="00FD1263"/>
    <w:rsid w:val="00FD1EA4"/>
    <w:rsid w:val="00FD273B"/>
    <w:rsid w:val="00FD2B18"/>
    <w:rsid w:val="00FD34B2"/>
    <w:rsid w:val="00FD350C"/>
    <w:rsid w:val="00FD4A4B"/>
    <w:rsid w:val="00FD4B1F"/>
    <w:rsid w:val="00FD4ED0"/>
    <w:rsid w:val="00FD5364"/>
    <w:rsid w:val="00FD5D94"/>
    <w:rsid w:val="00FD65DE"/>
    <w:rsid w:val="00FD6DF2"/>
    <w:rsid w:val="00FE0D70"/>
    <w:rsid w:val="00FE1A06"/>
    <w:rsid w:val="00FE2E8D"/>
    <w:rsid w:val="00FE31D6"/>
    <w:rsid w:val="00FE3738"/>
    <w:rsid w:val="00FE3893"/>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2EDE"/>
    <w:rsid w:val="00FF35F6"/>
    <w:rsid w:val="00FF4AA2"/>
    <w:rsid w:val="00FF5C39"/>
    <w:rsid w:val="00FF5D67"/>
    <w:rsid w:val="00FF6321"/>
    <w:rsid w:val="00FF7622"/>
    <w:rsid w:val="01156757"/>
    <w:rsid w:val="01161381"/>
    <w:rsid w:val="01161716"/>
    <w:rsid w:val="0118697A"/>
    <w:rsid w:val="01252CA2"/>
    <w:rsid w:val="0154364D"/>
    <w:rsid w:val="01607805"/>
    <w:rsid w:val="0166141E"/>
    <w:rsid w:val="01891193"/>
    <w:rsid w:val="019B788C"/>
    <w:rsid w:val="01A21718"/>
    <w:rsid w:val="01AD1B27"/>
    <w:rsid w:val="01C56022"/>
    <w:rsid w:val="01C95756"/>
    <w:rsid w:val="01D54FCE"/>
    <w:rsid w:val="01F04080"/>
    <w:rsid w:val="01F41AE1"/>
    <w:rsid w:val="01F66E42"/>
    <w:rsid w:val="021A27AB"/>
    <w:rsid w:val="02375601"/>
    <w:rsid w:val="025F0A38"/>
    <w:rsid w:val="027F0426"/>
    <w:rsid w:val="028C4549"/>
    <w:rsid w:val="02A91D79"/>
    <w:rsid w:val="02C31E14"/>
    <w:rsid w:val="02DB7C2D"/>
    <w:rsid w:val="02E0504F"/>
    <w:rsid w:val="02E97045"/>
    <w:rsid w:val="02FB6E41"/>
    <w:rsid w:val="032254C6"/>
    <w:rsid w:val="032A2334"/>
    <w:rsid w:val="03366BE8"/>
    <w:rsid w:val="03550CDB"/>
    <w:rsid w:val="036003ED"/>
    <w:rsid w:val="03661A50"/>
    <w:rsid w:val="036F1BA7"/>
    <w:rsid w:val="03744328"/>
    <w:rsid w:val="03775A58"/>
    <w:rsid w:val="038D1CCC"/>
    <w:rsid w:val="039A693E"/>
    <w:rsid w:val="039C51E6"/>
    <w:rsid w:val="03AC7D7B"/>
    <w:rsid w:val="03AE0340"/>
    <w:rsid w:val="03B04E67"/>
    <w:rsid w:val="03C215DF"/>
    <w:rsid w:val="03D35490"/>
    <w:rsid w:val="03EB6ACA"/>
    <w:rsid w:val="03F32A01"/>
    <w:rsid w:val="03F4668D"/>
    <w:rsid w:val="03F96449"/>
    <w:rsid w:val="03F96DE5"/>
    <w:rsid w:val="03FB06D5"/>
    <w:rsid w:val="040833DD"/>
    <w:rsid w:val="04456A8D"/>
    <w:rsid w:val="047A1299"/>
    <w:rsid w:val="047C0E19"/>
    <w:rsid w:val="0486237A"/>
    <w:rsid w:val="04867068"/>
    <w:rsid w:val="048B07CE"/>
    <w:rsid w:val="04A8110C"/>
    <w:rsid w:val="04AC4056"/>
    <w:rsid w:val="04B17463"/>
    <w:rsid w:val="04B338AF"/>
    <w:rsid w:val="04B8064A"/>
    <w:rsid w:val="04C74F7C"/>
    <w:rsid w:val="04DC0C57"/>
    <w:rsid w:val="050F5F1C"/>
    <w:rsid w:val="051538E2"/>
    <w:rsid w:val="051C4A8C"/>
    <w:rsid w:val="05432626"/>
    <w:rsid w:val="054C01AB"/>
    <w:rsid w:val="05626A23"/>
    <w:rsid w:val="057F05F4"/>
    <w:rsid w:val="05865AF1"/>
    <w:rsid w:val="058E64D2"/>
    <w:rsid w:val="05D23F95"/>
    <w:rsid w:val="05D26A07"/>
    <w:rsid w:val="05E04415"/>
    <w:rsid w:val="05EC421F"/>
    <w:rsid w:val="06001D3C"/>
    <w:rsid w:val="060317A8"/>
    <w:rsid w:val="0610658F"/>
    <w:rsid w:val="06223796"/>
    <w:rsid w:val="062260D2"/>
    <w:rsid w:val="06280112"/>
    <w:rsid w:val="063B1146"/>
    <w:rsid w:val="063B4085"/>
    <w:rsid w:val="06680680"/>
    <w:rsid w:val="06694915"/>
    <w:rsid w:val="067873F0"/>
    <w:rsid w:val="067D208B"/>
    <w:rsid w:val="069A035E"/>
    <w:rsid w:val="06A962EB"/>
    <w:rsid w:val="06C547AD"/>
    <w:rsid w:val="06C70A53"/>
    <w:rsid w:val="06D41B81"/>
    <w:rsid w:val="06DB5A0D"/>
    <w:rsid w:val="06EE3B09"/>
    <w:rsid w:val="06F53DF8"/>
    <w:rsid w:val="06F94362"/>
    <w:rsid w:val="06FA704F"/>
    <w:rsid w:val="06FC1585"/>
    <w:rsid w:val="07060800"/>
    <w:rsid w:val="07153E89"/>
    <w:rsid w:val="071F7141"/>
    <w:rsid w:val="07396103"/>
    <w:rsid w:val="073A04FC"/>
    <w:rsid w:val="076A73AF"/>
    <w:rsid w:val="0772543B"/>
    <w:rsid w:val="077305E3"/>
    <w:rsid w:val="079C3D87"/>
    <w:rsid w:val="079C610A"/>
    <w:rsid w:val="079F190B"/>
    <w:rsid w:val="079F4F94"/>
    <w:rsid w:val="07A53D89"/>
    <w:rsid w:val="07CD0531"/>
    <w:rsid w:val="07D02862"/>
    <w:rsid w:val="07E758AD"/>
    <w:rsid w:val="0803440C"/>
    <w:rsid w:val="0817550B"/>
    <w:rsid w:val="082164EA"/>
    <w:rsid w:val="082753EA"/>
    <w:rsid w:val="084F1E69"/>
    <w:rsid w:val="084F377C"/>
    <w:rsid w:val="08561811"/>
    <w:rsid w:val="08582E7F"/>
    <w:rsid w:val="08617FC4"/>
    <w:rsid w:val="08633854"/>
    <w:rsid w:val="08703BBD"/>
    <w:rsid w:val="08732C10"/>
    <w:rsid w:val="087A29BF"/>
    <w:rsid w:val="087D50DF"/>
    <w:rsid w:val="08AD41A2"/>
    <w:rsid w:val="08AE72B2"/>
    <w:rsid w:val="08C47661"/>
    <w:rsid w:val="08E5626E"/>
    <w:rsid w:val="08EC01A0"/>
    <w:rsid w:val="091B0828"/>
    <w:rsid w:val="091B7C5A"/>
    <w:rsid w:val="093858F9"/>
    <w:rsid w:val="093C7C38"/>
    <w:rsid w:val="093E4F17"/>
    <w:rsid w:val="0955173B"/>
    <w:rsid w:val="095B5114"/>
    <w:rsid w:val="09603EA1"/>
    <w:rsid w:val="097763D1"/>
    <w:rsid w:val="097B772F"/>
    <w:rsid w:val="097F383C"/>
    <w:rsid w:val="098A4D43"/>
    <w:rsid w:val="098C0C95"/>
    <w:rsid w:val="099A3EAD"/>
    <w:rsid w:val="099F6276"/>
    <w:rsid w:val="09A70A19"/>
    <w:rsid w:val="09AE5930"/>
    <w:rsid w:val="09BA4FD4"/>
    <w:rsid w:val="09C851E3"/>
    <w:rsid w:val="09E34AF1"/>
    <w:rsid w:val="09E60CDF"/>
    <w:rsid w:val="0A0A3F37"/>
    <w:rsid w:val="0A0B72FE"/>
    <w:rsid w:val="0A3B592E"/>
    <w:rsid w:val="0A3B6B70"/>
    <w:rsid w:val="0A5371A2"/>
    <w:rsid w:val="0A557EE7"/>
    <w:rsid w:val="0A5F224E"/>
    <w:rsid w:val="0A6C7B71"/>
    <w:rsid w:val="0A6D67CF"/>
    <w:rsid w:val="0A8327CF"/>
    <w:rsid w:val="0A8B0BFB"/>
    <w:rsid w:val="0A9652E1"/>
    <w:rsid w:val="0A9A1C92"/>
    <w:rsid w:val="0AAF765C"/>
    <w:rsid w:val="0AD85589"/>
    <w:rsid w:val="0AE83751"/>
    <w:rsid w:val="0AEA3FAA"/>
    <w:rsid w:val="0B0A00BA"/>
    <w:rsid w:val="0B0D77B0"/>
    <w:rsid w:val="0B0E09FE"/>
    <w:rsid w:val="0B0E2D79"/>
    <w:rsid w:val="0B0E4E77"/>
    <w:rsid w:val="0B0F052F"/>
    <w:rsid w:val="0B1B6BEB"/>
    <w:rsid w:val="0B242CDB"/>
    <w:rsid w:val="0B2D534F"/>
    <w:rsid w:val="0B31193E"/>
    <w:rsid w:val="0B8369A8"/>
    <w:rsid w:val="0BA56346"/>
    <w:rsid w:val="0BB21A8C"/>
    <w:rsid w:val="0BBA5018"/>
    <w:rsid w:val="0BC83F1D"/>
    <w:rsid w:val="0BF12592"/>
    <w:rsid w:val="0BF779F5"/>
    <w:rsid w:val="0C127BD8"/>
    <w:rsid w:val="0C1B418D"/>
    <w:rsid w:val="0C224384"/>
    <w:rsid w:val="0C400913"/>
    <w:rsid w:val="0C426BB0"/>
    <w:rsid w:val="0C447636"/>
    <w:rsid w:val="0C594C5E"/>
    <w:rsid w:val="0C691218"/>
    <w:rsid w:val="0C7809C1"/>
    <w:rsid w:val="0C8A5C1E"/>
    <w:rsid w:val="0C965756"/>
    <w:rsid w:val="0CA03F46"/>
    <w:rsid w:val="0CA22F7F"/>
    <w:rsid w:val="0CBC2E27"/>
    <w:rsid w:val="0CC218DA"/>
    <w:rsid w:val="0CDD05B8"/>
    <w:rsid w:val="0CE26D41"/>
    <w:rsid w:val="0D14585D"/>
    <w:rsid w:val="0D251EB6"/>
    <w:rsid w:val="0D366C59"/>
    <w:rsid w:val="0D394DE8"/>
    <w:rsid w:val="0D3F3B6A"/>
    <w:rsid w:val="0D447276"/>
    <w:rsid w:val="0D4929B9"/>
    <w:rsid w:val="0D5625BC"/>
    <w:rsid w:val="0D5C636E"/>
    <w:rsid w:val="0D622BA8"/>
    <w:rsid w:val="0D830F79"/>
    <w:rsid w:val="0D8934B2"/>
    <w:rsid w:val="0D8B4373"/>
    <w:rsid w:val="0D991818"/>
    <w:rsid w:val="0DA22D92"/>
    <w:rsid w:val="0DB5640A"/>
    <w:rsid w:val="0DBD6B79"/>
    <w:rsid w:val="0DE0271F"/>
    <w:rsid w:val="0DEE568A"/>
    <w:rsid w:val="0DF06AE7"/>
    <w:rsid w:val="0E1A0D5E"/>
    <w:rsid w:val="0E204A28"/>
    <w:rsid w:val="0E704F09"/>
    <w:rsid w:val="0E9246B3"/>
    <w:rsid w:val="0E941B37"/>
    <w:rsid w:val="0EBC6AFA"/>
    <w:rsid w:val="0ED974DB"/>
    <w:rsid w:val="0EF03772"/>
    <w:rsid w:val="0EF45B32"/>
    <w:rsid w:val="0EF9279F"/>
    <w:rsid w:val="0F45312D"/>
    <w:rsid w:val="0F6546E6"/>
    <w:rsid w:val="0F6E05DA"/>
    <w:rsid w:val="0F704352"/>
    <w:rsid w:val="0F77131B"/>
    <w:rsid w:val="0F8761B2"/>
    <w:rsid w:val="0F8B0EC0"/>
    <w:rsid w:val="0F8D2B33"/>
    <w:rsid w:val="0FB13D22"/>
    <w:rsid w:val="0FBF10A9"/>
    <w:rsid w:val="0FE02217"/>
    <w:rsid w:val="0FEE3FED"/>
    <w:rsid w:val="0FEE5277"/>
    <w:rsid w:val="0FF70A95"/>
    <w:rsid w:val="0FF87B68"/>
    <w:rsid w:val="0FFA5404"/>
    <w:rsid w:val="102E57AA"/>
    <w:rsid w:val="103B2931"/>
    <w:rsid w:val="10604C4A"/>
    <w:rsid w:val="10624B25"/>
    <w:rsid w:val="10770A50"/>
    <w:rsid w:val="107F7214"/>
    <w:rsid w:val="108B335A"/>
    <w:rsid w:val="10A15749"/>
    <w:rsid w:val="10A45811"/>
    <w:rsid w:val="10A85A4F"/>
    <w:rsid w:val="10C63F60"/>
    <w:rsid w:val="10C96575"/>
    <w:rsid w:val="10D4508F"/>
    <w:rsid w:val="10DF1AED"/>
    <w:rsid w:val="10F3685C"/>
    <w:rsid w:val="11103F1B"/>
    <w:rsid w:val="111E393A"/>
    <w:rsid w:val="113E0229"/>
    <w:rsid w:val="11402131"/>
    <w:rsid w:val="115A7583"/>
    <w:rsid w:val="115C0EB7"/>
    <w:rsid w:val="115E2911"/>
    <w:rsid w:val="116F23E8"/>
    <w:rsid w:val="117665F2"/>
    <w:rsid w:val="117C3687"/>
    <w:rsid w:val="117E70EC"/>
    <w:rsid w:val="11881059"/>
    <w:rsid w:val="11BF0F22"/>
    <w:rsid w:val="11C347D2"/>
    <w:rsid w:val="11D711FB"/>
    <w:rsid w:val="11E354DF"/>
    <w:rsid w:val="1213138D"/>
    <w:rsid w:val="121A78D7"/>
    <w:rsid w:val="12363093"/>
    <w:rsid w:val="123D52F0"/>
    <w:rsid w:val="124B258B"/>
    <w:rsid w:val="124C66B8"/>
    <w:rsid w:val="124E136F"/>
    <w:rsid w:val="12530F71"/>
    <w:rsid w:val="126C764C"/>
    <w:rsid w:val="127203E1"/>
    <w:rsid w:val="127640B0"/>
    <w:rsid w:val="12843C71"/>
    <w:rsid w:val="128C70F3"/>
    <w:rsid w:val="129C4314"/>
    <w:rsid w:val="12A450D1"/>
    <w:rsid w:val="12B21300"/>
    <w:rsid w:val="12BC3C29"/>
    <w:rsid w:val="12C26E20"/>
    <w:rsid w:val="12DB5F87"/>
    <w:rsid w:val="130564B6"/>
    <w:rsid w:val="131E74E0"/>
    <w:rsid w:val="13221CDC"/>
    <w:rsid w:val="13261C80"/>
    <w:rsid w:val="132772BC"/>
    <w:rsid w:val="13315F32"/>
    <w:rsid w:val="13482D27"/>
    <w:rsid w:val="13683436"/>
    <w:rsid w:val="13684D74"/>
    <w:rsid w:val="139313B3"/>
    <w:rsid w:val="139B3562"/>
    <w:rsid w:val="13AC45E2"/>
    <w:rsid w:val="13AD3FB4"/>
    <w:rsid w:val="13B642FE"/>
    <w:rsid w:val="13CF504A"/>
    <w:rsid w:val="13D50C28"/>
    <w:rsid w:val="13F82AEF"/>
    <w:rsid w:val="13FF0176"/>
    <w:rsid w:val="140A03C4"/>
    <w:rsid w:val="1420372E"/>
    <w:rsid w:val="14882993"/>
    <w:rsid w:val="14B922F8"/>
    <w:rsid w:val="14DA5063"/>
    <w:rsid w:val="14DB226E"/>
    <w:rsid w:val="14DE6B64"/>
    <w:rsid w:val="14E07500"/>
    <w:rsid w:val="14EE6E14"/>
    <w:rsid w:val="14F75E00"/>
    <w:rsid w:val="1509282D"/>
    <w:rsid w:val="150A3DAF"/>
    <w:rsid w:val="152E5CC0"/>
    <w:rsid w:val="15486366"/>
    <w:rsid w:val="154E27DB"/>
    <w:rsid w:val="156A2FF5"/>
    <w:rsid w:val="159B3F35"/>
    <w:rsid w:val="15B23F4B"/>
    <w:rsid w:val="15B96902"/>
    <w:rsid w:val="15BE0916"/>
    <w:rsid w:val="15C72899"/>
    <w:rsid w:val="15C83246"/>
    <w:rsid w:val="15C8689D"/>
    <w:rsid w:val="15C93553"/>
    <w:rsid w:val="15CA354C"/>
    <w:rsid w:val="15CC605B"/>
    <w:rsid w:val="15D66ED9"/>
    <w:rsid w:val="15E51344"/>
    <w:rsid w:val="15E67104"/>
    <w:rsid w:val="16006986"/>
    <w:rsid w:val="16092E0B"/>
    <w:rsid w:val="16166BCE"/>
    <w:rsid w:val="1625074E"/>
    <w:rsid w:val="16263790"/>
    <w:rsid w:val="1650608A"/>
    <w:rsid w:val="165326DE"/>
    <w:rsid w:val="165610AB"/>
    <w:rsid w:val="1657402F"/>
    <w:rsid w:val="166444DA"/>
    <w:rsid w:val="1664451B"/>
    <w:rsid w:val="167277F6"/>
    <w:rsid w:val="168403DE"/>
    <w:rsid w:val="168579B0"/>
    <w:rsid w:val="168C441F"/>
    <w:rsid w:val="16AE2333"/>
    <w:rsid w:val="16D07B16"/>
    <w:rsid w:val="16E939A4"/>
    <w:rsid w:val="16FD4CCE"/>
    <w:rsid w:val="17075339"/>
    <w:rsid w:val="172A040E"/>
    <w:rsid w:val="17336797"/>
    <w:rsid w:val="1745772E"/>
    <w:rsid w:val="174940E7"/>
    <w:rsid w:val="174E27E7"/>
    <w:rsid w:val="17646099"/>
    <w:rsid w:val="17662321"/>
    <w:rsid w:val="177369A9"/>
    <w:rsid w:val="177F75FD"/>
    <w:rsid w:val="178E5178"/>
    <w:rsid w:val="17964FA9"/>
    <w:rsid w:val="17A66650"/>
    <w:rsid w:val="17A75063"/>
    <w:rsid w:val="17B7561E"/>
    <w:rsid w:val="17C1177D"/>
    <w:rsid w:val="17C63A15"/>
    <w:rsid w:val="17CB4AD8"/>
    <w:rsid w:val="17D01296"/>
    <w:rsid w:val="17EA48C1"/>
    <w:rsid w:val="17FD7711"/>
    <w:rsid w:val="180611CA"/>
    <w:rsid w:val="181845E3"/>
    <w:rsid w:val="18282132"/>
    <w:rsid w:val="182D67D7"/>
    <w:rsid w:val="18395F80"/>
    <w:rsid w:val="18495740"/>
    <w:rsid w:val="185C59C2"/>
    <w:rsid w:val="18642E6E"/>
    <w:rsid w:val="186A06A0"/>
    <w:rsid w:val="188F2709"/>
    <w:rsid w:val="18A0023E"/>
    <w:rsid w:val="18B70AFE"/>
    <w:rsid w:val="18D51778"/>
    <w:rsid w:val="18E160A2"/>
    <w:rsid w:val="18E84950"/>
    <w:rsid w:val="190855FC"/>
    <w:rsid w:val="19212EDA"/>
    <w:rsid w:val="192F0C62"/>
    <w:rsid w:val="194145EC"/>
    <w:rsid w:val="194E23F1"/>
    <w:rsid w:val="19565531"/>
    <w:rsid w:val="19575C3B"/>
    <w:rsid w:val="195F61F0"/>
    <w:rsid w:val="196F56A4"/>
    <w:rsid w:val="198527A8"/>
    <w:rsid w:val="19902598"/>
    <w:rsid w:val="19C42E0B"/>
    <w:rsid w:val="19C60EC6"/>
    <w:rsid w:val="19D05B25"/>
    <w:rsid w:val="19D67B1E"/>
    <w:rsid w:val="19E3406E"/>
    <w:rsid w:val="19F45343"/>
    <w:rsid w:val="19F93657"/>
    <w:rsid w:val="19FE255B"/>
    <w:rsid w:val="1A02700A"/>
    <w:rsid w:val="1A10655C"/>
    <w:rsid w:val="1A194280"/>
    <w:rsid w:val="1A2437C8"/>
    <w:rsid w:val="1A361A4A"/>
    <w:rsid w:val="1A396AAF"/>
    <w:rsid w:val="1A3A13B9"/>
    <w:rsid w:val="1A3C0499"/>
    <w:rsid w:val="1A463108"/>
    <w:rsid w:val="1A5413DF"/>
    <w:rsid w:val="1A5B6136"/>
    <w:rsid w:val="1A6B61A1"/>
    <w:rsid w:val="1A6F56A4"/>
    <w:rsid w:val="1A784A2A"/>
    <w:rsid w:val="1A7D70F1"/>
    <w:rsid w:val="1A8314AC"/>
    <w:rsid w:val="1A925563"/>
    <w:rsid w:val="1A9263F1"/>
    <w:rsid w:val="1AA40226"/>
    <w:rsid w:val="1AAB286F"/>
    <w:rsid w:val="1AC11431"/>
    <w:rsid w:val="1ACC36E0"/>
    <w:rsid w:val="1AD5441D"/>
    <w:rsid w:val="1B033C6A"/>
    <w:rsid w:val="1B115145"/>
    <w:rsid w:val="1B186F56"/>
    <w:rsid w:val="1B293C27"/>
    <w:rsid w:val="1B387298"/>
    <w:rsid w:val="1B48779C"/>
    <w:rsid w:val="1B566674"/>
    <w:rsid w:val="1B5E2CF0"/>
    <w:rsid w:val="1B5E62E3"/>
    <w:rsid w:val="1B621F16"/>
    <w:rsid w:val="1B634A4E"/>
    <w:rsid w:val="1B72326B"/>
    <w:rsid w:val="1B816E62"/>
    <w:rsid w:val="1B8A18C6"/>
    <w:rsid w:val="1B966E08"/>
    <w:rsid w:val="1BA069B4"/>
    <w:rsid w:val="1BC74F5C"/>
    <w:rsid w:val="1BD91E94"/>
    <w:rsid w:val="1BDA533F"/>
    <w:rsid w:val="1BE35EAC"/>
    <w:rsid w:val="1C13269C"/>
    <w:rsid w:val="1C195E70"/>
    <w:rsid w:val="1C1B60EB"/>
    <w:rsid w:val="1C1C0F20"/>
    <w:rsid w:val="1C4E1B59"/>
    <w:rsid w:val="1C5202B2"/>
    <w:rsid w:val="1C620459"/>
    <w:rsid w:val="1C6A25D8"/>
    <w:rsid w:val="1C6F7CF8"/>
    <w:rsid w:val="1C7A61E7"/>
    <w:rsid w:val="1C8A4AA6"/>
    <w:rsid w:val="1C9B1BC8"/>
    <w:rsid w:val="1CA911C4"/>
    <w:rsid w:val="1CAD289B"/>
    <w:rsid w:val="1CB3100C"/>
    <w:rsid w:val="1CB377ED"/>
    <w:rsid w:val="1CBC7E81"/>
    <w:rsid w:val="1CBE2AB9"/>
    <w:rsid w:val="1CCB706C"/>
    <w:rsid w:val="1CD23654"/>
    <w:rsid w:val="1CDF2DA2"/>
    <w:rsid w:val="1CE103E8"/>
    <w:rsid w:val="1CE95678"/>
    <w:rsid w:val="1CED0158"/>
    <w:rsid w:val="1CF2227F"/>
    <w:rsid w:val="1CF958DB"/>
    <w:rsid w:val="1CFF33D9"/>
    <w:rsid w:val="1D175B2A"/>
    <w:rsid w:val="1D19635C"/>
    <w:rsid w:val="1D2711FF"/>
    <w:rsid w:val="1D2D3883"/>
    <w:rsid w:val="1D2F590D"/>
    <w:rsid w:val="1D317C33"/>
    <w:rsid w:val="1D3404FB"/>
    <w:rsid w:val="1D5D2C6F"/>
    <w:rsid w:val="1D6F78AF"/>
    <w:rsid w:val="1D760338"/>
    <w:rsid w:val="1D7B4F11"/>
    <w:rsid w:val="1D8348E7"/>
    <w:rsid w:val="1D9C7D63"/>
    <w:rsid w:val="1DBC387B"/>
    <w:rsid w:val="1DC00253"/>
    <w:rsid w:val="1DCB4E4A"/>
    <w:rsid w:val="1DD9639F"/>
    <w:rsid w:val="1DDE1460"/>
    <w:rsid w:val="1DE02ADF"/>
    <w:rsid w:val="1DF25DE6"/>
    <w:rsid w:val="1E190671"/>
    <w:rsid w:val="1E2318CF"/>
    <w:rsid w:val="1E2B1A7E"/>
    <w:rsid w:val="1E2B6718"/>
    <w:rsid w:val="1E3824DF"/>
    <w:rsid w:val="1E432C8B"/>
    <w:rsid w:val="1E475448"/>
    <w:rsid w:val="1E4C65B8"/>
    <w:rsid w:val="1E526119"/>
    <w:rsid w:val="1E65241E"/>
    <w:rsid w:val="1E7473B5"/>
    <w:rsid w:val="1E763007"/>
    <w:rsid w:val="1E83119C"/>
    <w:rsid w:val="1E8E78CB"/>
    <w:rsid w:val="1E95610B"/>
    <w:rsid w:val="1ED858C2"/>
    <w:rsid w:val="1EE95578"/>
    <w:rsid w:val="1EF62860"/>
    <w:rsid w:val="1EF75CB6"/>
    <w:rsid w:val="1F244811"/>
    <w:rsid w:val="1F2622CA"/>
    <w:rsid w:val="1F2A6F41"/>
    <w:rsid w:val="1F335D86"/>
    <w:rsid w:val="1F38384E"/>
    <w:rsid w:val="1F5E7ACF"/>
    <w:rsid w:val="1F5F5687"/>
    <w:rsid w:val="1F6F5C95"/>
    <w:rsid w:val="1FA4780E"/>
    <w:rsid w:val="1FA942F3"/>
    <w:rsid w:val="1FAC488D"/>
    <w:rsid w:val="1FB63C84"/>
    <w:rsid w:val="1FBC7FA6"/>
    <w:rsid w:val="1FBF453A"/>
    <w:rsid w:val="1FC008D7"/>
    <w:rsid w:val="1FD96CCE"/>
    <w:rsid w:val="1FE377FB"/>
    <w:rsid w:val="1FEF1B75"/>
    <w:rsid w:val="1FEF3886"/>
    <w:rsid w:val="1FF61864"/>
    <w:rsid w:val="2004028C"/>
    <w:rsid w:val="200B5A47"/>
    <w:rsid w:val="20143D78"/>
    <w:rsid w:val="202221E7"/>
    <w:rsid w:val="2026530A"/>
    <w:rsid w:val="204F2BCA"/>
    <w:rsid w:val="20546068"/>
    <w:rsid w:val="20693392"/>
    <w:rsid w:val="206A6801"/>
    <w:rsid w:val="20844609"/>
    <w:rsid w:val="20A3452E"/>
    <w:rsid w:val="20C33CA1"/>
    <w:rsid w:val="20C465CB"/>
    <w:rsid w:val="20CB6718"/>
    <w:rsid w:val="20E37767"/>
    <w:rsid w:val="20FB32A8"/>
    <w:rsid w:val="211E5AAE"/>
    <w:rsid w:val="211F332F"/>
    <w:rsid w:val="2121063F"/>
    <w:rsid w:val="2134193B"/>
    <w:rsid w:val="21366A7E"/>
    <w:rsid w:val="213D48C6"/>
    <w:rsid w:val="214465B5"/>
    <w:rsid w:val="215D400B"/>
    <w:rsid w:val="215E2610"/>
    <w:rsid w:val="21663117"/>
    <w:rsid w:val="21667363"/>
    <w:rsid w:val="21696E53"/>
    <w:rsid w:val="21771570"/>
    <w:rsid w:val="2184144E"/>
    <w:rsid w:val="218D0B38"/>
    <w:rsid w:val="21A41C3A"/>
    <w:rsid w:val="21A51475"/>
    <w:rsid w:val="21AB4C7C"/>
    <w:rsid w:val="21AE6D6D"/>
    <w:rsid w:val="21B800B1"/>
    <w:rsid w:val="21BD2522"/>
    <w:rsid w:val="21C84179"/>
    <w:rsid w:val="21D05464"/>
    <w:rsid w:val="21D54444"/>
    <w:rsid w:val="21D7539E"/>
    <w:rsid w:val="21E0445C"/>
    <w:rsid w:val="22010E3A"/>
    <w:rsid w:val="22044895"/>
    <w:rsid w:val="2221702A"/>
    <w:rsid w:val="223575F3"/>
    <w:rsid w:val="224649CB"/>
    <w:rsid w:val="22507F35"/>
    <w:rsid w:val="227F627B"/>
    <w:rsid w:val="22A708D6"/>
    <w:rsid w:val="22B215F3"/>
    <w:rsid w:val="22DF75D3"/>
    <w:rsid w:val="22E128ED"/>
    <w:rsid w:val="22E90AB1"/>
    <w:rsid w:val="22F6256C"/>
    <w:rsid w:val="22FB3ADB"/>
    <w:rsid w:val="230645F6"/>
    <w:rsid w:val="231841EA"/>
    <w:rsid w:val="23271DB8"/>
    <w:rsid w:val="23333A4E"/>
    <w:rsid w:val="235F2B90"/>
    <w:rsid w:val="23694EE9"/>
    <w:rsid w:val="236A1BC2"/>
    <w:rsid w:val="23705396"/>
    <w:rsid w:val="238C0CE3"/>
    <w:rsid w:val="23A50ACA"/>
    <w:rsid w:val="23C51965"/>
    <w:rsid w:val="23E47438"/>
    <w:rsid w:val="24172839"/>
    <w:rsid w:val="242664D7"/>
    <w:rsid w:val="244C23E0"/>
    <w:rsid w:val="2452705D"/>
    <w:rsid w:val="247578BD"/>
    <w:rsid w:val="247F719E"/>
    <w:rsid w:val="248972D1"/>
    <w:rsid w:val="249B745A"/>
    <w:rsid w:val="24B83543"/>
    <w:rsid w:val="24EA0A26"/>
    <w:rsid w:val="24F15196"/>
    <w:rsid w:val="24F829C8"/>
    <w:rsid w:val="250626A8"/>
    <w:rsid w:val="254774AC"/>
    <w:rsid w:val="255A1EF6"/>
    <w:rsid w:val="255A2360"/>
    <w:rsid w:val="256C2218"/>
    <w:rsid w:val="25882673"/>
    <w:rsid w:val="258B55EA"/>
    <w:rsid w:val="25A64C92"/>
    <w:rsid w:val="25B17108"/>
    <w:rsid w:val="25C028B4"/>
    <w:rsid w:val="25D14494"/>
    <w:rsid w:val="25E25E1D"/>
    <w:rsid w:val="25F00525"/>
    <w:rsid w:val="25F61C67"/>
    <w:rsid w:val="25FA451E"/>
    <w:rsid w:val="260236E8"/>
    <w:rsid w:val="26150217"/>
    <w:rsid w:val="261F38DD"/>
    <w:rsid w:val="265579A6"/>
    <w:rsid w:val="266E1BED"/>
    <w:rsid w:val="26701FF3"/>
    <w:rsid w:val="268B45A7"/>
    <w:rsid w:val="268E27E4"/>
    <w:rsid w:val="26A11CCC"/>
    <w:rsid w:val="26A51461"/>
    <w:rsid w:val="26A54FB2"/>
    <w:rsid w:val="26A9364E"/>
    <w:rsid w:val="26BD49DF"/>
    <w:rsid w:val="26C8461C"/>
    <w:rsid w:val="26D24959"/>
    <w:rsid w:val="26DE0ADF"/>
    <w:rsid w:val="26ED706D"/>
    <w:rsid w:val="270D75FE"/>
    <w:rsid w:val="27135C28"/>
    <w:rsid w:val="271E7498"/>
    <w:rsid w:val="272B2C33"/>
    <w:rsid w:val="27365D1F"/>
    <w:rsid w:val="2752510C"/>
    <w:rsid w:val="275E288B"/>
    <w:rsid w:val="278015AD"/>
    <w:rsid w:val="278E1A78"/>
    <w:rsid w:val="278E4DF6"/>
    <w:rsid w:val="279266BD"/>
    <w:rsid w:val="27A50133"/>
    <w:rsid w:val="27AC081D"/>
    <w:rsid w:val="27B506FD"/>
    <w:rsid w:val="27C37ACE"/>
    <w:rsid w:val="27C6751B"/>
    <w:rsid w:val="27E864BA"/>
    <w:rsid w:val="27EC0358"/>
    <w:rsid w:val="27EC31B8"/>
    <w:rsid w:val="27F9003D"/>
    <w:rsid w:val="28036860"/>
    <w:rsid w:val="280A1D0C"/>
    <w:rsid w:val="2811192C"/>
    <w:rsid w:val="28263B57"/>
    <w:rsid w:val="28373243"/>
    <w:rsid w:val="284703E9"/>
    <w:rsid w:val="284D614C"/>
    <w:rsid w:val="285509E0"/>
    <w:rsid w:val="287A45D4"/>
    <w:rsid w:val="287B4ABD"/>
    <w:rsid w:val="28907CD1"/>
    <w:rsid w:val="28925224"/>
    <w:rsid w:val="289541BF"/>
    <w:rsid w:val="289B47AA"/>
    <w:rsid w:val="28A2792F"/>
    <w:rsid w:val="28A50F35"/>
    <w:rsid w:val="28A60ABE"/>
    <w:rsid w:val="28C006E7"/>
    <w:rsid w:val="28D5015B"/>
    <w:rsid w:val="28DC7D3A"/>
    <w:rsid w:val="28DD7F13"/>
    <w:rsid w:val="28E72000"/>
    <w:rsid w:val="28E81846"/>
    <w:rsid w:val="28F96D0F"/>
    <w:rsid w:val="290322DA"/>
    <w:rsid w:val="29034825"/>
    <w:rsid w:val="29235B3A"/>
    <w:rsid w:val="29255A09"/>
    <w:rsid w:val="293D2058"/>
    <w:rsid w:val="293E1630"/>
    <w:rsid w:val="2958641F"/>
    <w:rsid w:val="296543A4"/>
    <w:rsid w:val="296B209D"/>
    <w:rsid w:val="2975440E"/>
    <w:rsid w:val="29773858"/>
    <w:rsid w:val="299F630F"/>
    <w:rsid w:val="29A309A6"/>
    <w:rsid w:val="29A67D51"/>
    <w:rsid w:val="29AC3D11"/>
    <w:rsid w:val="29EB55F5"/>
    <w:rsid w:val="29F27CBB"/>
    <w:rsid w:val="2A0531CF"/>
    <w:rsid w:val="2A092AB2"/>
    <w:rsid w:val="2A2E29C2"/>
    <w:rsid w:val="2A473AAA"/>
    <w:rsid w:val="2A731E32"/>
    <w:rsid w:val="2A7E2845"/>
    <w:rsid w:val="2A9F1043"/>
    <w:rsid w:val="2AA36F32"/>
    <w:rsid w:val="2AA451EB"/>
    <w:rsid w:val="2AB71FB6"/>
    <w:rsid w:val="2AC83E1D"/>
    <w:rsid w:val="2ACE2333"/>
    <w:rsid w:val="2AD42E8E"/>
    <w:rsid w:val="2AD62F1A"/>
    <w:rsid w:val="2AE632C3"/>
    <w:rsid w:val="2AF15F83"/>
    <w:rsid w:val="2B1640E5"/>
    <w:rsid w:val="2B1B25FC"/>
    <w:rsid w:val="2B1E33CA"/>
    <w:rsid w:val="2B2341D4"/>
    <w:rsid w:val="2B2362C5"/>
    <w:rsid w:val="2B2B50DE"/>
    <w:rsid w:val="2B403B2A"/>
    <w:rsid w:val="2B4B6571"/>
    <w:rsid w:val="2B4E221F"/>
    <w:rsid w:val="2B764161"/>
    <w:rsid w:val="2B872F9B"/>
    <w:rsid w:val="2B9144FD"/>
    <w:rsid w:val="2BB15EF0"/>
    <w:rsid w:val="2BB852FB"/>
    <w:rsid w:val="2BEB7521"/>
    <w:rsid w:val="2BEF64D4"/>
    <w:rsid w:val="2BF020CA"/>
    <w:rsid w:val="2BFF0337"/>
    <w:rsid w:val="2C084A4D"/>
    <w:rsid w:val="2C090FCE"/>
    <w:rsid w:val="2C2067AD"/>
    <w:rsid w:val="2C23380E"/>
    <w:rsid w:val="2C373A99"/>
    <w:rsid w:val="2C37731C"/>
    <w:rsid w:val="2C3E306D"/>
    <w:rsid w:val="2C3F71D7"/>
    <w:rsid w:val="2C4C4F3B"/>
    <w:rsid w:val="2C6209B1"/>
    <w:rsid w:val="2C73502A"/>
    <w:rsid w:val="2C7D37B3"/>
    <w:rsid w:val="2C826748"/>
    <w:rsid w:val="2C8B4122"/>
    <w:rsid w:val="2C982A9C"/>
    <w:rsid w:val="2C983290"/>
    <w:rsid w:val="2C9A1928"/>
    <w:rsid w:val="2C9B6F7A"/>
    <w:rsid w:val="2CA56831"/>
    <w:rsid w:val="2CB0732E"/>
    <w:rsid w:val="2CDD1EB5"/>
    <w:rsid w:val="2CE61A00"/>
    <w:rsid w:val="2CEB24B4"/>
    <w:rsid w:val="2CEC1F7E"/>
    <w:rsid w:val="2CF151DA"/>
    <w:rsid w:val="2D2A2022"/>
    <w:rsid w:val="2D3C6845"/>
    <w:rsid w:val="2D4872E5"/>
    <w:rsid w:val="2D4E6117"/>
    <w:rsid w:val="2D5034E4"/>
    <w:rsid w:val="2D6176BF"/>
    <w:rsid w:val="2D6648F3"/>
    <w:rsid w:val="2D7F7F9E"/>
    <w:rsid w:val="2D8E1755"/>
    <w:rsid w:val="2D8F67FE"/>
    <w:rsid w:val="2D96285D"/>
    <w:rsid w:val="2D9A024B"/>
    <w:rsid w:val="2D9E6D21"/>
    <w:rsid w:val="2DA00203"/>
    <w:rsid w:val="2DA82AB1"/>
    <w:rsid w:val="2DD35D80"/>
    <w:rsid w:val="2DDA5FD5"/>
    <w:rsid w:val="2DE42AAB"/>
    <w:rsid w:val="2DFF5C44"/>
    <w:rsid w:val="2E03572C"/>
    <w:rsid w:val="2E0E4B9C"/>
    <w:rsid w:val="2E2547BF"/>
    <w:rsid w:val="2E3B0A0D"/>
    <w:rsid w:val="2E4327F9"/>
    <w:rsid w:val="2E4F5362"/>
    <w:rsid w:val="2E5A4452"/>
    <w:rsid w:val="2E6647A7"/>
    <w:rsid w:val="2E67723B"/>
    <w:rsid w:val="2E7E1600"/>
    <w:rsid w:val="2E834111"/>
    <w:rsid w:val="2EB16343"/>
    <w:rsid w:val="2EBA273D"/>
    <w:rsid w:val="2EBF4557"/>
    <w:rsid w:val="2ECB4CA9"/>
    <w:rsid w:val="2EF271E3"/>
    <w:rsid w:val="2EF617D7"/>
    <w:rsid w:val="2F013166"/>
    <w:rsid w:val="2F0839BD"/>
    <w:rsid w:val="2F2844B1"/>
    <w:rsid w:val="2F37683A"/>
    <w:rsid w:val="2F4B5A66"/>
    <w:rsid w:val="2F4C3A21"/>
    <w:rsid w:val="2F5E28FD"/>
    <w:rsid w:val="2F6A5179"/>
    <w:rsid w:val="2F6C138D"/>
    <w:rsid w:val="2F8335C5"/>
    <w:rsid w:val="2F9E5F1A"/>
    <w:rsid w:val="2FA774C5"/>
    <w:rsid w:val="2FD318B0"/>
    <w:rsid w:val="2FEB2519"/>
    <w:rsid w:val="30056E97"/>
    <w:rsid w:val="300A115E"/>
    <w:rsid w:val="3011493E"/>
    <w:rsid w:val="304940D8"/>
    <w:rsid w:val="305B6145"/>
    <w:rsid w:val="306563B6"/>
    <w:rsid w:val="307C5E58"/>
    <w:rsid w:val="3082094A"/>
    <w:rsid w:val="30831D94"/>
    <w:rsid w:val="308A0EE3"/>
    <w:rsid w:val="309C43D3"/>
    <w:rsid w:val="30A57535"/>
    <w:rsid w:val="30AA26AF"/>
    <w:rsid w:val="30B12143"/>
    <w:rsid w:val="30C2324E"/>
    <w:rsid w:val="30CE6CD3"/>
    <w:rsid w:val="30F3584C"/>
    <w:rsid w:val="30FE4627"/>
    <w:rsid w:val="30FE5E12"/>
    <w:rsid w:val="31036BB2"/>
    <w:rsid w:val="312F2BB5"/>
    <w:rsid w:val="31392236"/>
    <w:rsid w:val="313C683F"/>
    <w:rsid w:val="31570E00"/>
    <w:rsid w:val="31580F8B"/>
    <w:rsid w:val="316B0AD5"/>
    <w:rsid w:val="31776888"/>
    <w:rsid w:val="31867D05"/>
    <w:rsid w:val="31DE4C36"/>
    <w:rsid w:val="31EE26C8"/>
    <w:rsid w:val="31F073E9"/>
    <w:rsid w:val="31F5117A"/>
    <w:rsid w:val="323D6F4C"/>
    <w:rsid w:val="325C32C9"/>
    <w:rsid w:val="325E3C6E"/>
    <w:rsid w:val="325E57DA"/>
    <w:rsid w:val="326C0551"/>
    <w:rsid w:val="326E1937"/>
    <w:rsid w:val="32752599"/>
    <w:rsid w:val="32787286"/>
    <w:rsid w:val="327D62BB"/>
    <w:rsid w:val="32812065"/>
    <w:rsid w:val="329A6E6D"/>
    <w:rsid w:val="32A33742"/>
    <w:rsid w:val="32A373E6"/>
    <w:rsid w:val="32AB72CC"/>
    <w:rsid w:val="32B478B7"/>
    <w:rsid w:val="32C06E4D"/>
    <w:rsid w:val="32C7765E"/>
    <w:rsid w:val="32C90D24"/>
    <w:rsid w:val="32C95984"/>
    <w:rsid w:val="32CA2532"/>
    <w:rsid w:val="32D53244"/>
    <w:rsid w:val="32D74F94"/>
    <w:rsid w:val="32F43C58"/>
    <w:rsid w:val="32F95C49"/>
    <w:rsid w:val="32FA50C0"/>
    <w:rsid w:val="32FD7F32"/>
    <w:rsid w:val="330D256F"/>
    <w:rsid w:val="33186635"/>
    <w:rsid w:val="331A42E4"/>
    <w:rsid w:val="33246EEF"/>
    <w:rsid w:val="332A2043"/>
    <w:rsid w:val="33414383"/>
    <w:rsid w:val="33427BD7"/>
    <w:rsid w:val="334D5019"/>
    <w:rsid w:val="33596DF3"/>
    <w:rsid w:val="33693BB3"/>
    <w:rsid w:val="3373560D"/>
    <w:rsid w:val="33970C03"/>
    <w:rsid w:val="33994BAE"/>
    <w:rsid w:val="33AC270D"/>
    <w:rsid w:val="33D534F5"/>
    <w:rsid w:val="33D67357"/>
    <w:rsid w:val="33DB56BC"/>
    <w:rsid w:val="33DD78A5"/>
    <w:rsid w:val="33E23971"/>
    <w:rsid w:val="33E251DF"/>
    <w:rsid w:val="33E505BB"/>
    <w:rsid w:val="33EB3CEE"/>
    <w:rsid w:val="33F53B80"/>
    <w:rsid w:val="340D0E15"/>
    <w:rsid w:val="340D1CF4"/>
    <w:rsid w:val="34300220"/>
    <w:rsid w:val="345E0D8F"/>
    <w:rsid w:val="346F60D7"/>
    <w:rsid w:val="34911AF2"/>
    <w:rsid w:val="349E03F7"/>
    <w:rsid w:val="34B87A7E"/>
    <w:rsid w:val="34C9605D"/>
    <w:rsid w:val="34D17CA0"/>
    <w:rsid w:val="34E238FB"/>
    <w:rsid w:val="34E360D6"/>
    <w:rsid w:val="34F0546A"/>
    <w:rsid w:val="34F8431E"/>
    <w:rsid w:val="350A029B"/>
    <w:rsid w:val="351333BE"/>
    <w:rsid w:val="35300E1C"/>
    <w:rsid w:val="353A1928"/>
    <w:rsid w:val="353A75A4"/>
    <w:rsid w:val="3577022A"/>
    <w:rsid w:val="358F6B99"/>
    <w:rsid w:val="359E4EA2"/>
    <w:rsid w:val="35C801F8"/>
    <w:rsid w:val="35CE5D00"/>
    <w:rsid w:val="35F01EBA"/>
    <w:rsid w:val="3607649B"/>
    <w:rsid w:val="36084734"/>
    <w:rsid w:val="360D2BE9"/>
    <w:rsid w:val="361B5FFC"/>
    <w:rsid w:val="362464E4"/>
    <w:rsid w:val="36374461"/>
    <w:rsid w:val="363B44C3"/>
    <w:rsid w:val="36552839"/>
    <w:rsid w:val="366665AF"/>
    <w:rsid w:val="36693D42"/>
    <w:rsid w:val="366B28CE"/>
    <w:rsid w:val="366C16A9"/>
    <w:rsid w:val="367657E4"/>
    <w:rsid w:val="367B7C8F"/>
    <w:rsid w:val="36A858D0"/>
    <w:rsid w:val="36B9770D"/>
    <w:rsid w:val="36CA72DB"/>
    <w:rsid w:val="36E862C9"/>
    <w:rsid w:val="36F529A6"/>
    <w:rsid w:val="36F7386A"/>
    <w:rsid w:val="36FA02FA"/>
    <w:rsid w:val="372348EF"/>
    <w:rsid w:val="37354239"/>
    <w:rsid w:val="373A6E70"/>
    <w:rsid w:val="376A67E9"/>
    <w:rsid w:val="3772660A"/>
    <w:rsid w:val="379522F8"/>
    <w:rsid w:val="379C0A32"/>
    <w:rsid w:val="37B207B5"/>
    <w:rsid w:val="37C94F1E"/>
    <w:rsid w:val="37CC4F7C"/>
    <w:rsid w:val="37D42E21"/>
    <w:rsid w:val="37EE32D6"/>
    <w:rsid w:val="37FB0458"/>
    <w:rsid w:val="382B0567"/>
    <w:rsid w:val="38362970"/>
    <w:rsid w:val="38435980"/>
    <w:rsid w:val="38505A81"/>
    <w:rsid w:val="386A304E"/>
    <w:rsid w:val="386F3916"/>
    <w:rsid w:val="38726812"/>
    <w:rsid w:val="38771F7E"/>
    <w:rsid w:val="388105C1"/>
    <w:rsid w:val="3888778B"/>
    <w:rsid w:val="38B93798"/>
    <w:rsid w:val="38BC5E8B"/>
    <w:rsid w:val="38D22399"/>
    <w:rsid w:val="38D42BD8"/>
    <w:rsid w:val="38DE1A7D"/>
    <w:rsid w:val="38E75575"/>
    <w:rsid w:val="38F27BCF"/>
    <w:rsid w:val="391219B4"/>
    <w:rsid w:val="39315C44"/>
    <w:rsid w:val="3942025E"/>
    <w:rsid w:val="39425FB6"/>
    <w:rsid w:val="396D17C5"/>
    <w:rsid w:val="397C1E1E"/>
    <w:rsid w:val="397D7576"/>
    <w:rsid w:val="398E5251"/>
    <w:rsid w:val="3996012F"/>
    <w:rsid w:val="39B862E4"/>
    <w:rsid w:val="39C0105F"/>
    <w:rsid w:val="39E135D3"/>
    <w:rsid w:val="39EA1E9E"/>
    <w:rsid w:val="3A032FBE"/>
    <w:rsid w:val="3A1222B9"/>
    <w:rsid w:val="3A154486"/>
    <w:rsid w:val="3A1D3B67"/>
    <w:rsid w:val="3A296687"/>
    <w:rsid w:val="3A3146AF"/>
    <w:rsid w:val="3A482AE4"/>
    <w:rsid w:val="3A4F7213"/>
    <w:rsid w:val="3A7D0FE8"/>
    <w:rsid w:val="3A7F0D28"/>
    <w:rsid w:val="3A804B9A"/>
    <w:rsid w:val="3A8328DC"/>
    <w:rsid w:val="3A8E0733"/>
    <w:rsid w:val="3A9C74FA"/>
    <w:rsid w:val="3AAA491B"/>
    <w:rsid w:val="3AAF6ACB"/>
    <w:rsid w:val="3AB73588"/>
    <w:rsid w:val="3ABE694A"/>
    <w:rsid w:val="3ABF338F"/>
    <w:rsid w:val="3AF21641"/>
    <w:rsid w:val="3AFA6767"/>
    <w:rsid w:val="3B0F4ED1"/>
    <w:rsid w:val="3B11419E"/>
    <w:rsid w:val="3B1910F1"/>
    <w:rsid w:val="3B196D9D"/>
    <w:rsid w:val="3B1B68F3"/>
    <w:rsid w:val="3B2D76A9"/>
    <w:rsid w:val="3B371CB3"/>
    <w:rsid w:val="3B3A5239"/>
    <w:rsid w:val="3B3C4A94"/>
    <w:rsid w:val="3B567FF1"/>
    <w:rsid w:val="3B784685"/>
    <w:rsid w:val="3B7A783B"/>
    <w:rsid w:val="3B852F88"/>
    <w:rsid w:val="3B992AE7"/>
    <w:rsid w:val="3B9A4367"/>
    <w:rsid w:val="3B9C3A6D"/>
    <w:rsid w:val="3B9D352A"/>
    <w:rsid w:val="3BCC46E1"/>
    <w:rsid w:val="3BDC22A4"/>
    <w:rsid w:val="3BE60C08"/>
    <w:rsid w:val="3BE70BD5"/>
    <w:rsid w:val="3BE944DB"/>
    <w:rsid w:val="3C192B1E"/>
    <w:rsid w:val="3C1F4887"/>
    <w:rsid w:val="3C352D00"/>
    <w:rsid w:val="3C560DA8"/>
    <w:rsid w:val="3C627211"/>
    <w:rsid w:val="3C7865E5"/>
    <w:rsid w:val="3C9473DB"/>
    <w:rsid w:val="3C9549EA"/>
    <w:rsid w:val="3CA120F2"/>
    <w:rsid w:val="3CBE022C"/>
    <w:rsid w:val="3CC416E5"/>
    <w:rsid w:val="3CCB35B1"/>
    <w:rsid w:val="3CCB40C7"/>
    <w:rsid w:val="3CD51A78"/>
    <w:rsid w:val="3CD81C5C"/>
    <w:rsid w:val="3D0D6234"/>
    <w:rsid w:val="3D0F39FA"/>
    <w:rsid w:val="3D3E6789"/>
    <w:rsid w:val="3D404D73"/>
    <w:rsid w:val="3D4076DF"/>
    <w:rsid w:val="3D5C645B"/>
    <w:rsid w:val="3D6A427B"/>
    <w:rsid w:val="3D8653DC"/>
    <w:rsid w:val="3D89218A"/>
    <w:rsid w:val="3DA212CB"/>
    <w:rsid w:val="3DAA3F8F"/>
    <w:rsid w:val="3DB4091A"/>
    <w:rsid w:val="3DB5037E"/>
    <w:rsid w:val="3DBA4BEC"/>
    <w:rsid w:val="3DCF43A1"/>
    <w:rsid w:val="3DD20C07"/>
    <w:rsid w:val="3DDE0C50"/>
    <w:rsid w:val="3DF81E1B"/>
    <w:rsid w:val="3DFE6427"/>
    <w:rsid w:val="3E0368A7"/>
    <w:rsid w:val="3E0C5604"/>
    <w:rsid w:val="3E162785"/>
    <w:rsid w:val="3E2641E2"/>
    <w:rsid w:val="3E2A10A6"/>
    <w:rsid w:val="3E470BD2"/>
    <w:rsid w:val="3E52791A"/>
    <w:rsid w:val="3E587D8E"/>
    <w:rsid w:val="3E614FA0"/>
    <w:rsid w:val="3E637693"/>
    <w:rsid w:val="3E663DC7"/>
    <w:rsid w:val="3E67796F"/>
    <w:rsid w:val="3E6D0F75"/>
    <w:rsid w:val="3EBE3721"/>
    <w:rsid w:val="3ED07414"/>
    <w:rsid w:val="3ED20D85"/>
    <w:rsid w:val="3ED25272"/>
    <w:rsid w:val="3EDB59F4"/>
    <w:rsid w:val="3EFC7D9A"/>
    <w:rsid w:val="3F29681A"/>
    <w:rsid w:val="3F2A5E7B"/>
    <w:rsid w:val="3F3800BC"/>
    <w:rsid w:val="3F3B0712"/>
    <w:rsid w:val="3F402B4A"/>
    <w:rsid w:val="3F4B2585"/>
    <w:rsid w:val="3F4E44F6"/>
    <w:rsid w:val="3F4E4FAA"/>
    <w:rsid w:val="3F583571"/>
    <w:rsid w:val="3F63635A"/>
    <w:rsid w:val="3F744EE9"/>
    <w:rsid w:val="3F786788"/>
    <w:rsid w:val="3F8658DD"/>
    <w:rsid w:val="3F8A39E6"/>
    <w:rsid w:val="3F93045A"/>
    <w:rsid w:val="3F95380A"/>
    <w:rsid w:val="3FAC45B8"/>
    <w:rsid w:val="3FB359EE"/>
    <w:rsid w:val="3FB35A12"/>
    <w:rsid w:val="3FB80854"/>
    <w:rsid w:val="3FE26F15"/>
    <w:rsid w:val="3FF20512"/>
    <w:rsid w:val="3FF82684"/>
    <w:rsid w:val="3FFC606F"/>
    <w:rsid w:val="40036CE8"/>
    <w:rsid w:val="40160654"/>
    <w:rsid w:val="401B06C2"/>
    <w:rsid w:val="401D07FF"/>
    <w:rsid w:val="402D2241"/>
    <w:rsid w:val="4043747E"/>
    <w:rsid w:val="4048333D"/>
    <w:rsid w:val="40496BEB"/>
    <w:rsid w:val="408266C3"/>
    <w:rsid w:val="4097379C"/>
    <w:rsid w:val="40CF5165"/>
    <w:rsid w:val="40CF642F"/>
    <w:rsid w:val="40D6724D"/>
    <w:rsid w:val="40E03ED1"/>
    <w:rsid w:val="40E15E91"/>
    <w:rsid w:val="40E20B4E"/>
    <w:rsid w:val="4135552A"/>
    <w:rsid w:val="413C36AB"/>
    <w:rsid w:val="414E1816"/>
    <w:rsid w:val="41500AE1"/>
    <w:rsid w:val="41601164"/>
    <w:rsid w:val="41650F9C"/>
    <w:rsid w:val="417E3DFD"/>
    <w:rsid w:val="418A220E"/>
    <w:rsid w:val="41A05EB7"/>
    <w:rsid w:val="41A262F2"/>
    <w:rsid w:val="41AA2E44"/>
    <w:rsid w:val="41B81C3A"/>
    <w:rsid w:val="41C15A00"/>
    <w:rsid w:val="41C77154"/>
    <w:rsid w:val="41D179BE"/>
    <w:rsid w:val="41E92B8D"/>
    <w:rsid w:val="41EA1401"/>
    <w:rsid w:val="42043906"/>
    <w:rsid w:val="421107CE"/>
    <w:rsid w:val="421C2A9B"/>
    <w:rsid w:val="42233615"/>
    <w:rsid w:val="422F6EA6"/>
    <w:rsid w:val="423017DA"/>
    <w:rsid w:val="4250579A"/>
    <w:rsid w:val="42537C25"/>
    <w:rsid w:val="426C0506"/>
    <w:rsid w:val="42A164C8"/>
    <w:rsid w:val="42A930FC"/>
    <w:rsid w:val="42A96C58"/>
    <w:rsid w:val="42B33463"/>
    <w:rsid w:val="42C0772A"/>
    <w:rsid w:val="42C771E7"/>
    <w:rsid w:val="42CC733E"/>
    <w:rsid w:val="42D26D29"/>
    <w:rsid w:val="42D9753D"/>
    <w:rsid w:val="42F94316"/>
    <w:rsid w:val="430318DA"/>
    <w:rsid w:val="430D3E90"/>
    <w:rsid w:val="43135E01"/>
    <w:rsid w:val="431451E4"/>
    <w:rsid w:val="43145893"/>
    <w:rsid w:val="43200645"/>
    <w:rsid w:val="43232629"/>
    <w:rsid w:val="433003E6"/>
    <w:rsid w:val="43363F25"/>
    <w:rsid w:val="433C1851"/>
    <w:rsid w:val="43563777"/>
    <w:rsid w:val="43577EA9"/>
    <w:rsid w:val="435B74F0"/>
    <w:rsid w:val="436316C7"/>
    <w:rsid w:val="43AD2714"/>
    <w:rsid w:val="43BB314E"/>
    <w:rsid w:val="43D332CE"/>
    <w:rsid w:val="43D610FE"/>
    <w:rsid w:val="43F100B6"/>
    <w:rsid w:val="440B052F"/>
    <w:rsid w:val="440B6266"/>
    <w:rsid w:val="441C4A00"/>
    <w:rsid w:val="442567B2"/>
    <w:rsid w:val="44336631"/>
    <w:rsid w:val="44345AE4"/>
    <w:rsid w:val="44775660"/>
    <w:rsid w:val="44784B34"/>
    <w:rsid w:val="44806045"/>
    <w:rsid w:val="449B412B"/>
    <w:rsid w:val="44A215A9"/>
    <w:rsid w:val="44AF3CFF"/>
    <w:rsid w:val="44C540A2"/>
    <w:rsid w:val="44C96F05"/>
    <w:rsid w:val="44D2767A"/>
    <w:rsid w:val="44D34197"/>
    <w:rsid w:val="44D501D8"/>
    <w:rsid w:val="44E30442"/>
    <w:rsid w:val="44E815AE"/>
    <w:rsid w:val="44EB3706"/>
    <w:rsid w:val="450915D5"/>
    <w:rsid w:val="4511711A"/>
    <w:rsid w:val="45462836"/>
    <w:rsid w:val="455F4379"/>
    <w:rsid w:val="45635829"/>
    <w:rsid w:val="456E1490"/>
    <w:rsid w:val="45760BD7"/>
    <w:rsid w:val="45811A38"/>
    <w:rsid w:val="4592684F"/>
    <w:rsid w:val="45976DEC"/>
    <w:rsid w:val="459A6EDA"/>
    <w:rsid w:val="459B0EC4"/>
    <w:rsid w:val="45A17F3F"/>
    <w:rsid w:val="45AD34DF"/>
    <w:rsid w:val="45CC0FA9"/>
    <w:rsid w:val="45CE358B"/>
    <w:rsid w:val="45E30CC2"/>
    <w:rsid w:val="46034557"/>
    <w:rsid w:val="46163AB8"/>
    <w:rsid w:val="46182B8E"/>
    <w:rsid w:val="46474ACD"/>
    <w:rsid w:val="465D0E9E"/>
    <w:rsid w:val="465D7E17"/>
    <w:rsid w:val="46697694"/>
    <w:rsid w:val="466C06C8"/>
    <w:rsid w:val="4682186F"/>
    <w:rsid w:val="4687029B"/>
    <w:rsid w:val="46983C6A"/>
    <w:rsid w:val="46CA04B3"/>
    <w:rsid w:val="46CC5C56"/>
    <w:rsid w:val="46D90034"/>
    <w:rsid w:val="46F1614B"/>
    <w:rsid w:val="470A71FF"/>
    <w:rsid w:val="471C6368"/>
    <w:rsid w:val="47280DCC"/>
    <w:rsid w:val="472F1C00"/>
    <w:rsid w:val="47400B2C"/>
    <w:rsid w:val="47411377"/>
    <w:rsid w:val="4747458C"/>
    <w:rsid w:val="474D17B5"/>
    <w:rsid w:val="475335CD"/>
    <w:rsid w:val="475D1EE0"/>
    <w:rsid w:val="476C64EB"/>
    <w:rsid w:val="4776054C"/>
    <w:rsid w:val="4777325F"/>
    <w:rsid w:val="47910A69"/>
    <w:rsid w:val="47927509"/>
    <w:rsid w:val="479E3C8F"/>
    <w:rsid w:val="47A93E6F"/>
    <w:rsid w:val="47B84838"/>
    <w:rsid w:val="47BB36B5"/>
    <w:rsid w:val="47D912BF"/>
    <w:rsid w:val="47EA7812"/>
    <w:rsid w:val="47FD5A4C"/>
    <w:rsid w:val="480C5B3E"/>
    <w:rsid w:val="481E3096"/>
    <w:rsid w:val="4824696D"/>
    <w:rsid w:val="482E0134"/>
    <w:rsid w:val="48414BE5"/>
    <w:rsid w:val="486024AF"/>
    <w:rsid w:val="48651C24"/>
    <w:rsid w:val="486B425D"/>
    <w:rsid w:val="487D3747"/>
    <w:rsid w:val="487D4561"/>
    <w:rsid w:val="48A11EB3"/>
    <w:rsid w:val="48A35333"/>
    <w:rsid w:val="48AB6B97"/>
    <w:rsid w:val="48C80FB7"/>
    <w:rsid w:val="48D408B2"/>
    <w:rsid w:val="48D9445F"/>
    <w:rsid w:val="48E56CB0"/>
    <w:rsid w:val="48F5643E"/>
    <w:rsid w:val="49081A81"/>
    <w:rsid w:val="491A0614"/>
    <w:rsid w:val="4926557E"/>
    <w:rsid w:val="494729C5"/>
    <w:rsid w:val="49593F65"/>
    <w:rsid w:val="49637D74"/>
    <w:rsid w:val="4966627F"/>
    <w:rsid w:val="497633B6"/>
    <w:rsid w:val="4976775B"/>
    <w:rsid w:val="498D0A27"/>
    <w:rsid w:val="49946F95"/>
    <w:rsid w:val="49B90676"/>
    <w:rsid w:val="49BF5124"/>
    <w:rsid w:val="49C24798"/>
    <w:rsid w:val="49C44176"/>
    <w:rsid w:val="49C47B54"/>
    <w:rsid w:val="49D001CF"/>
    <w:rsid w:val="49D3228B"/>
    <w:rsid w:val="49E16245"/>
    <w:rsid w:val="49FE7D22"/>
    <w:rsid w:val="4A0B23CA"/>
    <w:rsid w:val="4A0F4F2D"/>
    <w:rsid w:val="4A2F228A"/>
    <w:rsid w:val="4A2F6384"/>
    <w:rsid w:val="4A3226A6"/>
    <w:rsid w:val="4A3868F2"/>
    <w:rsid w:val="4A396B13"/>
    <w:rsid w:val="4A6718D3"/>
    <w:rsid w:val="4A6A664B"/>
    <w:rsid w:val="4A6C329A"/>
    <w:rsid w:val="4A6F0044"/>
    <w:rsid w:val="4A783AE0"/>
    <w:rsid w:val="4A9B12B7"/>
    <w:rsid w:val="4AA03036"/>
    <w:rsid w:val="4AB77D08"/>
    <w:rsid w:val="4ADB319A"/>
    <w:rsid w:val="4ADB7C24"/>
    <w:rsid w:val="4AE05460"/>
    <w:rsid w:val="4AE42934"/>
    <w:rsid w:val="4AE74B0B"/>
    <w:rsid w:val="4AF22CE6"/>
    <w:rsid w:val="4AFA7E1A"/>
    <w:rsid w:val="4B1011C5"/>
    <w:rsid w:val="4B1256DB"/>
    <w:rsid w:val="4B1F4A2F"/>
    <w:rsid w:val="4B306FAE"/>
    <w:rsid w:val="4B3C1891"/>
    <w:rsid w:val="4B4E621C"/>
    <w:rsid w:val="4B5300A9"/>
    <w:rsid w:val="4B552AA6"/>
    <w:rsid w:val="4B61480B"/>
    <w:rsid w:val="4B6F4227"/>
    <w:rsid w:val="4B713269"/>
    <w:rsid w:val="4B752502"/>
    <w:rsid w:val="4B875174"/>
    <w:rsid w:val="4B893A67"/>
    <w:rsid w:val="4B91290A"/>
    <w:rsid w:val="4B9831B2"/>
    <w:rsid w:val="4B9F5A08"/>
    <w:rsid w:val="4BAB14CE"/>
    <w:rsid w:val="4BAC492F"/>
    <w:rsid w:val="4BB439A7"/>
    <w:rsid w:val="4BF15D5B"/>
    <w:rsid w:val="4BF16441"/>
    <w:rsid w:val="4C155098"/>
    <w:rsid w:val="4C1B17AB"/>
    <w:rsid w:val="4C263C01"/>
    <w:rsid w:val="4C2E4D00"/>
    <w:rsid w:val="4C317EE9"/>
    <w:rsid w:val="4C327CC5"/>
    <w:rsid w:val="4C383A1D"/>
    <w:rsid w:val="4C41404E"/>
    <w:rsid w:val="4C464E12"/>
    <w:rsid w:val="4C567DB9"/>
    <w:rsid w:val="4C6A7458"/>
    <w:rsid w:val="4C824411"/>
    <w:rsid w:val="4C8675E6"/>
    <w:rsid w:val="4C886D6A"/>
    <w:rsid w:val="4C8B149D"/>
    <w:rsid w:val="4CBB27E7"/>
    <w:rsid w:val="4CC02820"/>
    <w:rsid w:val="4CC90CEE"/>
    <w:rsid w:val="4CE578DD"/>
    <w:rsid w:val="4CEA11A7"/>
    <w:rsid w:val="4CF42C29"/>
    <w:rsid w:val="4D014B0B"/>
    <w:rsid w:val="4D01600E"/>
    <w:rsid w:val="4D0F3478"/>
    <w:rsid w:val="4D170923"/>
    <w:rsid w:val="4D1955F9"/>
    <w:rsid w:val="4D2A5C8B"/>
    <w:rsid w:val="4D2C295F"/>
    <w:rsid w:val="4D470362"/>
    <w:rsid w:val="4D4F6E60"/>
    <w:rsid w:val="4D5A0159"/>
    <w:rsid w:val="4D5B55C1"/>
    <w:rsid w:val="4D755573"/>
    <w:rsid w:val="4D9A0378"/>
    <w:rsid w:val="4DA1415C"/>
    <w:rsid w:val="4DA259C2"/>
    <w:rsid w:val="4DB92B07"/>
    <w:rsid w:val="4DC7416A"/>
    <w:rsid w:val="4DC966DD"/>
    <w:rsid w:val="4E0B545D"/>
    <w:rsid w:val="4E271BCD"/>
    <w:rsid w:val="4E3251BF"/>
    <w:rsid w:val="4E3757B3"/>
    <w:rsid w:val="4E3D0DC1"/>
    <w:rsid w:val="4E4057CE"/>
    <w:rsid w:val="4E4B10C7"/>
    <w:rsid w:val="4E4E6B10"/>
    <w:rsid w:val="4E516516"/>
    <w:rsid w:val="4E524648"/>
    <w:rsid w:val="4E551942"/>
    <w:rsid w:val="4E5A4A6E"/>
    <w:rsid w:val="4E7B1FCD"/>
    <w:rsid w:val="4E7D7917"/>
    <w:rsid w:val="4E9066F0"/>
    <w:rsid w:val="4EA00746"/>
    <w:rsid w:val="4EAC070E"/>
    <w:rsid w:val="4ECD3E92"/>
    <w:rsid w:val="4F061705"/>
    <w:rsid w:val="4F08721A"/>
    <w:rsid w:val="4F112871"/>
    <w:rsid w:val="4F234396"/>
    <w:rsid w:val="4F48489C"/>
    <w:rsid w:val="4F5523E2"/>
    <w:rsid w:val="4F5C78E8"/>
    <w:rsid w:val="4F837F80"/>
    <w:rsid w:val="4F844556"/>
    <w:rsid w:val="4F9D6DAE"/>
    <w:rsid w:val="4FA45ADD"/>
    <w:rsid w:val="4FE70635"/>
    <w:rsid w:val="4FFE5FC9"/>
    <w:rsid w:val="5013686C"/>
    <w:rsid w:val="501D641E"/>
    <w:rsid w:val="502439DB"/>
    <w:rsid w:val="5031767A"/>
    <w:rsid w:val="50365FA1"/>
    <w:rsid w:val="503B2C0F"/>
    <w:rsid w:val="503B5C81"/>
    <w:rsid w:val="50406436"/>
    <w:rsid w:val="504615A2"/>
    <w:rsid w:val="504E10CD"/>
    <w:rsid w:val="505E1FF8"/>
    <w:rsid w:val="506557EA"/>
    <w:rsid w:val="506C277D"/>
    <w:rsid w:val="508F3EEB"/>
    <w:rsid w:val="50AB43A9"/>
    <w:rsid w:val="50F23CDB"/>
    <w:rsid w:val="51056702"/>
    <w:rsid w:val="51185ECD"/>
    <w:rsid w:val="51607E2B"/>
    <w:rsid w:val="5164206C"/>
    <w:rsid w:val="51652D74"/>
    <w:rsid w:val="516B0FA9"/>
    <w:rsid w:val="516C2331"/>
    <w:rsid w:val="517D1F51"/>
    <w:rsid w:val="518E7336"/>
    <w:rsid w:val="51926775"/>
    <w:rsid w:val="519504B5"/>
    <w:rsid w:val="519B1DEA"/>
    <w:rsid w:val="51A966B7"/>
    <w:rsid w:val="51AB20D6"/>
    <w:rsid w:val="51AC6740"/>
    <w:rsid w:val="51AE5717"/>
    <w:rsid w:val="51B20896"/>
    <w:rsid w:val="51B558E1"/>
    <w:rsid w:val="51D13C65"/>
    <w:rsid w:val="51D242A6"/>
    <w:rsid w:val="51D64BCF"/>
    <w:rsid w:val="51DC11EC"/>
    <w:rsid w:val="51EA244E"/>
    <w:rsid w:val="51F975AE"/>
    <w:rsid w:val="521900C2"/>
    <w:rsid w:val="52266449"/>
    <w:rsid w:val="522C2404"/>
    <w:rsid w:val="52362059"/>
    <w:rsid w:val="52472FB7"/>
    <w:rsid w:val="525C6250"/>
    <w:rsid w:val="52627DAB"/>
    <w:rsid w:val="526A0045"/>
    <w:rsid w:val="526A5F7D"/>
    <w:rsid w:val="526B0096"/>
    <w:rsid w:val="52715451"/>
    <w:rsid w:val="527B6562"/>
    <w:rsid w:val="528233AA"/>
    <w:rsid w:val="528D44B8"/>
    <w:rsid w:val="52906258"/>
    <w:rsid w:val="52947A8C"/>
    <w:rsid w:val="529E74FD"/>
    <w:rsid w:val="52B648C1"/>
    <w:rsid w:val="52BF2AAB"/>
    <w:rsid w:val="52CF190D"/>
    <w:rsid w:val="52D47D21"/>
    <w:rsid w:val="52D739C5"/>
    <w:rsid w:val="52D95715"/>
    <w:rsid w:val="52EF35A9"/>
    <w:rsid w:val="530D4930"/>
    <w:rsid w:val="53236EA9"/>
    <w:rsid w:val="5328143F"/>
    <w:rsid w:val="53287732"/>
    <w:rsid w:val="5343734A"/>
    <w:rsid w:val="5345280D"/>
    <w:rsid w:val="534F15BC"/>
    <w:rsid w:val="535C0054"/>
    <w:rsid w:val="536E5901"/>
    <w:rsid w:val="53743D60"/>
    <w:rsid w:val="537F7838"/>
    <w:rsid w:val="538D1FA9"/>
    <w:rsid w:val="53AD5AEA"/>
    <w:rsid w:val="53B668DA"/>
    <w:rsid w:val="53BE2040"/>
    <w:rsid w:val="53D84547"/>
    <w:rsid w:val="53E461FE"/>
    <w:rsid w:val="54035A81"/>
    <w:rsid w:val="541E64B2"/>
    <w:rsid w:val="542E3461"/>
    <w:rsid w:val="54550BE1"/>
    <w:rsid w:val="547406A5"/>
    <w:rsid w:val="547A54E6"/>
    <w:rsid w:val="547C28F9"/>
    <w:rsid w:val="549F5F6A"/>
    <w:rsid w:val="54A3401C"/>
    <w:rsid w:val="54A454D1"/>
    <w:rsid w:val="54AC38C4"/>
    <w:rsid w:val="54B003AC"/>
    <w:rsid w:val="54C55B73"/>
    <w:rsid w:val="54CA0AEC"/>
    <w:rsid w:val="54CE04D2"/>
    <w:rsid w:val="54D80A75"/>
    <w:rsid w:val="54D97DDD"/>
    <w:rsid w:val="54E90CC9"/>
    <w:rsid w:val="54F87DA9"/>
    <w:rsid w:val="55012924"/>
    <w:rsid w:val="55021394"/>
    <w:rsid w:val="550546CA"/>
    <w:rsid w:val="550E4D97"/>
    <w:rsid w:val="55151345"/>
    <w:rsid w:val="553251AD"/>
    <w:rsid w:val="55480552"/>
    <w:rsid w:val="55571538"/>
    <w:rsid w:val="556F3D31"/>
    <w:rsid w:val="557A29E6"/>
    <w:rsid w:val="55AB1843"/>
    <w:rsid w:val="55AF1B1C"/>
    <w:rsid w:val="55B65CD6"/>
    <w:rsid w:val="55BB69B5"/>
    <w:rsid w:val="55BD684B"/>
    <w:rsid w:val="55C27F63"/>
    <w:rsid w:val="55C45E2B"/>
    <w:rsid w:val="55CF4619"/>
    <w:rsid w:val="55D84F3C"/>
    <w:rsid w:val="56051E63"/>
    <w:rsid w:val="560F31FF"/>
    <w:rsid w:val="561E0534"/>
    <w:rsid w:val="56332FB1"/>
    <w:rsid w:val="563B1A0D"/>
    <w:rsid w:val="563F76CE"/>
    <w:rsid w:val="564E3947"/>
    <w:rsid w:val="565250AC"/>
    <w:rsid w:val="56585F69"/>
    <w:rsid w:val="5670500A"/>
    <w:rsid w:val="567A473C"/>
    <w:rsid w:val="569727F3"/>
    <w:rsid w:val="56A60776"/>
    <w:rsid w:val="56A725B8"/>
    <w:rsid w:val="56AA4F5F"/>
    <w:rsid w:val="56B2378D"/>
    <w:rsid w:val="56C04A8C"/>
    <w:rsid w:val="56C41E5B"/>
    <w:rsid w:val="56CB6D85"/>
    <w:rsid w:val="56D24578"/>
    <w:rsid w:val="56F1142A"/>
    <w:rsid w:val="56F57B83"/>
    <w:rsid w:val="570B3523"/>
    <w:rsid w:val="570C10BF"/>
    <w:rsid w:val="57304716"/>
    <w:rsid w:val="573544B2"/>
    <w:rsid w:val="573653B0"/>
    <w:rsid w:val="573B0FF3"/>
    <w:rsid w:val="575040A2"/>
    <w:rsid w:val="575C242C"/>
    <w:rsid w:val="576B0C73"/>
    <w:rsid w:val="578431BC"/>
    <w:rsid w:val="57AF0E5C"/>
    <w:rsid w:val="57B13710"/>
    <w:rsid w:val="57DD568D"/>
    <w:rsid w:val="580A737F"/>
    <w:rsid w:val="580E36D4"/>
    <w:rsid w:val="58400F79"/>
    <w:rsid w:val="58402432"/>
    <w:rsid w:val="58442716"/>
    <w:rsid w:val="5847182C"/>
    <w:rsid w:val="58495011"/>
    <w:rsid w:val="584B3B84"/>
    <w:rsid w:val="58501320"/>
    <w:rsid w:val="586736B1"/>
    <w:rsid w:val="586D65EA"/>
    <w:rsid w:val="586F5D2E"/>
    <w:rsid w:val="587D13BE"/>
    <w:rsid w:val="589658F5"/>
    <w:rsid w:val="589D323C"/>
    <w:rsid w:val="58A03951"/>
    <w:rsid w:val="58A13124"/>
    <w:rsid w:val="58A747CF"/>
    <w:rsid w:val="58B05FA8"/>
    <w:rsid w:val="58BC1AC8"/>
    <w:rsid w:val="58CC01A0"/>
    <w:rsid w:val="58CC5E6D"/>
    <w:rsid w:val="58D14FD7"/>
    <w:rsid w:val="58D2000A"/>
    <w:rsid w:val="58E77F19"/>
    <w:rsid w:val="58FC1D80"/>
    <w:rsid w:val="59012794"/>
    <w:rsid w:val="59061951"/>
    <w:rsid w:val="59097FF9"/>
    <w:rsid w:val="59182BDF"/>
    <w:rsid w:val="592147DB"/>
    <w:rsid w:val="592D4FD1"/>
    <w:rsid w:val="593644C3"/>
    <w:rsid w:val="59386042"/>
    <w:rsid w:val="59421300"/>
    <w:rsid w:val="59536CB6"/>
    <w:rsid w:val="595E182C"/>
    <w:rsid w:val="595F72AE"/>
    <w:rsid w:val="59637709"/>
    <w:rsid w:val="59666298"/>
    <w:rsid w:val="596C42ED"/>
    <w:rsid w:val="598F7C3F"/>
    <w:rsid w:val="59927FEE"/>
    <w:rsid w:val="599810A1"/>
    <w:rsid w:val="59AD2EE7"/>
    <w:rsid w:val="59B26E7E"/>
    <w:rsid w:val="59BB377A"/>
    <w:rsid w:val="59BB4A94"/>
    <w:rsid w:val="59BE0764"/>
    <w:rsid w:val="59DD085C"/>
    <w:rsid w:val="59DD6B5A"/>
    <w:rsid w:val="59EB5B5B"/>
    <w:rsid w:val="5A110BB4"/>
    <w:rsid w:val="5A3966BC"/>
    <w:rsid w:val="5A5A4FB0"/>
    <w:rsid w:val="5A5B2AD6"/>
    <w:rsid w:val="5A5E6E64"/>
    <w:rsid w:val="5A6B174D"/>
    <w:rsid w:val="5A6F70F5"/>
    <w:rsid w:val="5A712973"/>
    <w:rsid w:val="5A7D1893"/>
    <w:rsid w:val="5A8453F7"/>
    <w:rsid w:val="5A8977F9"/>
    <w:rsid w:val="5A982388"/>
    <w:rsid w:val="5AA54579"/>
    <w:rsid w:val="5ABD553F"/>
    <w:rsid w:val="5AC57377"/>
    <w:rsid w:val="5ACA59F9"/>
    <w:rsid w:val="5ACD2730"/>
    <w:rsid w:val="5ACE057E"/>
    <w:rsid w:val="5AD9194A"/>
    <w:rsid w:val="5AD92379"/>
    <w:rsid w:val="5AF65560"/>
    <w:rsid w:val="5AFF62E9"/>
    <w:rsid w:val="5B1A5B33"/>
    <w:rsid w:val="5B3D683F"/>
    <w:rsid w:val="5B472D67"/>
    <w:rsid w:val="5B475749"/>
    <w:rsid w:val="5B4B25C5"/>
    <w:rsid w:val="5B4D6AD9"/>
    <w:rsid w:val="5B4E607B"/>
    <w:rsid w:val="5B596679"/>
    <w:rsid w:val="5B642F30"/>
    <w:rsid w:val="5B7C71A8"/>
    <w:rsid w:val="5B83263C"/>
    <w:rsid w:val="5BB23C60"/>
    <w:rsid w:val="5BBF69A9"/>
    <w:rsid w:val="5BC61F10"/>
    <w:rsid w:val="5BE4354C"/>
    <w:rsid w:val="5BEC315F"/>
    <w:rsid w:val="5BF07F0D"/>
    <w:rsid w:val="5C017881"/>
    <w:rsid w:val="5C130823"/>
    <w:rsid w:val="5C24410A"/>
    <w:rsid w:val="5C541FCB"/>
    <w:rsid w:val="5C597867"/>
    <w:rsid w:val="5C7F54B6"/>
    <w:rsid w:val="5C826EE6"/>
    <w:rsid w:val="5C945C64"/>
    <w:rsid w:val="5C9F314E"/>
    <w:rsid w:val="5CA76571"/>
    <w:rsid w:val="5CAC022B"/>
    <w:rsid w:val="5CBB2533"/>
    <w:rsid w:val="5CC833DF"/>
    <w:rsid w:val="5CDB71E4"/>
    <w:rsid w:val="5CF07990"/>
    <w:rsid w:val="5CFD7E74"/>
    <w:rsid w:val="5D06471A"/>
    <w:rsid w:val="5D084259"/>
    <w:rsid w:val="5D0905C7"/>
    <w:rsid w:val="5D1F603D"/>
    <w:rsid w:val="5D222382"/>
    <w:rsid w:val="5D431218"/>
    <w:rsid w:val="5D4361AE"/>
    <w:rsid w:val="5D526D33"/>
    <w:rsid w:val="5D5E2B0C"/>
    <w:rsid w:val="5D8120CB"/>
    <w:rsid w:val="5D896C46"/>
    <w:rsid w:val="5D936056"/>
    <w:rsid w:val="5DB55164"/>
    <w:rsid w:val="5DD51587"/>
    <w:rsid w:val="5DDE09BB"/>
    <w:rsid w:val="5DE07D5D"/>
    <w:rsid w:val="5DE54B90"/>
    <w:rsid w:val="5E072977"/>
    <w:rsid w:val="5E07481E"/>
    <w:rsid w:val="5E25629E"/>
    <w:rsid w:val="5E631F59"/>
    <w:rsid w:val="5E6D1EF9"/>
    <w:rsid w:val="5EA23F12"/>
    <w:rsid w:val="5EBA41F7"/>
    <w:rsid w:val="5EC01983"/>
    <w:rsid w:val="5EC146B2"/>
    <w:rsid w:val="5EC5709D"/>
    <w:rsid w:val="5ED94AAC"/>
    <w:rsid w:val="5EEA6463"/>
    <w:rsid w:val="5F08263B"/>
    <w:rsid w:val="5F156E8F"/>
    <w:rsid w:val="5F3D2E2B"/>
    <w:rsid w:val="5F4255F2"/>
    <w:rsid w:val="5F5F4F50"/>
    <w:rsid w:val="5F6E72CA"/>
    <w:rsid w:val="5F715441"/>
    <w:rsid w:val="5F7E3C6E"/>
    <w:rsid w:val="5FB304E2"/>
    <w:rsid w:val="5FC01D6D"/>
    <w:rsid w:val="5FC92106"/>
    <w:rsid w:val="5FC9660B"/>
    <w:rsid w:val="5FCB523A"/>
    <w:rsid w:val="5FD72DFF"/>
    <w:rsid w:val="5FE34A85"/>
    <w:rsid w:val="5FEA46E0"/>
    <w:rsid w:val="5FF655F4"/>
    <w:rsid w:val="5FFD6D65"/>
    <w:rsid w:val="5FFF17E9"/>
    <w:rsid w:val="6014175D"/>
    <w:rsid w:val="60506679"/>
    <w:rsid w:val="60514A1D"/>
    <w:rsid w:val="605A076B"/>
    <w:rsid w:val="6075743F"/>
    <w:rsid w:val="607D18D9"/>
    <w:rsid w:val="60A533E5"/>
    <w:rsid w:val="60A854C1"/>
    <w:rsid w:val="60C864D5"/>
    <w:rsid w:val="60CC7C8F"/>
    <w:rsid w:val="60D76AF0"/>
    <w:rsid w:val="60DA29A7"/>
    <w:rsid w:val="60EC092C"/>
    <w:rsid w:val="60F72466"/>
    <w:rsid w:val="60FC0089"/>
    <w:rsid w:val="60FF4431"/>
    <w:rsid w:val="611068F8"/>
    <w:rsid w:val="611F3DAF"/>
    <w:rsid w:val="61223193"/>
    <w:rsid w:val="61265BEC"/>
    <w:rsid w:val="61416DE8"/>
    <w:rsid w:val="616557BB"/>
    <w:rsid w:val="61664A2E"/>
    <w:rsid w:val="61A60ADB"/>
    <w:rsid w:val="61A70D8D"/>
    <w:rsid w:val="61A73945"/>
    <w:rsid w:val="61AA6941"/>
    <w:rsid w:val="61B5438E"/>
    <w:rsid w:val="61B92F7F"/>
    <w:rsid w:val="61D37204"/>
    <w:rsid w:val="61FE7C46"/>
    <w:rsid w:val="62246B24"/>
    <w:rsid w:val="62251304"/>
    <w:rsid w:val="623A648D"/>
    <w:rsid w:val="624D1127"/>
    <w:rsid w:val="6254107B"/>
    <w:rsid w:val="62562B3B"/>
    <w:rsid w:val="62593FAC"/>
    <w:rsid w:val="62802E43"/>
    <w:rsid w:val="628B340D"/>
    <w:rsid w:val="62957C63"/>
    <w:rsid w:val="62A06B46"/>
    <w:rsid w:val="62A8498D"/>
    <w:rsid w:val="62A92B7B"/>
    <w:rsid w:val="62A97EE8"/>
    <w:rsid w:val="62B17737"/>
    <w:rsid w:val="62B4674D"/>
    <w:rsid w:val="62BA08E7"/>
    <w:rsid w:val="62C5014D"/>
    <w:rsid w:val="62DE2131"/>
    <w:rsid w:val="63165E53"/>
    <w:rsid w:val="63301D3E"/>
    <w:rsid w:val="633D546F"/>
    <w:rsid w:val="63470C00"/>
    <w:rsid w:val="635950BF"/>
    <w:rsid w:val="635C2B15"/>
    <w:rsid w:val="63692AFE"/>
    <w:rsid w:val="63750CFB"/>
    <w:rsid w:val="638110F3"/>
    <w:rsid w:val="63B079EF"/>
    <w:rsid w:val="63C17F31"/>
    <w:rsid w:val="63C705E7"/>
    <w:rsid w:val="63C77A14"/>
    <w:rsid w:val="63CF313F"/>
    <w:rsid w:val="63E94157"/>
    <w:rsid w:val="63F53504"/>
    <w:rsid w:val="63F73DCB"/>
    <w:rsid w:val="63F85475"/>
    <w:rsid w:val="63FF09DB"/>
    <w:rsid w:val="640C1AB8"/>
    <w:rsid w:val="640F17B5"/>
    <w:rsid w:val="641C047A"/>
    <w:rsid w:val="64536109"/>
    <w:rsid w:val="6459667A"/>
    <w:rsid w:val="64747E15"/>
    <w:rsid w:val="648768A2"/>
    <w:rsid w:val="648A14D6"/>
    <w:rsid w:val="648C2AFC"/>
    <w:rsid w:val="64906E31"/>
    <w:rsid w:val="64985485"/>
    <w:rsid w:val="64A93F32"/>
    <w:rsid w:val="64A943F6"/>
    <w:rsid w:val="64AA535B"/>
    <w:rsid w:val="64AF3F62"/>
    <w:rsid w:val="64AF4728"/>
    <w:rsid w:val="64B97A50"/>
    <w:rsid w:val="64C4183F"/>
    <w:rsid w:val="65045462"/>
    <w:rsid w:val="650869D1"/>
    <w:rsid w:val="65200BA4"/>
    <w:rsid w:val="65261427"/>
    <w:rsid w:val="652C7549"/>
    <w:rsid w:val="652D4365"/>
    <w:rsid w:val="654939E3"/>
    <w:rsid w:val="654F1AE3"/>
    <w:rsid w:val="657D49A3"/>
    <w:rsid w:val="658D1F97"/>
    <w:rsid w:val="658E3D26"/>
    <w:rsid w:val="659854C3"/>
    <w:rsid w:val="65A82464"/>
    <w:rsid w:val="65B8384E"/>
    <w:rsid w:val="65BF59C1"/>
    <w:rsid w:val="65CC201A"/>
    <w:rsid w:val="65EC3F7E"/>
    <w:rsid w:val="65F345B7"/>
    <w:rsid w:val="661239E7"/>
    <w:rsid w:val="66292C29"/>
    <w:rsid w:val="663C13DB"/>
    <w:rsid w:val="66456B14"/>
    <w:rsid w:val="667031A6"/>
    <w:rsid w:val="66787822"/>
    <w:rsid w:val="668533B4"/>
    <w:rsid w:val="669A7F65"/>
    <w:rsid w:val="66A12093"/>
    <w:rsid w:val="66C80D5D"/>
    <w:rsid w:val="66CA62BE"/>
    <w:rsid w:val="66EE1159"/>
    <w:rsid w:val="66FF121E"/>
    <w:rsid w:val="670E2E36"/>
    <w:rsid w:val="671C1DDC"/>
    <w:rsid w:val="673A2440"/>
    <w:rsid w:val="674A4086"/>
    <w:rsid w:val="67503FFA"/>
    <w:rsid w:val="67631BAC"/>
    <w:rsid w:val="67655928"/>
    <w:rsid w:val="67792320"/>
    <w:rsid w:val="677A1B63"/>
    <w:rsid w:val="677B6455"/>
    <w:rsid w:val="67A97CC0"/>
    <w:rsid w:val="67B35CFF"/>
    <w:rsid w:val="67C038E7"/>
    <w:rsid w:val="67C419E3"/>
    <w:rsid w:val="67CA2D54"/>
    <w:rsid w:val="67DD3537"/>
    <w:rsid w:val="67ED5E0F"/>
    <w:rsid w:val="68193452"/>
    <w:rsid w:val="683B5AE0"/>
    <w:rsid w:val="684D79C2"/>
    <w:rsid w:val="686D04B8"/>
    <w:rsid w:val="686D0E69"/>
    <w:rsid w:val="687B4C9E"/>
    <w:rsid w:val="68A55F52"/>
    <w:rsid w:val="68A77392"/>
    <w:rsid w:val="68A77B3B"/>
    <w:rsid w:val="68A8176D"/>
    <w:rsid w:val="68B172D0"/>
    <w:rsid w:val="68C317D5"/>
    <w:rsid w:val="68C63E9A"/>
    <w:rsid w:val="68D22C7D"/>
    <w:rsid w:val="68DA6C0D"/>
    <w:rsid w:val="68E738A0"/>
    <w:rsid w:val="68E82B1D"/>
    <w:rsid w:val="68FB4837"/>
    <w:rsid w:val="690A1F6E"/>
    <w:rsid w:val="69325074"/>
    <w:rsid w:val="69540EA0"/>
    <w:rsid w:val="69970E7B"/>
    <w:rsid w:val="69A04DF5"/>
    <w:rsid w:val="69A7118E"/>
    <w:rsid w:val="69B92A1B"/>
    <w:rsid w:val="69BC0AFA"/>
    <w:rsid w:val="69CB1C52"/>
    <w:rsid w:val="69D00DEB"/>
    <w:rsid w:val="69E227DF"/>
    <w:rsid w:val="69EE3984"/>
    <w:rsid w:val="6A0445F0"/>
    <w:rsid w:val="6A213344"/>
    <w:rsid w:val="6A413F53"/>
    <w:rsid w:val="6A445335"/>
    <w:rsid w:val="6A446CDF"/>
    <w:rsid w:val="6A4B3A9B"/>
    <w:rsid w:val="6A517847"/>
    <w:rsid w:val="6A644DAA"/>
    <w:rsid w:val="6A6A6FEF"/>
    <w:rsid w:val="6A707ED8"/>
    <w:rsid w:val="6A7926B8"/>
    <w:rsid w:val="6A7C169D"/>
    <w:rsid w:val="6A8A71EB"/>
    <w:rsid w:val="6A997170"/>
    <w:rsid w:val="6A9A4F55"/>
    <w:rsid w:val="6AAC4C9C"/>
    <w:rsid w:val="6AB623DF"/>
    <w:rsid w:val="6ABA79E5"/>
    <w:rsid w:val="6ACA793F"/>
    <w:rsid w:val="6ACB3360"/>
    <w:rsid w:val="6AD037FF"/>
    <w:rsid w:val="6AD062A1"/>
    <w:rsid w:val="6ADA0BD5"/>
    <w:rsid w:val="6AEC1179"/>
    <w:rsid w:val="6AFE06A4"/>
    <w:rsid w:val="6B09520D"/>
    <w:rsid w:val="6B2476F9"/>
    <w:rsid w:val="6B3577A8"/>
    <w:rsid w:val="6B655255"/>
    <w:rsid w:val="6B676BDB"/>
    <w:rsid w:val="6B836525"/>
    <w:rsid w:val="6B914157"/>
    <w:rsid w:val="6B933C82"/>
    <w:rsid w:val="6B9D26FB"/>
    <w:rsid w:val="6BAA11C7"/>
    <w:rsid w:val="6BAA32FA"/>
    <w:rsid w:val="6BBC0191"/>
    <w:rsid w:val="6BBD1C43"/>
    <w:rsid w:val="6BC4151C"/>
    <w:rsid w:val="6BC868D2"/>
    <w:rsid w:val="6BD55479"/>
    <w:rsid w:val="6BDA07AF"/>
    <w:rsid w:val="6BDF09F2"/>
    <w:rsid w:val="6BF424FB"/>
    <w:rsid w:val="6C01754E"/>
    <w:rsid w:val="6C1536D1"/>
    <w:rsid w:val="6C3269E4"/>
    <w:rsid w:val="6C4F55DA"/>
    <w:rsid w:val="6C5D1E86"/>
    <w:rsid w:val="6C5F5DEC"/>
    <w:rsid w:val="6C705C78"/>
    <w:rsid w:val="6C794A97"/>
    <w:rsid w:val="6C8972D7"/>
    <w:rsid w:val="6C8F7946"/>
    <w:rsid w:val="6C9A3089"/>
    <w:rsid w:val="6C9B04AC"/>
    <w:rsid w:val="6CB13D47"/>
    <w:rsid w:val="6CC20920"/>
    <w:rsid w:val="6CDE7722"/>
    <w:rsid w:val="6D1B52F9"/>
    <w:rsid w:val="6D1F5535"/>
    <w:rsid w:val="6D322B4E"/>
    <w:rsid w:val="6D3552E4"/>
    <w:rsid w:val="6D46474A"/>
    <w:rsid w:val="6D4C0286"/>
    <w:rsid w:val="6D503E66"/>
    <w:rsid w:val="6D8A65AF"/>
    <w:rsid w:val="6D995718"/>
    <w:rsid w:val="6DA21073"/>
    <w:rsid w:val="6DA238D5"/>
    <w:rsid w:val="6DA53692"/>
    <w:rsid w:val="6DA85497"/>
    <w:rsid w:val="6DB2085E"/>
    <w:rsid w:val="6DDF1E0B"/>
    <w:rsid w:val="6DE170D3"/>
    <w:rsid w:val="6DE67FE1"/>
    <w:rsid w:val="6E1641D4"/>
    <w:rsid w:val="6E2E75E5"/>
    <w:rsid w:val="6E383AA6"/>
    <w:rsid w:val="6E3D4575"/>
    <w:rsid w:val="6E4F25DD"/>
    <w:rsid w:val="6E5F7844"/>
    <w:rsid w:val="6E621725"/>
    <w:rsid w:val="6E72324D"/>
    <w:rsid w:val="6E851A78"/>
    <w:rsid w:val="6E8D4F71"/>
    <w:rsid w:val="6E9E2CDF"/>
    <w:rsid w:val="6EA02F2B"/>
    <w:rsid w:val="6EA42A33"/>
    <w:rsid w:val="6EAB2BCD"/>
    <w:rsid w:val="6EAD1467"/>
    <w:rsid w:val="6EB428FB"/>
    <w:rsid w:val="6EC66318"/>
    <w:rsid w:val="6ED37634"/>
    <w:rsid w:val="6EF10C27"/>
    <w:rsid w:val="6EF40E68"/>
    <w:rsid w:val="6EFC09F4"/>
    <w:rsid w:val="6F157EAE"/>
    <w:rsid w:val="6F2F3C9B"/>
    <w:rsid w:val="6F323238"/>
    <w:rsid w:val="6F3D3BBE"/>
    <w:rsid w:val="6F422098"/>
    <w:rsid w:val="6F597BC6"/>
    <w:rsid w:val="6F5B38AE"/>
    <w:rsid w:val="6F6344AB"/>
    <w:rsid w:val="6F6B0C37"/>
    <w:rsid w:val="6F771264"/>
    <w:rsid w:val="6F804812"/>
    <w:rsid w:val="6F9B0863"/>
    <w:rsid w:val="6FA4381D"/>
    <w:rsid w:val="6FA678F9"/>
    <w:rsid w:val="6FB03EED"/>
    <w:rsid w:val="6FB14B04"/>
    <w:rsid w:val="6FB720F7"/>
    <w:rsid w:val="6FCF4269"/>
    <w:rsid w:val="6FE74798"/>
    <w:rsid w:val="6FEE29BF"/>
    <w:rsid w:val="70205681"/>
    <w:rsid w:val="702828E7"/>
    <w:rsid w:val="703071DD"/>
    <w:rsid w:val="703716AB"/>
    <w:rsid w:val="704B04FF"/>
    <w:rsid w:val="704B3943"/>
    <w:rsid w:val="70645800"/>
    <w:rsid w:val="70680C3B"/>
    <w:rsid w:val="70704B16"/>
    <w:rsid w:val="707073B3"/>
    <w:rsid w:val="70812D02"/>
    <w:rsid w:val="708959A5"/>
    <w:rsid w:val="709F0BAC"/>
    <w:rsid w:val="70A25A88"/>
    <w:rsid w:val="70A45DD1"/>
    <w:rsid w:val="70CB669B"/>
    <w:rsid w:val="70D72CC0"/>
    <w:rsid w:val="70DF6513"/>
    <w:rsid w:val="70E705BA"/>
    <w:rsid w:val="70EB0C15"/>
    <w:rsid w:val="70ED22BA"/>
    <w:rsid w:val="71140160"/>
    <w:rsid w:val="712167C4"/>
    <w:rsid w:val="71243173"/>
    <w:rsid w:val="713D684B"/>
    <w:rsid w:val="71433252"/>
    <w:rsid w:val="716342F2"/>
    <w:rsid w:val="71642292"/>
    <w:rsid w:val="716F0EE9"/>
    <w:rsid w:val="717819FF"/>
    <w:rsid w:val="71843C67"/>
    <w:rsid w:val="71C17E6A"/>
    <w:rsid w:val="71D376CA"/>
    <w:rsid w:val="71D63038"/>
    <w:rsid w:val="71F72B9F"/>
    <w:rsid w:val="72081D17"/>
    <w:rsid w:val="720D4A68"/>
    <w:rsid w:val="72541E8D"/>
    <w:rsid w:val="72577D97"/>
    <w:rsid w:val="72652712"/>
    <w:rsid w:val="72842F03"/>
    <w:rsid w:val="728A4A2B"/>
    <w:rsid w:val="729A7F33"/>
    <w:rsid w:val="72A84F2B"/>
    <w:rsid w:val="72AA58AC"/>
    <w:rsid w:val="72AD19C2"/>
    <w:rsid w:val="72C075BE"/>
    <w:rsid w:val="72CD04E2"/>
    <w:rsid w:val="72CE7BDA"/>
    <w:rsid w:val="72D00A2C"/>
    <w:rsid w:val="72D164E9"/>
    <w:rsid w:val="72DA5B63"/>
    <w:rsid w:val="72DB02EA"/>
    <w:rsid w:val="72E16FB9"/>
    <w:rsid w:val="72F7552E"/>
    <w:rsid w:val="732369C0"/>
    <w:rsid w:val="736E61B1"/>
    <w:rsid w:val="73797065"/>
    <w:rsid w:val="73951F62"/>
    <w:rsid w:val="73AD6E1E"/>
    <w:rsid w:val="73B452CE"/>
    <w:rsid w:val="73D17C39"/>
    <w:rsid w:val="73D54E4B"/>
    <w:rsid w:val="73E42E1E"/>
    <w:rsid w:val="73FC1A52"/>
    <w:rsid w:val="73FE786D"/>
    <w:rsid w:val="740578E3"/>
    <w:rsid w:val="740F0B38"/>
    <w:rsid w:val="74176DE7"/>
    <w:rsid w:val="74414D14"/>
    <w:rsid w:val="744A748B"/>
    <w:rsid w:val="744B43F7"/>
    <w:rsid w:val="74631C48"/>
    <w:rsid w:val="7474267B"/>
    <w:rsid w:val="74895498"/>
    <w:rsid w:val="74A72FAF"/>
    <w:rsid w:val="74B84150"/>
    <w:rsid w:val="74B97B0F"/>
    <w:rsid w:val="74CA5E6E"/>
    <w:rsid w:val="74D045CD"/>
    <w:rsid w:val="74D459EB"/>
    <w:rsid w:val="74DA38B3"/>
    <w:rsid w:val="74FE30DA"/>
    <w:rsid w:val="7504597B"/>
    <w:rsid w:val="752A3B98"/>
    <w:rsid w:val="752B126C"/>
    <w:rsid w:val="752F379A"/>
    <w:rsid w:val="75310D50"/>
    <w:rsid w:val="75435570"/>
    <w:rsid w:val="75487027"/>
    <w:rsid w:val="75491A51"/>
    <w:rsid w:val="755902EA"/>
    <w:rsid w:val="7571063E"/>
    <w:rsid w:val="75844FA0"/>
    <w:rsid w:val="75862CA5"/>
    <w:rsid w:val="759A2824"/>
    <w:rsid w:val="75A15AA1"/>
    <w:rsid w:val="75A7332C"/>
    <w:rsid w:val="75B84A72"/>
    <w:rsid w:val="75CC3C41"/>
    <w:rsid w:val="75CF77A3"/>
    <w:rsid w:val="75DC5DFC"/>
    <w:rsid w:val="75E61C63"/>
    <w:rsid w:val="75EE1F6E"/>
    <w:rsid w:val="75F96FD3"/>
    <w:rsid w:val="760E4FCA"/>
    <w:rsid w:val="761516E9"/>
    <w:rsid w:val="761C6DEA"/>
    <w:rsid w:val="76216D85"/>
    <w:rsid w:val="76257521"/>
    <w:rsid w:val="76322C7A"/>
    <w:rsid w:val="763829C7"/>
    <w:rsid w:val="76421A86"/>
    <w:rsid w:val="76596D33"/>
    <w:rsid w:val="766666E2"/>
    <w:rsid w:val="767174B1"/>
    <w:rsid w:val="76726D5F"/>
    <w:rsid w:val="76764AC8"/>
    <w:rsid w:val="76927701"/>
    <w:rsid w:val="76C872C6"/>
    <w:rsid w:val="77132822"/>
    <w:rsid w:val="77137D6A"/>
    <w:rsid w:val="77146BC3"/>
    <w:rsid w:val="771D759E"/>
    <w:rsid w:val="773C186D"/>
    <w:rsid w:val="773D2DAD"/>
    <w:rsid w:val="773E2E19"/>
    <w:rsid w:val="774C044B"/>
    <w:rsid w:val="77535769"/>
    <w:rsid w:val="775C3CBE"/>
    <w:rsid w:val="77660698"/>
    <w:rsid w:val="77782156"/>
    <w:rsid w:val="77795190"/>
    <w:rsid w:val="77882CC1"/>
    <w:rsid w:val="778A484A"/>
    <w:rsid w:val="77A05E86"/>
    <w:rsid w:val="77B41BE7"/>
    <w:rsid w:val="77C322EB"/>
    <w:rsid w:val="77F23895"/>
    <w:rsid w:val="77F425CF"/>
    <w:rsid w:val="77F90747"/>
    <w:rsid w:val="77FB4AD5"/>
    <w:rsid w:val="78081F24"/>
    <w:rsid w:val="78160AC8"/>
    <w:rsid w:val="782D58F9"/>
    <w:rsid w:val="783764D9"/>
    <w:rsid w:val="783D78B2"/>
    <w:rsid w:val="784A0F79"/>
    <w:rsid w:val="784C3D32"/>
    <w:rsid w:val="785106A3"/>
    <w:rsid w:val="785231D0"/>
    <w:rsid w:val="78680987"/>
    <w:rsid w:val="786825B2"/>
    <w:rsid w:val="78786040"/>
    <w:rsid w:val="787C2A89"/>
    <w:rsid w:val="788778CC"/>
    <w:rsid w:val="78A51694"/>
    <w:rsid w:val="78BD511B"/>
    <w:rsid w:val="78BF55F0"/>
    <w:rsid w:val="78EA6349"/>
    <w:rsid w:val="78F8777F"/>
    <w:rsid w:val="79041836"/>
    <w:rsid w:val="790D6109"/>
    <w:rsid w:val="79214247"/>
    <w:rsid w:val="792807D8"/>
    <w:rsid w:val="79306A60"/>
    <w:rsid w:val="79461017"/>
    <w:rsid w:val="79464ADB"/>
    <w:rsid w:val="794E79D3"/>
    <w:rsid w:val="795042E4"/>
    <w:rsid w:val="79640E59"/>
    <w:rsid w:val="797153CF"/>
    <w:rsid w:val="798B0587"/>
    <w:rsid w:val="79905EA0"/>
    <w:rsid w:val="79AE5F79"/>
    <w:rsid w:val="79C52C1A"/>
    <w:rsid w:val="79D51D82"/>
    <w:rsid w:val="79E07E83"/>
    <w:rsid w:val="79E93803"/>
    <w:rsid w:val="79F458A4"/>
    <w:rsid w:val="7A1D0377"/>
    <w:rsid w:val="7A2C717B"/>
    <w:rsid w:val="7A2D1941"/>
    <w:rsid w:val="7A2F27D4"/>
    <w:rsid w:val="7A376BA2"/>
    <w:rsid w:val="7A4A387A"/>
    <w:rsid w:val="7A576ED9"/>
    <w:rsid w:val="7A791618"/>
    <w:rsid w:val="7A83138D"/>
    <w:rsid w:val="7A861271"/>
    <w:rsid w:val="7AA125B6"/>
    <w:rsid w:val="7AA55B59"/>
    <w:rsid w:val="7AAC0B45"/>
    <w:rsid w:val="7AC464E2"/>
    <w:rsid w:val="7AC52A31"/>
    <w:rsid w:val="7ADA0542"/>
    <w:rsid w:val="7AF333DB"/>
    <w:rsid w:val="7AFE3CA2"/>
    <w:rsid w:val="7B49584B"/>
    <w:rsid w:val="7B496C83"/>
    <w:rsid w:val="7B590514"/>
    <w:rsid w:val="7B5B169D"/>
    <w:rsid w:val="7B5B535A"/>
    <w:rsid w:val="7B5D09CE"/>
    <w:rsid w:val="7B617606"/>
    <w:rsid w:val="7B652DA9"/>
    <w:rsid w:val="7B7D6B38"/>
    <w:rsid w:val="7B8077E6"/>
    <w:rsid w:val="7B916F92"/>
    <w:rsid w:val="7BA07434"/>
    <w:rsid w:val="7BC061D7"/>
    <w:rsid w:val="7BCB1412"/>
    <w:rsid w:val="7BDD1603"/>
    <w:rsid w:val="7BDD3848"/>
    <w:rsid w:val="7BDD7EC5"/>
    <w:rsid w:val="7BDF0A19"/>
    <w:rsid w:val="7BE81FC4"/>
    <w:rsid w:val="7BF344C5"/>
    <w:rsid w:val="7C02343D"/>
    <w:rsid w:val="7C064E52"/>
    <w:rsid w:val="7C2E50C1"/>
    <w:rsid w:val="7C3507D3"/>
    <w:rsid w:val="7C3C5230"/>
    <w:rsid w:val="7C4C4157"/>
    <w:rsid w:val="7C594C70"/>
    <w:rsid w:val="7C84765D"/>
    <w:rsid w:val="7C8A4820"/>
    <w:rsid w:val="7CA06BBB"/>
    <w:rsid w:val="7CB225D2"/>
    <w:rsid w:val="7CC47AB4"/>
    <w:rsid w:val="7CC80A03"/>
    <w:rsid w:val="7CD45BC0"/>
    <w:rsid w:val="7CDE18A6"/>
    <w:rsid w:val="7D11554A"/>
    <w:rsid w:val="7D183E47"/>
    <w:rsid w:val="7D2A1401"/>
    <w:rsid w:val="7D32505E"/>
    <w:rsid w:val="7D345976"/>
    <w:rsid w:val="7D38232C"/>
    <w:rsid w:val="7D44777D"/>
    <w:rsid w:val="7D4C6D25"/>
    <w:rsid w:val="7D5A6ACA"/>
    <w:rsid w:val="7D672B56"/>
    <w:rsid w:val="7D792BE7"/>
    <w:rsid w:val="7D816DAF"/>
    <w:rsid w:val="7DB54128"/>
    <w:rsid w:val="7DC0521D"/>
    <w:rsid w:val="7DD41DA4"/>
    <w:rsid w:val="7DE15B25"/>
    <w:rsid w:val="7E09387D"/>
    <w:rsid w:val="7E2A4DFE"/>
    <w:rsid w:val="7E574B6B"/>
    <w:rsid w:val="7E5805C2"/>
    <w:rsid w:val="7E580694"/>
    <w:rsid w:val="7E5B3E73"/>
    <w:rsid w:val="7E745E4D"/>
    <w:rsid w:val="7E811210"/>
    <w:rsid w:val="7E8B155E"/>
    <w:rsid w:val="7E9B31DF"/>
    <w:rsid w:val="7E9D63F2"/>
    <w:rsid w:val="7ED061FF"/>
    <w:rsid w:val="7EE837EC"/>
    <w:rsid w:val="7EEA3933"/>
    <w:rsid w:val="7EF56266"/>
    <w:rsid w:val="7F124BA5"/>
    <w:rsid w:val="7F143C8D"/>
    <w:rsid w:val="7F1600A0"/>
    <w:rsid w:val="7F263056"/>
    <w:rsid w:val="7F27243D"/>
    <w:rsid w:val="7F45772D"/>
    <w:rsid w:val="7F486085"/>
    <w:rsid w:val="7F5D415B"/>
    <w:rsid w:val="7F7B303F"/>
    <w:rsid w:val="7F812FBC"/>
    <w:rsid w:val="7FA53A34"/>
    <w:rsid w:val="7FA9518A"/>
    <w:rsid w:val="7FB2700E"/>
    <w:rsid w:val="7FC47CFF"/>
    <w:rsid w:val="7FDF723A"/>
    <w:rsid w:val="7FE374C3"/>
    <w:rsid w:val="7FEA1F52"/>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0"/>
    <w:autoRedefine/>
    <w:qFormat/>
    <w:uiPriority w:val="0"/>
    <w:pPr>
      <w:keepNext/>
      <w:keepLines/>
      <w:spacing w:line="578" w:lineRule="auto"/>
      <w:outlineLvl w:val="0"/>
    </w:pPr>
    <w:rPr>
      <w:b/>
      <w:bCs/>
      <w:kern w:val="44"/>
      <w:sz w:val="44"/>
      <w:szCs w:val="44"/>
    </w:rPr>
  </w:style>
  <w:style w:type="paragraph" w:styleId="4">
    <w:name w:val="heading 2"/>
    <w:basedOn w:val="1"/>
    <w:next w:val="1"/>
    <w:link w:val="205"/>
    <w:autoRedefine/>
    <w:qFormat/>
    <w:uiPriority w:val="0"/>
    <w:pPr>
      <w:keepNext/>
      <w:keepLines/>
      <w:spacing w:line="416" w:lineRule="auto"/>
      <w:outlineLvl w:val="1"/>
    </w:pPr>
    <w:rPr>
      <w:rFonts w:ascii="Cambria" w:hAnsi="Cambria"/>
      <w:b/>
      <w:bCs/>
      <w:sz w:val="32"/>
      <w:szCs w:val="32"/>
    </w:rPr>
  </w:style>
  <w:style w:type="paragraph" w:styleId="5">
    <w:name w:val="heading 3"/>
    <w:basedOn w:val="1"/>
    <w:next w:val="1"/>
    <w:link w:val="335"/>
    <w:autoRedefine/>
    <w:qFormat/>
    <w:uiPriority w:val="0"/>
    <w:pPr>
      <w:keepNext/>
      <w:keepLines/>
      <w:spacing w:line="416" w:lineRule="auto"/>
      <w:outlineLvl w:val="2"/>
    </w:pPr>
    <w:rPr>
      <w:b/>
      <w:bCs/>
      <w:sz w:val="32"/>
      <w:szCs w:val="32"/>
    </w:rPr>
  </w:style>
  <w:style w:type="paragraph" w:styleId="6">
    <w:name w:val="heading 4"/>
    <w:basedOn w:val="1"/>
    <w:next w:val="1"/>
    <w:link w:val="176"/>
    <w:autoRedefine/>
    <w:qFormat/>
    <w:uiPriority w:val="0"/>
    <w:pPr>
      <w:widowControl/>
      <w:spacing w:beforeAutospacing="1" w:afterAutospacing="1"/>
      <w:jc w:val="left"/>
      <w:outlineLvl w:val="3"/>
    </w:pPr>
    <w:rPr>
      <w:rFonts w:ascii="宋体" w:hAnsi="宋体" w:cs="宋体"/>
      <w:kern w:val="0"/>
      <w:sz w:val="24"/>
    </w:rPr>
  </w:style>
  <w:style w:type="paragraph" w:styleId="7">
    <w:name w:val="heading 5"/>
    <w:basedOn w:val="1"/>
    <w:next w:val="1"/>
    <w:link w:val="285"/>
    <w:autoRedefine/>
    <w:qFormat/>
    <w:uiPriority w:val="0"/>
    <w:pPr>
      <w:widowControl/>
      <w:spacing w:beforeAutospacing="1" w:afterAutospacing="1"/>
      <w:jc w:val="left"/>
      <w:outlineLvl w:val="4"/>
    </w:pPr>
    <w:rPr>
      <w:rFonts w:ascii="宋体" w:hAnsi="宋体" w:cs="宋体"/>
      <w:b/>
      <w:bCs/>
      <w:kern w:val="0"/>
      <w:sz w:val="20"/>
      <w:szCs w:val="20"/>
    </w:rPr>
  </w:style>
  <w:style w:type="paragraph" w:styleId="8">
    <w:name w:val="heading 6"/>
    <w:basedOn w:val="9"/>
    <w:next w:val="1"/>
    <w:link w:val="241"/>
    <w:autoRedefine/>
    <w:qFormat/>
    <w:uiPriority w:val="0"/>
    <w:pPr>
      <w:keepNext/>
      <w:keepLines/>
      <w:ind w:firstLine="200" w:firstLineChars="200"/>
      <w:outlineLvl w:val="5"/>
    </w:pPr>
    <w:rPr>
      <w:rFonts w:hAnsi="Arial"/>
    </w:rPr>
  </w:style>
  <w:style w:type="paragraph" w:styleId="10">
    <w:name w:val="heading 7"/>
    <w:basedOn w:val="1"/>
    <w:next w:val="1"/>
    <w:link w:val="296"/>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5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54"/>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39"/>
    <w:autoRedefine/>
    <w:qFormat/>
    <w:uiPriority w:val="0"/>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80"/>
    <w:autoRedefine/>
    <w:qFormat/>
    <w:uiPriority w:val="0"/>
    <w:pPr>
      <w:shd w:val="clear" w:color="auto" w:fill="000080"/>
    </w:pPr>
  </w:style>
  <w:style w:type="paragraph" w:styleId="16">
    <w:name w:val="annotation text"/>
    <w:basedOn w:val="1"/>
    <w:link w:val="317"/>
    <w:autoRedefine/>
    <w:qFormat/>
    <w:uiPriority w:val="99"/>
    <w:pPr>
      <w:jc w:val="left"/>
    </w:pPr>
  </w:style>
  <w:style w:type="paragraph" w:styleId="17">
    <w:name w:val="Body Text 3"/>
    <w:basedOn w:val="1"/>
    <w:link w:val="270"/>
    <w:autoRedefine/>
    <w:qFormat/>
    <w:uiPriority w:val="0"/>
    <w:rPr>
      <w:sz w:val="16"/>
      <w:szCs w:val="16"/>
    </w:rPr>
  </w:style>
  <w:style w:type="paragraph" w:styleId="18">
    <w:name w:val="Body Text Indent"/>
    <w:basedOn w:val="1"/>
    <w:link w:val="253"/>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spacing w:line="240" w:lineRule="auto"/>
      <w:ind w:left="420"/>
      <w:jc w:val="left"/>
      <w:outlineLvl w:val="9"/>
    </w:pPr>
    <w:rPr>
      <w:b w:val="0"/>
      <w:bCs w:val="0"/>
      <w:i/>
      <w:iCs/>
      <w:sz w:val="20"/>
      <w:szCs w:val="20"/>
    </w:rPr>
  </w:style>
  <w:style w:type="paragraph" w:styleId="23">
    <w:name w:val="Plain Text"/>
    <w:basedOn w:val="1"/>
    <w:link w:val="216"/>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84"/>
    <w:autoRedefine/>
    <w:qFormat/>
    <w:uiPriority w:val="0"/>
    <w:pPr>
      <w:ind w:left="100" w:leftChars="2500"/>
    </w:pPr>
  </w:style>
  <w:style w:type="paragraph" w:styleId="26">
    <w:name w:val="Body Text Indent 2"/>
    <w:basedOn w:val="1"/>
    <w:link w:val="250"/>
    <w:autoRedefine/>
    <w:qFormat/>
    <w:uiPriority w:val="0"/>
    <w:pPr>
      <w:widowControl/>
      <w:spacing w:line="480" w:lineRule="auto"/>
      <w:ind w:firstLine="560"/>
      <w:jc w:val="left"/>
    </w:pPr>
    <w:rPr>
      <w:kern w:val="0"/>
      <w:sz w:val="28"/>
    </w:rPr>
  </w:style>
  <w:style w:type="paragraph" w:styleId="27">
    <w:name w:val="endnote text"/>
    <w:basedOn w:val="1"/>
    <w:link w:val="224"/>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19"/>
    <w:autoRedefine/>
    <w:qFormat/>
    <w:uiPriority w:val="0"/>
    <w:rPr>
      <w:sz w:val="18"/>
      <w:szCs w:val="18"/>
    </w:rPr>
  </w:style>
  <w:style w:type="paragraph" w:styleId="29">
    <w:name w:val="footer"/>
    <w:basedOn w:val="1"/>
    <w:link w:val="212"/>
    <w:autoRedefine/>
    <w:qFormat/>
    <w:uiPriority w:val="0"/>
    <w:pPr>
      <w:tabs>
        <w:tab w:val="center" w:pos="4153"/>
        <w:tab w:val="right" w:pos="8306"/>
      </w:tabs>
      <w:snapToGrid w:val="0"/>
      <w:jc w:val="left"/>
    </w:pPr>
    <w:rPr>
      <w:sz w:val="18"/>
      <w:szCs w:val="18"/>
    </w:rPr>
  </w:style>
  <w:style w:type="paragraph" w:styleId="30">
    <w:name w:val="header"/>
    <w:basedOn w:val="1"/>
    <w:link w:val="30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spacing w:before="120" w:after="120"/>
      <w:jc w:val="left"/>
    </w:pPr>
    <w:rPr>
      <w:caps/>
      <w:sz w:val="20"/>
      <w:szCs w:val="20"/>
    </w:rPr>
  </w:style>
  <w:style w:type="paragraph" w:styleId="32">
    <w:name w:val="toc 4"/>
    <w:basedOn w:val="6"/>
    <w:next w:val="1"/>
    <w:autoRedefine/>
    <w:qFormat/>
    <w:uiPriority w:val="39"/>
    <w:pPr>
      <w:widowControl w:val="0"/>
      <w:spacing w:beforeAutospacing="0" w:afterAutospacing="0"/>
      <w:ind w:left="630"/>
      <w:outlineLvl w:val="9"/>
    </w:pPr>
    <w:rPr>
      <w:rFonts w:ascii="Times New Roman" w:hAnsi="Times New Roman" w:cs="Times New Roman"/>
      <w:kern w:val="2"/>
      <w:sz w:val="18"/>
      <w:szCs w:val="18"/>
    </w:rPr>
  </w:style>
  <w:style w:type="paragraph" w:styleId="33">
    <w:name w:val="Subtitle"/>
    <w:basedOn w:val="1"/>
    <w:link w:val="319"/>
    <w:autoRedefine/>
    <w:qFormat/>
    <w:uiPriority w:val="0"/>
    <w:pPr>
      <w:widowControl/>
      <w:jc w:val="center"/>
    </w:pPr>
    <w:rPr>
      <w:kern w:val="0"/>
      <w:sz w:val="20"/>
      <w:u w:val="single"/>
      <w:lang w:eastAsia="en-US"/>
    </w:rPr>
  </w:style>
  <w:style w:type="paragraph" w:styleId="34">
    <w:name w:val="footnote text"/>
    <w:basedOn w:val="1"/>
    <w:link w:val="298"/>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57"/>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spacing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44"/>
    <w:autoRedefine/>
    <w:qFormat/>
    <w:uiPriority w:val="0"/>
    <w:rPr>
      <w:i/>
      <w:iCs/>
      <w:sz w:val="26"/>
    </w:rPr>
  </w:style>
  <w:style w:type="paragraph" w:styleId="40">
    <w:name w:val="HTML Preformatted"/>
    <w:basedOn w:val="1"/>
    <w:link w:val="1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49"/>
    <w:autoRedefine/>
    <w:qFormat/>
    <w:uiPriority w:val="0"/>
    <w:pPr>
      <w:widowControl/>
      <w:jc w:val="center"/>
    </w:pPr>
    <w:rPr>
      <w:kern w:val="0"/>
      <w:sz w:val="20"/>
      <w:u w:val="single"/>
      <w:lang w:eastAsia="en-US"/>
    </w:rPr>
  </w:style>
  <w:style w:type="paragraph" w:styleId="44">
    <w:name w:val="annotation subject"/>
    <w:basedOn w:val="16"/>
    <w:next w:val="16"/>
    <w:link w:val="293"/>
    <w:autoRedefine/>
    <w:qFormat/>
    <w:uiPriority w:val="0"/>
    <w:rPr>
      <w:b/>
      <w:bCs/>
    </w:rPr>
  </w:style>
  <w:style w:type="paragraph" w:styleId="45">
    <w:name w:val="Body Text First Indent"/>
    <w:basedOn w:val="2"/>
    <w:autoRedefine/>
    <w:qFormat/>
    <w:uiPriority w:val="0"/>
    <w:pPr>
      <w:spacing w:after="120"/>
      <w:ind w:firstLine="420" w:firstLineChars="100"/>
    </w:pPr>
    <w:rPr>
      <w:sz w:val="21"/>
    </w:rPr>
  </w:style>
  <w:style w:type="paragraph" w:styleId="46">
    <w:name w:val="Body Text First Indent 2"/>
    <w:basedOn w:val="18"/>
    <w:autoRedefine/>
    <w:qFormat/>
    <w:uiPriority w:val="99"/>
    <w:pPr>
      <w:spacing w:after="120"/>
      <w:ind w:left="420" w:leftChars="200" w:firstLine="420"/>
    </w:p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qFormat/>
    <w:uiPriority w:val="0"/>
    <w:rPr>
      <w:color w:val="800080"/>
      <w:u w:val="none"/>
    </w:rPr>
  </w:style>
  <w:style w:type="character" w:styleId="54">
    <w:name w:val="Emphasis"/>
    <w:autoRedefine/>
    <w:qFormat/>
    <w:uiPriority w:val="0"/>
    <w:rPr>
      <w:i/>
      <w:iCs/>
    </w:rPr>
  </w:style>
  <w:style w:type="character" w:styleId="55">
    <w:name w:val="HTML Definition"/>
    <w:basedOn w:val="49"/>
    <w:autoRedefine/>
    <w:qFormat/>
    <w:uiPriority w:val="0"/>
  </w:style>
  <w:style w:type="character" w:styleId="56">
    <w:name w:val="HTML Typewriter"/>
    <w:basedOn w:val="49"/>
    <w:autoRedefine/>
    <w:qFormat/>
    <w:uiPriority w:val="0"/>
    <w:rPr>
      <w:rFonts w:hint="default" w:ascii="monospace" w:hAnsi="monospace" w:eastAsia="monospace" w:cs="monospace"/>
      <w:sz w:val="20"/>
    </w:rPr>
  </w:style>
  <w:style w:type="character" w:styleId="57">
    <w:name w:val="HTML Acronym"/>
    <w:basedOn w:val="49"/>
    <w:autoRedefine/>
    <w:qFormat/>
    <w:uiPriority w:val="0"/>
  </w:style>
  <w:style w:type="character" w:styleId="58">
    <w:name w:val="HTML Variable"/>
    <w:basedOn w:val="49"/>
    <w:autoRedefine/>
    <w:qFormat/>
    <w:uiPriority w:val="0"/>
  </w:style>
  <w:style w:type="character" w:styleId="59">
    <w:name w:val="Hyperlink"/>
    <w:basedOn w:val="49"/>
    <w:autoRedefine/>
    <w:qFormat/>
    <w:uiPriority w:val="99"/>
    <w:rPr>
      <w:color w:val="0000FF"/>
      <w:u w:val="none"/>
    </w:rPr>
  </w:style>
  <w:style w:type="character" w:styleId="60">
    <w:name w:val="HTML Code"/>
    <w:basedOn w:val="49"/>
    <w:autoRedefine/>
    <w:qFormat/>
    <w:uiPriority w:val="0"/>
    <w:rPr>
      <w:rFonts w:hint="default" w:ascii="monospace" w:hAnsi="monospace" w:eastAsia="monospace" w:cs="monospace"/>
      <w:sz w:val="20"/>
    </w:rPr>
  </w:style>
  <w:style w:type="character" w:styleId="61">
    <w:name w:val="annotation reference"/>
    <w:autoRedefine/>
    <w:qFormat/>
    <w:uiPriority w:val="0"/>
    <w:rPr>
      <w:sz w:val="21"/>
      <w:szCs w:val="21"/>
    </w:rPr>
  </w:style>
  <w:style w:type="character" w:styleId="62">
    <w:name w:val="HTML Cite"/>
    <w:basedOn w:val="49"/>
    <w:autoRedefine/>
    <w:qFormat/>
    <w:uiPriority w:val="0"/>
  </w:style>
  <w:style w:type="character" w:styleId="63">
    <w:name w:val="footnote reference"/>
    <w:autoRedefine/>
    <w:qFormat/>
    <w:uiPriority w:val="0"/>
    <w:rPr>
      <w:vertAlign w:val="superscript"/>
    </w:rPr>
  </w:style>
  <w:style w:type="character" w:styleId="64">
    <w:name w:val="HTML Keyboard"/>
    <w:basedOn w:val="49"/>
    <w:autoRedefine/>
    <w:qFormat/>
    <w:uiPriority w:val="0"/>
    <w:rPr>
      <w:rFonts w:ascii="monospace" w:hAnsi="monospace" w:eastAsia="monospace" w:cs="monospace"/>
      <w:sz w:val="20"/>
    </w:rPr>
  </w:style>
  <w:style w:type="character" w:styleId="65">
    <w:name w:val="HTML Sample"/>
    <w:basedOn w:val="49"/>
    <w:autoRedefine/>
    <w:qFormat/>
    <w:uiPriority w:val="0"/>
    <w:rPr>
      <w:rFonts w:hint="default" w:ascii="monospace" w:hAnsi="monospace" w:eastAsia="monospace" w:cs="monospace"/>
    </w:rPr>
  </w:style>
  <w:style w:type="paragraph" w:customStyle="1" w:styleId="66">
    <w:name w:val="目录 53"/>
    <w:basedOn w:val="1"/>
    <w:next w:val="1"/>
    <w:autoRedefine/>
    <w:qFormat/>
    <w:uiPriority w:val="0"/>
    <w:pPr>
      <w:ind w:left="840"/>
    </w:pPr>
    <w:rPr>
      <w:sz w:val="18"/>
    </w:rPr>
  </w:style>
  <w:style w:type="character" w:customStyle="1" w:styleId="67">
    <w:name w:val="标题 3 Char"/>
    <w:autoRedefine/>
    <w:qFormat/>
    <w:uiPriority w:val="0"/>
    <w:rPr>
      <w:rFonts w:ascii="仿宋_GB2312" w:hAnsi="Calibri" w:eastAsia="仿宋_GB2312" w:cs="Times New Roman"/>
      <w:b/>
      <w:kern w:val="0"/>
      <w:sz w:val="24"/>
      <w:szCs w:val="28"/>
    </w:rPr>
  </w:style>
  <w:style w:type="character" w:customStyle="1" w:styleId="68">
    <w:name w:val="副标题 Char"/>
    <w:autoRedefine/>
    <w:qFormat/>
    <w:uiPriority w:val="0"/>
    <w:rPr>
      <w:rFonts w:ascii="Cambria" w:hAnsi="Cambria" w:eastAsia="宋体" w:cs="Times New Roman"/>
      <w:b/>
      <w:bCs/>
      <w:kern w:val="28"/>
      <w:sz w:val="32"/>
      <w:szCs w:val="32"/>
    </w:rPr>
  </w:style>
  <w:style w:type="paragraph" w:customStyle="1" w:styleId="69">
    <w:name w:val="BodyTextIndent"/>
    <w:next w:val="70"/>
    <w:autoRedefine/>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70">
    <w:name w:val="UserStyle_0"/>
    <w:next w:val="71"/>
    <w:autoRedefine/>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71">
    <w:name w:val="Index6"/>
    <w:basedOn w:val="1"/>
    <w:next w:val="1"/>
    <w:autoRedefine/>
    <w:qFormat/>
    <w:uiPriority w:val="0"/>
    <w:pPr>
      <w:ind w:left="2100"/>
    </w:pPr>
  </w:style>
  <w:style w:type="paragraph" w:customStyle="1" w:styleId="72">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73">
    <w:name w:val="Char4 Char Char Char"/>
    <w:basedOn w:val="1"/>
    <w:autoRedefine/>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74">
    <w:name w:val="列出段落1"/>
    <w:basedOn w:val="1"/>
    <w:autoRedefine/>
    <w:qFormat/>
    <w:uiPriority w:val="99"/>
    <w:pPr>
      <w:ind w:firstLine="420" w:firstLineChars="200"/>
    </w:pPr>
    <w:rPr>
      <w:sz w:val="28"/>
      <w:szCs w:val="28"/>
    </w:rPr>
  </w:style>
  <w:style w:type="paragraph" w:customStyle="1" w:styleId="75">
    <w:name w:val="_Style 57"/>
    <w:basedOn w:val="3"/>
    <w:autoRedefine/>
    <w:qFormat/>
    <w:uiPriority w:val="0"/>
    <w:rPr>
      <w:kern w:val="2"/>
      <w:sz w:val="21"/>
      <w:szCs w:val="24"/>
    </w:rPr>
  </w:style>
  <w:style w:type="paragraph" w:customStyle="1" w:styleId="76">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77">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8">
    <w:name w:val="mtitle"/>
    <w:basedOn w:val="1"/>
    <w:autoRedefine/>
    <w:qFormat/>
    <w:uiPriority w:val="0"/>
    <w:pPr>
      <w:widowControl/>
      <w:jc w:val="center"/>
    </w:pPr>
    <w:rPr>
      <w:rFonts w:ascii="方正小标宋简体" w:hAnsi="宋体" w:eastAsia="方正小标宋简体"/>
      <w:color w:val="000000"/>
      <w:kern w:val="0"/>
      <w:sz w:val="44"/>
      <w:szCs w:val="44"/>
    </w:rPr>
  </w:style>
  <w:style w:type="paragraph" w:customStyle="1" w:styleId="79">
    <w:name w:val="zw"/>
    <w:basedOn w:val="1"/>
    <w:autoRedefine/>
    <w:qFormat/>
    <w:uiPriority w:val="0"/>
    <w:pPr>
      <w:widowControl/>
      <w:ind w:left="100" w:right="100"/>
    </w:pPr>
    <w:rPr>
      <w:rFonts w:ascii="方正书宋简体" w:hAnsi="宋体" w:eastAsia="方正书宋简体"/>
      <w:color w:val="000000"/>
      <w:kern w:val="0"/>
      <w:szCs w:val="21"/>
    </w:rPr>
  </w:style>
  <w:style w:type="paragraph" w:customStyle="1" w:styleId="80">
    <w:name w:val="1 Char"/>
    <w:basedOn w:val="1"/>
    <w:autoRedefine/>
    <w:qFormat/>
    <w:uiPriority w:val="0"/>
    <w:pPr>
      <w:widowControl/>
      <w:spacing w:after="160" w:line="240" w:lineRule="exact"/>
      <w:jc w:val="left"/>
    </w:pPr>
    <w:rPr>
      <w:rFonts w:ascii="Calibri" w:hAnsi="Calibri"/>
      <w:szCs w:val="20"/>
    </w:rPr>
  </w:style>
  <w:style w:type="paragraph" w:customStyle="1" w:styleId="81">
    <w:name w:val="列表段落1"/>
    <w:basedOn w:val="1"/>
    <w:autoRedefine/>
    <w:qFormat/>
    <w:uiPriority w:val="34"/>
    <w:pPr>
      <w:ind w:firstLine="420" w:firstLineChars="200"/>
    </w:pPr>
    <w:rPr>
      <w:rFonts w:ascii="Calibri" w:hAnsi="Calibri"/>
    </w:rPr>
  </w:style>
  <w:style w:type="paragraph" w:customStyle="1" w:styleId="82">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83">
    <w:name w:val="样式 标题 3 + (中文) 黑体 小四 非加粗 段前: 7.8 磅 段后: 0 磅 行距: 固定值 20 磅"/>
    <w:basedOn w:val="5"/>
    <w:next w:val="1"/>
    <w:autoRedefine/>
    <w:qFormat/>
    <w:uiPriority w:val="0"/>
    <w:pPr>
      <w:spacing w:line="400" w:lineRule="exact"/>
    </w:pPr>
    <w:rPr>
      <w:rFonts w:eastAsia="黑体" w:cs="宋体"/>
      <w:b w:val="0"/>
      <w:bCs w:val="0"/>
      <w:sz w:val="24"/>
      <w:szCs w:val="20"/>
    </w:rPr>
  </w:style>
  <w:style w:type="paragraph" w:customStyle="1" w:styleId="8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TOC 标题2"/>
    <w:basedOn w:val="3"/>
    <w:next w:val="1"/>
    <w:autoRedefine/>
    <w:unhideWhenUsed/>
    <w:qFormat/>
    <w:uiPriority w:val="0"/>
    <w:pPr>
      <w:outlineLvl w:val="9"/>
    </w:pPr>
    <w:rPr>
      <w:rFonts w:ascii="Calibri" w:hAnsi="Calibri"/>
    </w:rPr>
  </w:style>
  <w:style w:type="paragraph" w:customStyle="1" w:styleId="86">
    <w:name w:val="样式1"/>
    <w:basedOn w:val="1"/>
    <w:next w:val="6"/>
    <w:autoRedefine/>
    <w:qFormat/>
    <w:uiPriority w:val="0"/>
    <w:pPr>
      <w:spacing w:line="360" w:lineRule="auto"/>
      <w:ind w:firstLine="420" w:firstLineChars="200"/>
    </w:pPr>
    <w:rPr>
      <w:rFonts w:ascii="宋体" w:hAnsi="宋体"/>
      <w:szCs w:val="21"/>
    </w:rPr>
  </w:style>
  <w:style w:type="paragraph" w:customStyle="1" w:styleId="87">
    <w:name w:val="列出段落111"/>
    <w:basedOn w:val="1"/>
    <w:autoRedefine/>
    <w:qFormat/>
    <w:uiPriority w:val="0"/>
    <w:pPr>
      <w:ind w:firstLine="420" w:firstLineChars="200"/>
    </w:pPr>
    <w:rPr>
      <w:sz w:val="28"/>
      <w:szCs w:val="28"/>
    </w:rPr>
  </w:style>
  <w:style w:type="paragraph" w:customStyle="1" w:styleId="88">
    <w:name w:val="g2"/>
    <w:basedOn w:val="1"/>
    <w:autoRedefine/>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9">
    <w:name w:val="pa-27"/>
    <w:basedOn w:val="1"/>
    <w:autoRedefine/>
    <w:qFormat/>
    <w:uiPriority w:val="0"/>
    <w:pPr>
      <w:widowControl/>
      <w:spacing w:line="360" w:lineRule="atLeast"/>
      <w:ind w:firstLine="420"/>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92">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3">
    <w:name w:val="Char Char Char Char"/>
    <w:basedOn w:val="15"/>
    <w:autoRedefine/>
    <w:qFormat/>
    <w:uiPriority w:val="0"/>
    <w:pPr>
      <w:spacing w:line="360" w:lineRule="auto"/>
      <w:ind w:firstLine="200" w:firstLineChars="200"/>
    </w:pPr>
    <w:rPr>
      <w:rFonts w:ascii="Tahoma" w:hAnsi="Tahoma"/>
      <w:sz w:val="24"/>
    </w:rPr>
  </w:style>
  <w:style w:type="paragraph" w:customStyle="1" w:styleId="94">
    <w:name w:val="表格内容"/>
    <w:basedOn w:val="1"/>
    <w:autoRedefine/>
    <w:qFormat/>
    <w:uiPriority w:val="0"/>
    <w:pPr>
      <w:suppressLineNumbers/>
      <w:suppressAutoHyphens/>
    </w:pPr>
  </w:style>
  <w:style w:type="paragraph" w:customStyle="1" w:styleId="95">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97">
    <w:name w:val="_Style 105"/>
    <w:basedOn w:val="3"/>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98">
    <w:name w:val="明显引用1"/>
    <w:basedOn w:val="1"/>
    <w:next w:val="1"/>
    <w:link w:val="288"/>
    <w:autoRedefine/>
    <w:qFormat/>
    <w:uiPriority w:val="0"/>
    <w:pPr>
      <w:pBdr>
        <w:bottom w:val="single" w:color="4F81BD" w:sz="4" w:space="4"/>
      </w:pBdr>
      <w:ind w:left="936" w:right="936"/>
    </w:pPr>
    <w:rPr>
      <w:b/>
      <w:bCs/>
      <w:i/>
      <w:iCs/>
      <w:color w:val="4F81BD"/>
      <w:szCs w:val="22"/>
    </w:rPr>
  </w:style>
  <w:style w:type="paragraph" w:customStyle="1" w:styleId="99">
    <w:name w:val="表体"/>
    <w:basedOn w:val="1"/>
    <w:next w:val="1"/>
    <w:autoRedefine/>
    <w:qFormat/>
    <w:uiPriority w:val="0"/>
    <w:pPr>
      <w:spacing w:line="0" w:lineRule="atLeast"/>
    </w:pPr>
    <w:rPr>
      <w:rFonts w:ascii="Calibri" w:hAnsi="Calibri"/>
      <w:b/>
      <w:snapToGrid w:val="0"/>
      <w:szCs w:val="20"/>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01">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2">
    <w:name w:val="g3"/>
    <w:basedOn w:val="1"/>
    <w:autoRedefine/>
    <w:qFormat/>
    <w:uiPriority w:val="0"/>
    <w:pPr>
      <w:widowControl/>
      <w:spacing w:beforeAutospacing="1" w:afterAutospacing="1"/>
      <w:jc w:val="left"/>
    </w:pPr>
    <w:rPr>
      <w:rFonts w:ascii="宋体" w:hAnsi="宋体" w:cs="宋体"/>
      <w:kern w:val="0"/>
      <w:sz w:val="24"/>
    </w:rPr>
  </w:style>
  <w:style w:type="paragraph" w:customStyle="1" w:styleId="103">
    <w:name w:val="1"/>
    <w:basedOn w:val="1"/>
    <w:autoRedefine/>
    <w:qFormat/>
    <w:uiPriority w:val="0"/>
    <w:pPr>
      <w:widowControl/>
      <w:spacing w:beforeAutospacing="1" w:afterAutospacing="1"/>
      <w:jc w:val="left"/>
    </w:pPr>
    <w:rPr>
      <w:rFonts w:ascii="ˎ̥" w:hAnsi="ˎ̥" w:cs="宋体"/>
      <w:kern w:val="0"/>
      <w:sz w:val="24"/>
    </w:rPr>
  </w:style>
  <w:style w:type="paragraph" w:customStyle="1" w:styleId="104">
    <w:name w:val="p16"/>
    <w:basedOn w:val="1"/>
    <w:autoRedefine/>
    <w:qFormat/>
    <w:uiPriority w:val="0"/>
    <w:pPr>
      <w:widowControl/>
    </w:pPr>
    <w:rPr>
      <w:rFonts w:ascii="Calibri" w:hAnsi="Calibri" w:cs="宋体"/>
      <w:kern w:val="0"/>
      <w:szCs w:val="21"/>
    </w:rPr>
  </w:style>
  <w:style w:type="paragraph" w:customStyle="1" w:styleId="10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6">
    <w:name w:val="l-2"/>
    <w:basedOn w:val="1"/>
    <w:autoRedefine/>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10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标题4"/>
    <w:basedOn w:val="4"/>
    <w:next w:val="20"/>
    <w:link w:val="299"/>
    <w:autoRedefine/>
    <w:qFormat/>
    <w:uiPriority w:val="0"/>
    <w:pPr>
      <w:spacing w:line="413" w:lineRule="auto"/>
    </w:pPr>
    <w:rPr>
      <w:rFonts w:ascii="Arial" w:hAnsi="Arial"/>
      <w:kern w:val="0"/>
      <w:sz w:val="24"/>
    </w:rPr>
  </w:style>
  <w:style w:type="paragraph" w:customStyle="1" w:styleId="109">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1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2">
    <w:name w:val="WW-表格内容"/>
    <w:basedOn w:val="1"/>
    <w:autoRedefine/>
    <w:qFormat/>
    <w:uiPriority w:val="0"/>
    <w:pPr>
      <w:suppressLineNumbers/>
      <w:suppressAutoHyphens/>
    </w:pPr>
  </w:style>
  <w:style w:type="paragraph" w:customStyle="1" w:styleId="113">
    <w:name w:val="Char"/>
    <w:basedOn w:val="1"/>
    <w:autoRedefine/>
    <w:qFormat/>
    <w:uiPriority w:val="0"/>
  </w:style>
  <w:style w:type="paragraph" w:customStyle="1" w:styleId="114">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15">
    <w:name w:val="Normal_47"/>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116">
    <w:name w:val="样式15"/>
    <w:basedOn w:val="5"/>
    <w:autoRedefine/>
    <w:qFormat/>
    <w:uiPriority w:val="0"/>
    <w:pPr>
      <w:tabs>
        <w:tab w:val="left" w:pos="0"/>
        <w:tab w:val="left" w:pos="210"/>
        <w:tab w:val="left" w:pos="420"/>
        <w:tab w:val="left" w:pos="1260"/>
      </w:tabs>
      <w:adjustRightInd w:val="0"/>
      <w:spacing w:line="240" w:lineRule="auto"/>
      <w:jc w:val="left"/>
    </w:pPr>
    <w:rPr>
      <w:rFonts w:ascii="仿宋_GB2312" w:hAnsi="Calibri" w:eastAsia="仿宋_GB2312"/>
      <w:bCs w:val="0"/>
      <w:szCs w:val="24"/>
    </w:rPr>
  </w:style>
  <w:style w:type="paragraph" w:customStyle="1" w:styleId="117">
    <w:name w:val="rr"/>
    <w:basedOn w:val="1"/>
    <w:autoRedefine/>
    <w:qFormat/>
    <w:uiPriority w:val="0"/>
    <w:pPr>
      <w:widowControl/>
      <w:spacing w:beforeAutospacing="1" w:afterAutospacing="1"/>
      <w:jc w:val="left"/>
    </w:pPr>
    <w:rPr>
      <w:rFonts w:hint="eastAsia" w:ascii="宋体" w:hAnsi="宋体"/>
      <w:kern w:val="0"/>
      <w:szCs w:val="21"/>
    </w:rPr>
  </w:style>
  <w:style w:type="paragraph" w:customStyle="1" w:styleId="118">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11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20">
    <w:name w:val="p15"/>
    <w:basedOn w:val="1"/>
    <w:autoRedefine/>
    <w:qFormat/>
    <w:uiPriority w:val="0"/>
    <w:pPr>
      <w:widowControl/>
    </w:pPr>
    <w:rPr>
      <w:kern w:val="0"/>
      <w:szCs w:val="21"/>
    </w:rPr>
  </w:style>
  <w:style w:type="paragraph" w:customStyle="1" w:styleId="121">
    <w:name w:val="rw"/>
    <w:basedOn w:val="1"/>
    <w:autoRedefine/>
    <w:qFormat/>
    <w:uiPriority w:val="0"/>
    <w:pPr>
      <w:widowControl/>
      <w:ind w:left="100" w:right="100"/>
      <w:jc w:val="right"/>
    </w:pPr>
    <w:rPr>
      <w:rFonts w:ascii="方正仿宋简体" w:hAnsi="宋体" w:eastAsia="方正仿宋简体"/>
      <w:color w:val="000000"/>
      <w:kern w:val="0"/>
      <w:szCs w:val="21"/>
    </w:rPr>
  </w:style>
  <w:style w:type="paragraph" w:customStyle="1" w:styleId="122">
    <w:name w:val="正  文"/>
    <w:basedOn w:val="1"/>
    <w:autoRedefine/>
    <w:qFormat/>
    <w:uiPriority w:val="0"/>
    <w:pPr>
      <w:spacing w:line="360" w:lineRule="auto"/>
      <w:ind w:firstLine="200" w:firstLineChars="200"/>
    </w:pPr>
    <w:rPr>
      <w:rFonts w:ascii="宋体" w:hAnsi="Calibri"/>
      <w:sz w:val="24"/>
    </w:rPr>
  </w:style>
  <w:style w:type="paragraph" w:customStyle="1" w:styleId="123">
    <w:name w:val="列出段落11"/>
    <w:basedOn w:val="1"/>
    <w:autoRedefine/>
    <w:qFormat/>
    <w:uiPriority w:val="0"/>
    <w:pPr>
      <w:ind w:firstLine="420" w:firstLineChars="200"/>
    </w:pPr>
    <w:rPr>
      <w:sz w:val="28"/>
      <w:szCs w:val="28"/>
    </w:rPr>
  </w:style>
  <w:style w:type="paragraph" w:customStyle="1" w:styleId="12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样式 标题 1 + 黑体 三号 非加粗 居中 段前: 6 磅 段后: 6 磅 行距: 固定值 20 磅"/>
    <w:basedOn w:val="3"/>
    <w:autoRedefine/>
    <w:qFormat/>
    <w:uiPriority w:val="0"/>
    <w:pPr>
      <w:spacing w:line="400" w:lineRule="exact"/>
      <w:jc w:val="center"/>
    </w:pPr>
    <w:rPr>
      <w:rFonts w:ascii="黑体" w:hAnsi="黑体" w:eastAsia="黑体" w:cs="宋体"/>
      <w:b w:val="0"/>
      <w:bCs w:val="0"/>
      <w:sz w:val="32"/>
      <w:szCs w:val="20"/>
    </w:rPr>
  </w:style>
  <w:style w:type="paragraph" w:customStyle="1" w:styleId="126">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27">
    <w:name w:val="表格文字"/>
    <w:basedOn w:val="1"/>
    <w:autoRedefine/>
    <w:qFormat/>
    <w:uiPriority w:val="0"/>
    <w:pPr>
      <w:adjustRightInd w:val="0"/>
      <w:spacing w:line="420" w:lineRule="atLeast"/>
      <w:jc w:val="left"/>
      <w:textAlignment w:val="baseline"/>
    </w:pPr>
    <w:rPr>
      <w:kern w:val="0"/>
      <w:szCs w:val="20"/>
    </w:rPr>
  </w:style>
  <w:style w:type="paragraph" w:customStyle="1" w:styleId="128">
    <w:name w:val="表格"/>
    <w:basedOn w:val="1"/>
    <w:autoRedefine/>
    <w:qFormat/>
    <w:uiPriority w:val="0"/>
    <w:pPr>
      <w:jc w:val="center"/>
      <w:textAlignment w:val="center"/>
    </w:pPr>
    <w:rPr>
      <w:rFonts w:ascii="华文细黑" w:hAnsi="华文细黑"/>
      <w:kern w:val="0"/>
      <w:szCs w:val="20"/>
    </w:rPr>
  </w:style>
  <w:style w:type="paragraph" w:customStyle="1" w:styleId="129">
    <w:name w:val="Char1"/>
    <w:basedOn w:val="1"/>
    <w:autoRedefine/>
    <w:qFormat/>
    <w:uiPriority w:val="0"/>
  </w:style>
  <w:style w:type="paragraph" w:customStyle="1" w:styleId="130">
    <w:name w:val="TOC 标题11"/>
    <w:basedOn w:val="3"/>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131">
    <w:name w:val="引用2"/>
    <w:basedOn w:val="1"/>
    <w:next w:val="1"/>
    <w:link w:val="251"/>
    <w:autoRedefine/>
    <w:qFormat/>
    <w:uiPriority w:val="0"/>
    <w:rPr>
      <w:i/>
      <w:iCs/>
      <w:color w:val="000000"/>
    </w:rPr>
  </w:style>
  <w:style w:type="paragraph" w:customStyle="1" w:styleId="13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33">
    <w:name w:val="引用1"/>
    <w:basedOn w:val="1"/>
    <w:next w:val="1"/>
    <w:link w:val="203"/>
    <w:autoRedefine/>
    <w:qFormat/>
    <w:uiPriority w:val="0"/>
    <w:rPr>
      <w:i/>
      <w:iCs/>
      <w:color w:val="000000"/>
      <w:szCs w:val="22"/>
    </w:rPr>
  </w:style>
  <w:style w:type="paragraph" w:customStyle="1" w:styleId="13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36">
    <w:name w:val="Char2"/>
    <w:basedOn w:val="1"/>
    <w:autoRedefine/>
    <w:qFormat/>
    <w:uiPriority w:val="0"/>
    <w:rPr>
      <w:rFonts w:ascii="Calibri" w:hAnsi="Calibri"/>
    </w:rPr>
  </w:style>
  <w:style w:type="paragraph" w:customStyle="1" w:styleId="137">
    <w:name w:val="标题5"/>
    <w:basedOn w:val="5"/>
    <w:link w:val="297"/>
    <w:autoRedefine/>
    <w:qFormat/>
    <w:uiPriority w:val="0"/>
    <w:pPr>
      <w:spacing w:line="413" w:lineRule="auto"/>
    </w:pPr>
    <w:rPr>
      <w:rFonts w:ascii="Arial" w:hAnsi="Arial"/>
      <w:kern w:val="0"/>
      <w:sz w:val="24"/>
    </w:rPr>
  </w:style>
  <w:style w:type="paragraph" w:customStyle="1" w:styleId="13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TOC 标题1"/>
    <w:basedOn w:val="3"/>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140">
    <w:name w:val="表格标题"/>
    <w:basedOn w:val="94"/>
    <w:autoRedefine/>
    <w:qFormat/>
    <w:uiPriority w:val="0"/>
  </w:style>
  <w:style w:type="paragraph" w:customStyle="1" w:styleId="141">
    <w:name w:val="g11"/>
    <w:basedOn w:val="1"/>
    <w:autoRedefine/>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142">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43">
    <w:name w:val="intel1"/>
    <w:basedOn w:val="1"/>
    <w:autoRedefine/>
    <w:qFormat/>
    <w:uiPriority w:val="0"/>
    <w:pPr>
      <w:widowControl/>
      <w:spacing w:beforeAutospacing="1" w:afterAutospacing="1"/>
      <w:jc w:val="left"/>
    </w:pPr>
    <w:rPr>
      <w:rFonts w:ascii="宋体" w:hAnsi="宋体" w:cs="宋体"/>
      <w:kern w:val="0"/>
      <w:sz w:val="24"/>
    </w:rPr>
  </w:style>
  <w:style w:type="paragraph" w:customStyle="1" w:styleId="144">
    <w:name w:val="style12"/>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145">
    <w:name w:val="标题2"/>
    <w:basedOn w:val="1"/>
    <w:autoRedefine/>
    <w:qFormat/>
    <w:uiPriority w:val="0"/>
    <w:pPr>
      <w:widowControl/>
      <w:spacing w:beforeAutospacing="1" w:afterAutospacing="1"/>
      <w:jc w:val="left"/>
    </w:pPr>
    <w:rPr>
      <w:rFonts w:ascii="宋体" w:hAnsi="宋体" w:cs="宋体"/>
      <w:kern w:val="0"/>
      <w:sz w:val="24"/>
    </w:rPr>
  </w:style>
  <w:style w:type="paragraph" w:customStyle="1" w:styleId="146">
    <w:name w:val="WW-表格标题"/>
    <w:basedOn w:val="112"/>
    <w:autoRedefine/>
    <w:qFormat/>
    <w:uiPriority w:val="0"/>
  </w:style>
  <w:style w:type="paragraph" w:customStyle="1" w:styleId="147">
    <w:name w:val="ly"/>
    <w:basedOn w:val="1"/>
    <w:autoRedefine/>
    <w:qFormat/>
    <w:uiPriority w:val="0"/>
    <w:pPr>
      <w:widowControl/>
      <w:jc w:val="right"/>
    </w:pPr>
    <w:rPr>
      <w:rFonts w:ascii="方正书宋简体" w:hAnsi="宋体" w:eastAsia="方正书宋简体"/>
      <w:color w:val="000000"/>
      <w:kern w:val="0"/>
      <w:szCs w:val="21"/>
    </w:rPr>
  </w:style>
  <w:style w:type="paragraph" w:customStyle="1" w:styleId="148">
    <w:name w:val="明显引用12"/>
    <w:basedOn w:val="1"/>
    <w:next w:val="1"/>
    <w:link w:val="261"/>
    <w:autoRedefine/>
    <w:qFormat/>
    <w:uiPriority w:val="30"/>
    <w:pPr>
      <w:pBdr>
        <w:bottom w:val="single" w:color="4F81BD" w:sz="4" w:space="4"/>
      </w:pBdr>
      <w:spacing w:before="200" w:after="280"/>
      <w:ind w:left="936" w:right="936"/>
    </w:pPr>
    <w:rPr>
      <w:b/>
      <w:bCs/>
      <w:i/>
      <w:iCs/>
      <w:color w:val="4F81BD"/>
      <w:szCs w:val="20"/>
    </w:rPr>
  </w:style>
  <w:style w:type="paragraph" w:customStyle="1" w:styleId="149">
    <w:name w:val="标准样式1"/>
    <w:basedOn w:val="1"/>
    <w:autoRedefine/>
    <w:qFormat/>
    <w:uiPriority w:val="0"/>
    <w:pPr>
      <w:spacing w:line="600" w:lineRule="exact"/>
      <w:ind w:firstLine="567"/>
    </w:pPr>
    <w:rPr>
      <w:rFonts w:ascii="Calibri" w:hAnsi="Calibri"/>
      <w:sz w:val="28"/>
    </w:rPr>
  </w:style>
  <w:style w:type="paragraph" w:customStyle="1" w:styleId="150">
    <w:name w:val="Char3"/>
    <w:basedOn w:val="1"/>
    <w:autoRedefine/>
    <w:qFormat/>
    <w:uiPriority w:val="0"/>
  </w:style>
  <w:style w:type="paragraph" w:customStyle="1" w:styleId="151">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5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53">
    <w:name w:val="引用11"/>
    <w:basedOn w:val="1"/>
    <w:next w:val="1"/>
    <w:link w:val="275"/>
    <w:autoRedefine/>
    <w:qFormat/>
    <w:uiPriority w:val="29"/>
    <w:rPr>
      <w:i/>
      <w:iCs/>
      <w:color w:val="000000"/>
      <w:szCs w:val="20"/>
    </w:rPr>
  </w:style>
  <w:style w:type="paragraph" w:customStyle="1" w:styleId="154">
    <w:name w:val="_Style 87"/>
    <w:basedOn w:val="1"/>
    <w:autoRedefine/>
    <w:qFormat/>
    <w:uiPriority w:val="99"/>
    <w:pPr>
      <w:ind w:firstLine="420" w:firstLineChars="200"/>
    </w:pPr>
    <w:rPr>
      <w:rFonts w:ascii="Calibri" w:hAnsi="Calibri"/>
      <w:sz w:val="28"/>
      <w:szCs w:val="28"/>
    </w:rPr>
  </w:style>
  <w:style w:type="paragraph" w:customStyle="1" w:styleId="155">
    <w:name w:val="自定样式1"/>
    <w:basedOn w:val="1"/>
    <w:autoRedefine/>
    <w:qFormat/>
    <w:uiPriority w:val="0"/>
    <w:pPr>
      <w:suppressAutoHyphens/>
      <w:jc w:val="center"/>
    </w:pPr>
    <w:rPr>
      <w:rFonts w:ascii="宋体" w:hAnsi="宋体"/>
      <w:color w:val="000000"/>
      <w:sz w:val="18"/>
    </w:rPr>
  </w:style>
  <w:style w:type="paragraph" w:customStyle="1" w:styleId="156">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157">
    <w:name w:val="样式 标题 2 + Times New Roman 四号 非加粗 段前: 5 磅 段后: 0 磅 行距: 固定值 20..."/>
    <w:basedOn w:val="4"/>
    <w:autoRedefine/>
    <w:qFormat/>
    <w:uiPriority w:val="0"/>
    <w:pPr>
      <w:spacing w:line="400" w:lineRule="exact"/>
    </w:pPr>
    <w:rPr>
      <w:rFonts w:ascii="Times New Roman" w:hAnsi="Times New Roman" w:eastAsia="黑体" w:cs="宋体"/>
      <w:b w:val="0"/>
      <w:bCs w:val="0"/>
      <w:sz w:val="28"/>
      <w:szCs w:val="20"/>
    </w:rPr>
  </w:style>
  <w:style w:type="paragraph" w:customStyle="1" w:styleId="158">
    <w:name w:val="Table Paragraph"/>
    <w:basedOn w:val="1"/>
    <w:autoRedefine/>
    <w:qFormat/>
    <w:uiPriority w:val="1"/>
  </w:style>
  <w:style w:type="paragraph" w:customStyle="1" w:styleId="159">
    <w:name w:val="正文文本 (2)1"/>
    <w:basedOn w:val="1"/>
    <w:autoRedefine/>
    <w:qFormat/>
    <w:uiPriority w:val="0"/>
    <w:pPr>
      <w:shd w:val="clear" w:color="auto" w:fill="FFFFFF"/>
      <w:spacing w:line="355" w:lineRule="exact"/>
      <w:ind w:hanging="420"/>
      <w:jc w:val="distribute"/>
    </w:pPr>
    <w:rPr>
      <w:rFonts w:hint="eastAsia" w:ascii="MingLiU" w:eastAsia="MingLiU"/>
      <w:sz w:val="20"/>
      <w:szCs w:val="26"/>
    </w:rPr>
  </w:style>
  <w:style w:type="paragraph" w:customStyle="1" w:styleId="160">
    <w:name w:val="标题 #8 (2)1"/>
    <w:basedOn w:val="1"/>
    <w:link w:val="324"/>
    <w:autoRedefine/>
    <w:qFormat/>
    <w:uiPriority w:val="0"/>
    <w:pPr>
      <w:shd w:val="clear" w:color="auto" w:fill="FFFFFF"/>
      <w:spacing w:before="180" w:line="240" w:lineRule="atLeast"/>
      <w:jc w:val="left"/>
      <w:outlineLvl w:val="7"/>
    </w:pPr>
    <w:rPr>
      <w:kern w:val="0"/>
      <w:sz w:val="20"/>
      <w:szCs w:val="20"/>
    </w:rPr>
  </w:style>
  <w:style w:type="character" w:customStyle="1" w:styleId="161">
    <w:name w:val="未处理的提及1"/>
    <w:autoRedefine/>
    <w:unhideWhenUsed/>
    <w:qFormat/>
    <w:uiPriority w:val="99"/>
    <w:rPr>
      <w:color w:val="808080"/>
      <w:shd w:val="clear" w:color="auto" w:fill="E6E6E6"/>
    </w:rPr>
  </w:style>
  <w:style w:type="character" w:customStyle="1" w:styleId="162">
    <w:name w:val="正文文本 3 Char"/>
    <w:autoRedefine/>
    <w:qFormat/>
    <w:uiPriority w:val="0"/>
    <w:rPr>
      <w:kern w:val="2"/>
      <w:sz w:val="16"/>
      <w:szCs w:val="16"/>
    </w:rPr>
  </w:style>
  <w:style w:type="character" w:customStyle="1" w:styleId="163">
    <w:name w:val="正文文本缩进 Char2"/>
    <w:autoRedefine/>
    <w:semiHidden/>
    <w:qFormat/>
    <w:uiPriority w:val="99"/>
    <w:rPr>
      <w:rFonts w:ascii="Calibri" w:hAnsi="Calibri" w:eastAsia="宋体" w:cs="Times New Roman"/>
      <w:szCs w:val="24"/>
    </w:rPr>
  </w:style>
  <w:style w:type="character" w:customStyle="1" w:styleId="164">
    <w:name w:val="批注框文本 Char2"/>
    <w:autoRedefine/>
    <w:qFormat/>
    <w:uiPriority w:val="99"/>
    <w:rPr>
      <w:kern w:val="2"/>
      <w:sz w:val="18"/>
      <w:szCs w:val="18"/>
    </w:rPr>
  </w:style>
  <w:style w:type="character" w:customStyle="1" w:styleId="165">
    <w:name w:val="textcontents"/>
    <w:autoRedefine/>
    <w:qFormat/>
    <w:uiPriority w:val="0"/>
    <w:rPr>
      <w:rFonts w:cs="Times New Roman"/>
    </w:rPr>
  </w:style>
  <w:style w:type="character" w:customStyle="1" w:styleId="166">
    <w:name w:val="ht1"/>
    <w:autoRedefine/>
    <w:qFormat/>
    <w:uiPriority w:val="0"/>
    <w:rPr>
      <w:rFonts w:ascii="黑体" w:eastAsia="黑体"/>
      <w:b/>
      <w:bCs/>
    </w:rPr>
  </w:style>
  <w:style w:type="character" w:customStyle="1" w:styleId="167">
    <w:name w:val="标题 Char"/>
    <w:autoRedefine/>
    <w:qFormat/>
    <w:uiPriority w:val="0"/>
    <w:rPr>
      <w:rFonts w:ascii="Cambria" w:hAnsi="Cambria" w:eastAsia="宋体" w:cs="Times New Roman"/>
      <w:b/>
      <w:bCs/>
      <w:kern w:val="2"/>
      <w:sz w:val="32"/>
      <w:szCs w:val="32"/>
    </w:rPr>
  </w:style>
  <w:style w:type="character" w:customStyle="1" w:styleId="168">
    <w:name w:val="14t1"/>
    <w:autoRedefine/>
    <w:qFormat/>
    <w:uiPriority w:val="0"/>
    <w:rPr>
      <w:rFonts w:hint="eastAsia" w:ascii="宋体" w:hAnsi="宋体" w:eastAsia="宋体"/>
      <w:sz w:val="11"/>
      <w:szCs w:val="11"/>
    </w:rPr>
  </w:style>
  <w:style w:type="character" w:customStyle="1" w:styleId="169">
    <w:name w:val="Char Char36"/>
    <w:autoRedefine/>
    <w:qFormat/>
    <w:uiPriority w:val="0"/>
    <w:rPr>
      <w:rFonts w:ascii="仿宋_GB2312" w:eastAsia="仿宋_GB2312" w:cs="MingLiU"/>
      <w:b/>
      <w:sz w:val="24"/>
      <w:szCs w:val="28"/>
    </w:rPr>
  </w:style>
  <w:style w:type="character" w:customStyle="1" w:styleId="170">
    <w:name w:val="文档结构图 Char"/>
    <w:autoRedefine/>
    <w:qFormat/>
    <w:uiPriority w:val="0"/>
    <w:rPr>
      <w:rFonts w:ascii="宋体"/>
      <w:kern w:val="2"/>
      <w:sz w:val="18"/>
      <w:szCs w:val="18"/>
    </w:rPr>
  </w:style>
  <w:style w:type="character" w:customStyle="1" w:styleId="171">
    <w:name w:val="普通文字 Char Char2"/>
    <w:autoRedefine/>
    <w:qFormat/>
    <w:uiPriority w:val="0"/>
    <w:rPr>
      <w:rFonts w:ascii="宋体" w:hAnsi="Courier New"/>
      <w:kern w:val="2"/>
      <w:sz w:val="28"/>
      <w:szCs w:val="28"/>
    </w:rPr>
  </w:style>
  <w:style w:type="character" w:customStyle="1" w:styleId="172">
    <w:name w:val="HTML 预设格式 Char"/>
    <w:autoRedefine/>
    <w:qFormat/>
    <w:uiPriority w:val="0"/>
    <w:rPr>
      <w:rFonts w:ascii="宋体" w:hAnsi="宋体" w:eastAsia="宋体" w:cs="宋体"/>
      <w:color w:val="000000"/>
      <w:sz w:val="24"/>
      <w:szCs w:val="24"/>
    </w:rPr>
  </w:style>
  <w:style w:type="character" w:customStyle="1" w:styleId="173">
    <w:name w:val="纯文本 Char"/>
    <w:autoRedefine/>
    <w:qFormat/>
    <w:uiPriority w:val="0"/>
    <w:rPr>
      <w:rFonts w:ascii="宋体" w:hAnsi="Courier New"/>
      <w:sz w:val="28"/>
      <w:szCs w:val="28"/>
    </w:rPr>
  </w:style>
  <w:style w:type="character" w:customStyle="1" w:styleId="174">
    <w:name w:val="批注框文本 Char"/>
    <w:autoRedefine/>
    <w:qFormat/>
    <w:uiPriority w:val="0"/>
    <w:rPr>
      <w:sz w:val="18"/>
      <w:szCs w:val="18"/>
    </w:rPr>
  </w:style>
  <w:style w:type="character" w:customStyle="1" w:styleId="175">
    <w:name w:val="页脚 Char"/>
    <w:autoRedefine/>
    <w:qFormat/>
    <w:uiPriority w:val="99"/>
    <w:rPr>
      <w:sz w:val="18"/>
      <w:szCs w:val="18"/>
    </w:rPr>
  </w:style>
  <w:style w:type="character" w:customStyle="1" w:styleId="176">
    <w:name w:val="标题 4 Char2"/>
    <w:link w:val="6"/>
    <w:autoRedefine/>
    <w:qFormat/>
    <w:uiPriority w:val="0"/>
    <w:rPr>
      <w:rFonts w:ascii="宋体" w:hAnsi="宋体" w:eastAsia="宋体" w:cs="宋体"/>
      <w:b/>
      <w:bCs/>
      <w:sz w:val="24"/>
      <w:szCs w:val="24"/>
      <w:lang w:val="en-US" w:eastAsia="zh-CN" w:bidi="ar-SA"/>
    </w:rPr>
  </w:style>
  <w:style w:type="character" w:customStyle="1" w:styleId="177">
    <w:name w:val="正文文本缩进 3 Char"/>
    <w:autoRedefine/>
    <w:qFormat/>
    <w:uiPriority w:val="0"/>
    <w:rPr>
      <w:kern w:val="2"/>
      <w:sz w:val="16"/>
      <w:szCs w:val="16"/>
    </w:rPr>
  </w:style>
  <w:style w:type="character" w:customStyle="1" w:styleId="178">
    <w:name w:val="标题 8 Char"/>
    <w:autoRedefine/>
    <w:qFormat/>
    <w:uiPriority w:val="0"/>
    <w:rPr>
      <w:rFonts w:ascii="Arial" w:hAnsi="Arial" w:eastAsia="黑体" w:cs="Times New Roman"/>
      <w:sz w:val="24"/>
      <w:szCs w:val="24"/>
    </w:rPr>
  </w:style>
  <w:style w:type="character" w:customStyle="1" w:styleId="179">
    <w:name w:val="HTML 预设格式 Char3"/>
    <w:link w:val="40"/>
    <w:autoRedefine/>
    <w:qFormat/>
    <w:uiPriority w:val="0"/>
    <w:rPr>
      <w:rFonts w:ascii="宋体" w:hAnsi="宋体" w:eastAsia="宋体" w:cs="宋体"/>
      <w:color w:val="000000"/>
      <w:sz w:val="24"/>
      <w:szCs w:val="24"/>
      <w:lang w:val="en-US" w:eastAsia="zh-CN" w:bidi="ar-SA"/>
    </w:rPr>
  </w:style>
  <w:style w:type="character" w:customStyle="1" w:styleId="180">
    <w:name w:val="文档结构图 Char4"/>
    <w:link w:val="15"/>
    <w:autoRedefine/>
    <w:qFormat/>
    <w:uiPriority w:val="0"/>
    <w:rPr>
      <w:rFonts w:eastAsia="宋体"/>
      <w:kern w:val="2"/>
      <w:sz w:val="21"/>
      <w:szCs w:val="24"/>
      <w:lang w:val="en-US" w:eastAsia="zh-CN" w:bidi="ar-SA"/>
    </w:rPr>
  </w:style>
  <w:style w:type="character" w:customStyle="1" w:styleId="181">
    <w:name w:val="正文文本缩进 2 Char1"/>
    <w:autoRedefine/>
    <w:qFormat/>
    <w:uiPriority w:val="0"/>
    <w:rPr>
      <w:sz w:val="28"/>
      <w:szCs w:val="24"/>
    </w:rPr>
  </w:style>
  <w:style w:type="character" w:customStyle="1" w:styleId="182">
    <w:name w:val="标题 5 Char1"/>
    <w:autoRedefine/>
    <w:qFormat/>
    <w:uiPriority w:val="0"/>
    <w:rPr>
      <w:rFonts w:ascii="宋体" w:hAnsi="宋体" w:eastAsia="宋体" w:cs="宋体"/>
      <w:b/>
      <w:bCs/>
      <w:sz w:val="20"/>
      <w:szCs w:val="20"/>
    </w:rPr>
  </w:style>
  <w:style w:type="character" w:customStyle="1" w:styleId="183">
    <w:name w:val="批注文字 Char"/>
    <w:autoRedefine/>
    <w:qFormat/>
    <w:uiPriority w:val="0"/>
    <w:rPr>
      <w:rFonts w:ascii="Times New Roman" w:hAnsi="Times New Roman" w:eastAsia="宋体" w:cs="Times New Roman"/>
      <w:kern w:val="2"/>
      <w:sz w:val="21"/>
      <w:szCs w:val="24"/>
    </w:rPr>
  </w:style>
  <w:style w:type="character" w:customStyle="1" w:styleId="184">
    <w:name w:val="日期 Char4"/>
    <w:link w:val="25"/>
    <w:autoRedefine/>
    <w:qFormat/>
    <w:uiPriority w:val="0"/>
    <w:rPr>
      <w:rFonts w:eastAsia="宋体"/>
      <w:kern w:val="2"/>
      <w:sz w:val="21"/>
      <w:szCs w:val="24"/>
      <w:lang w:val="en-US" w:eastAsia="zh-CN" w:bidi="ar-SA"/>
    </w:rPr>
  </w:style>
  <w:style w:type="character" w:customStyle="1" w:styleId="185">
    <w:name w:val="style121"/>
    <w:autoRedefine/>
    <w:qFormat/>
    <w:uiPriority w:val="0"/>
    <w:rPr>
      <w:rFonts w:hint="eastAsia" w:ascii="宋体" w:hAnsi="宋体" w:eastAsia="宋体"/>
      <w:sz w:val="18"/>
      <w:szCs w:val="18"/>
    </w:rPr>
  </w:style>
  <w:style w:type="character" w:customStyle="1" w:styleId="186">
    <w:name w:val="Section Char"/>
    <w:autoRedefine/>
    <w:qFormat/>
    <w:uiPriority w:val="0"/>
    <w:rPr>
      <w:rFonts w:ascii="仿宋_GB2312" w:eastAsia="仿宋_GB2312" w:cs="MingLiU"/>
      <w:b/>
      <w:sz w:val="24"/>
      <w:szCs w:val="28"/>
      <w:lang w:val="en-US" w:eastAsia="zh-CN" w:bidi="ar-SA"/>
    </w:rPr>
  </w:style>
  <w:style w:type="character" w:customStyle="1" w:styleId="187">
    <w:name w:val="正文文本 3 Char1"/>
    <w:autoRedefine/>
    <w:qFormat/>
    <w:uiPriority w:val="0"/>
    <w:rPr>
      <w:kern w:val="2"/>
      <w:sz w:val="16"/>
      <w:szCs w:val="16"/>
    </w:rPr>
  </w:style>
  <w:style w:type="character" w:customStyle="1" w:styleId="188">
    <w:name w:val="文档结构图 Char1"/>
    <w:autoRedefine/>
    <w:qFormat/>
    <w:uiPriority w:val="0"/>
    <w:rPr>
      <w:rFonts w:ascii="宋体"/>
      <w:kern w:val="2"/>
      <w:sz w:val="18"/>
      <w:szCs w:val="18"/>
    </w:rPr>
  </w:style>
  <w:style w:type="character" w:customStyle="1" w:styleId="189">
    <w:name w:val="标题 9 Char"/>
    <w:autoRedefine/>
    <w:qFormat/>
    <w:uiPriority w:val="0"/>
    <w:rPr>
      <w:rFonts w:ascii="Arial" w:hAnsi="Arial" w:eastAsia="黑体" w:cs="Times New Roman"/>
      <w:szCs w:val="21"/>
    </w:rPr>
  </w:style>
  <w:style w:type="character" w:customStyle="1" w:styleId="190">
    <w:name w:val="页眉 Char1"/>
    <w:autoRedefine/>
    <w:semiHidden/>
    <w:qFormat/>
    <w:uiPriority w:val="99"/>
    <w:rPr>
      <w:kern w:val="2"/>
      <w:sz w:val="18"/>
      <w:szCs w:val="18"/>
    </w:rPr>
  </w:style>
  <w:style w:type="character" w:customStyle="1" w:styleId="191">
    <w:name w:val="Char Char35"/>
    <w:autoRedefine/>
    <w:qFormat/>
    <w:uiPriority w:val="0"/>
    <w:rPr>
      <w:rFonts w:ascii="仿宋_GB2312" w:eastAsia="仿宋_GB2312" w:cs="MingLiU"/>
      <w:b/>
      <w:sz w:val="24"/>
      <w:szCs w:val="28"/>
    </w:rPr>
  </w:style>
  <w:style w:type="character" w:customStyle="1" w:styleId="192">
    <w:name w:val="日期 Char2"/>
    <w:autoRedefine/>
    <w:qFormat/>
    <w:uiPriority w:val="99"/>
    <w:rPr>
      <w:kern w:val="2"/>
      <w:sz w:val="21"/>
      <w:szCs w:val="24"/>
    </w:rPr>
  </w:style>
  <w:style w:type="character" w:customStyle="1" w:styleId="193">
    <w:name w:val="Char Char22"/>
    <w:autoRedefine/>
    <w:qFormat/>
    <w:uiPriority w:val="0"/>
    <w:rPr>
      <w:b/>
      <w:bCs/>
      <w:kern w:val="2"/>
      <w:sz w:val="32"/>
      <w:szCs w:val="32"/>
    </w:rPr>
  </w:style>
  <w:style w:type="character" w:customStyle="1" w:styleId="194">
    <w:name w:val="正文文本缩进 2 Char2"/>
    <w:autoRedefine/>
    <w:semiHidden/>
    <w:qFormat/>
    <w:uiPriority w:val="99"/>
    <w:rPr>
      <w:rFonts w:ascii="Calibri" w:hAnsi="Calibri" w:eastAsia="宋体" w:cs="Times New Roman"/>
      <w:szCs w:val="24"/>
    </w:rPr>
  </w:style>
  <w:style w:type="character" w:customStyle="1" w:styleId="195">
    <w:name w:val="明显强调1"/>
    <w:autoRedefine/>
    <w:qFormat/>
    <w:uiPriority w:val="0"/>
    <w:rPr>
      <w:b/>
      <w:bCs/>
      <w:i/>
      <w:iCs/>
      <w:color w:val="4F81BD"/>
    </w:rPr>
  </w:style>
  <w:style w:type="character" w:customStyle="1" w:styleId="196">
    <w:name w:val="Char Char14"/>
    <w:autoRedefine/>
    <w:qFormat/>
    <w:uiPriority w:val="0"/>
    <w:rPr>
      <w:kern w:val="2"/>
      <w:sz w:val="18"/>
      <w:szCs w:val="18"/>
    </w:rPr>
  </w:style>
  <w:style w:type="character" w:customStyle="1" w:styleId="197">
    <w:name w:val="s3"/>
    <w:autoRedefine/>
    <w:qFormat/>
    <w:uiPriority w:val="0"/>
  </w:style>
  <w:style w:type="character" w:customStyle="1" w:styleId="198">
    <w:name w:val="标题 1 Char"/>
    <w:autoRedefine/>
    <w:qFormat/>
    <w:uiPriority w:val="0"/>
    <w:rPr>
      <w:rFonts w:ascii="Times New Roman" w:hAnsi="Times New Roman" w:eastAsia="宋体" w:cs="Times New Roman"/>
      <w:b/>
      <w:bCs/>
      <w:kern w:val="44"/>
      <w:sz w:val="44"/>
      <w:szCs w:val="44"/>
    </w:rPr>
  </w:style>
  <w:style w:type="character" w:customStyle="1" w:styleId="199">
    <w:name w:val="日期 Char3"/>
    <w:autoRedefine/>
    <w:semiHidden/>
    <w:qFormat/>
    <w:uiPriority w:val="99"/>
    <w:rPr>
      <w:rFonts w:ascii="Calibri" w:hAnsi="Calibri" w:eastAsia="宋体" w:cs="Times New Roman"/>
      <w:szCs w:val="24"/>
    </w:rPr>
  </w:style>
  <w:style w:type="character" w:customStyle="1" w:styleId="200">
    <w:name w:val="标题 1 Char2"/>
    <w:link w:val="3"/>
    <w:autoRedefine/>
    <w:qFormat/>
    <w:uiPriority w:val="0"/>
    <w:rPr>
      <w:rFonts w:eastAsia="宋体"/>
      <w:b/>
      <w:bCs/>
      <w:kern w:val="44"/>
      <w:sz w:val="44"/>
      <w:szCs w:val="44"/>
      <w:lang w:val="en-US" w:eastAsia="zh-CN" w:bidi="ar-SA"/>
    </w:rPr>
  </w:style>
  <w:style w:type="character" w:customStyle="1" w:styleId="201">
    <w:name w:val="title11"/>
    <w:autoRedefine/>
    <w:qFormat/>
    <w:uiPriority w:val="0"/>
    <w:rPr>
      <w:b/>
      <w:bCs/>
      <w:color w:val="FFFFFF"/>
      <w:sz w:val="11"/>
      <w:szCs w:val="11"/>
    </w:rPr>
  </w:style>
  <w:style w:type="character" w:customStyle="1" w:styleId="202">
    <w:name w:val="明显引用 Char2"/>
    <w:autoRedefine/>
    <w:qFormat/>
    <w:uiPriority w:val="99"/>
    <w:rPr>
      <w:b/>
      <w:bCs/>
      <w:i/>
      <w:iCs/>
      <w:color w:val="4F81BD"/>
      <w:kern w:val="2"/>
      <w:sz w:val="21"/>
      <w:szCs w:val="24"/>
    </w:rPr>
  </w:style>
  <w:style w:type="character" w:customStyle="1" w:styleId="203">
    <w:name w:val="引用 Char4"/>
    <w:link w:val="133"/>
    <w:autoRedefine/>
    <w:qFormat/>
    <w:uiPriority w:val="0"/>
    <w:rPr>
      <w:i/>
      <w:iCs/>
      <w:color w:val="000000"/>
      <w:kern w:val="2"/>
      <w:sz w:val="21"/>
      <w:szCs w:val="22"/>
      <w:lang w:bidi="ar-SA"/>
    </w:rPr>
  </w:style>
  <w:style w:type="character" w:customStyle="1" w:styleId="204">
    <w:name w:val="批注框文本 Char3"/>
    <w:autoRedefine/>
    <w:semiHidden/>
    <w:qFormat/>
    <w:uiPriority w:val="99"/>
    <w:rPr>
      <w:rFonts w:ascii="Calibri" w:hAnsi="Calibri" w:eastAsia="宋体" w:cs="Times New Roman"/>
      <w:sz w:val="18"/>
      <w:szCs w:val="18"/>
    </w:rPr>
  </w:style>
  <w:style w:type="character" w:customStyle="1" w:styleId="205">
    <w:name w:val="标题 2 Char2"/>
    <w:link w:val="4"/>
    <w:autoRedefine/>
    <w:qFormat/>
    <w:uiPriority w:val="0"/>
    <w:rPr>
      <w:rFonts w:ascii="Cambria" w:hAnsi="Cambria" w:eastAsia="宋体"/>
      <w:b/>
      <w:bCs/>
      <w:kern w:val="2"/>
      <w:sz w:val="32"/>
      <w:szCs w:val="32"/>
      <w:lang w:val="en-US" w:eastAsia="zh-CN" w:bidi="ar-SA"/>
    </w:rPr>
  </w:style>
  <w:style w:type="character" w:customStyle="1" w:styleId="206">
    <w:name w:val="Char Char33"/>
    <w:autoRedefine/>
    <w:qFormat/>
    <w:uiPriority w:val="0"/>
    <w:rPr>
      <w:rFonts w:ascii="仿宋_GB2312" w:eastAsia="仿宋_GB2312" w:cs="MingLiU"/>
      <w:b/>
      <w:sz w:val="24"/>
      <w:szCs w:val="28"/>
    </w:rPr>
  </w:style>
  <w:style w:type="character" w:customStyle="1" w:styleId="207">
    <w:name w:val="标题 2 Char"/>
    <w:autoRedefine/>
    <w:qFormat/>
    <w:uiPriority w:val="0"/>
    <w:rPr>
      <w:rFonts w:ascii="仿宋_GB2312" w:hAnsi="Calibri" w:eastAsia="仿宋_GB2312" w:cs="Times New Roman"/>
      <w:b/>
      <w:spacing w:val="1"/>
      <w:w w:val="99"/>
      <w:kern w:val="0"/>
      <w:sz w:val="28"/>
      <w:szCs w:val="32"/>
    </w:rPr>
  </w:style>
  <w:style w:type="character" w:customStyle="1" w:styleId="208">
    <w:name w:val="l1"/>
    <w:basedOn w:val="49"/>
    <w:autoRedefine/>
    <w:qFormat/>
    <w:uiPriority w:val="0"/>
  </w:style>
  <w:style w:type="character" w:customStyle="1" w:styleId="209">
    <w:name w:val="手改 Char Char"/>
    <w:autoRedefine/>
    <w:qFormat/>
    <w:uiPriority w:val="0"/>
    <w:rPr>
      <w:kern w:val="2"/>
      <w:sz w:val="21"/>
      <w:szCs w:val="24"/>
    </w:rPr>
  </w:style>
  <w:style w:type="character" w:customStyle="1" w:styleId="210">
    <w:name w:val="style21"/>
    <w:autoRedefine/>
    <w:qFormat/>
    <w:uiPriority w:val="0"/>
    <w:rPr>
      <w:b/>
      <w:bCs/>
      <w:sz w:val="28"/>
      <w:szCs w:val="28"/>
    </w:rPr>
  </w:style>
  <w:style w:type="character" w:customStyle="1" w:styleId="211">
    <w:name w:val="Char Char24"/>
    <w:autoRedefine/>
    <w:qFormat/>
    <w:uiPriority w:val="0"/>
    <w:rPr>
      <w:b/>
      <w:bCs/>
      <w:kern w:val="44"/>
      <w:sz w:val="44"/>
      <w:szCs w:val="44"/>
    </w:rPr>
  </w:style>
  <w:style w:type="character" w:customStyle="1" w:styleId="212">
    <w:name w:val="页脚 Char2"/>
    <w:link w:val="29"/>
    <w:autoRedefine/>
    <w:qFormat/>
    <w:uiPriority w:val="0"/>
    <w:rPr>
      <w:rFonts w:eastAsia="宋体"/>
      <w:kern w:val="2"/>
      <w:sz w:val="18"/>
      <w:szCs w:val="18"/>
      <w:lang w:val="en-US" w:eastAsia="zh-CN" w:bidi="ar-SA"/>
    </w:rPr>
  </w:style>
  <w:style w:type="character" w:customStyle="1" w:styleId="213">
    <w:name w:val="纯文本 Char1"/>
    <w:autoRedefine/>
    <w:qFormat/>
    <w:uiPriority w:val="0"/>
    <w:rPr>
      <w:rFonts w:ascii="宋体" w:hAnsi="Courier New" w:cs="Courier New"/>
      <w:kern w:val="2"/>
      <w:sz w:val="21"/>
      <w:szCs w:val="21"/>
    </w:rPr>
  </w:style>
  <w:style w:type="character" w:customStyle="1" w:styleId="214">
    <w:name w:val="尾注文本 Char"/>
    <w:autoRedefine/>
    <w:qFormat/>
    <w:uiPriority w:val="0"/>
    <w:rPr>
      <w:kern w:val="2"/>
      <w:sz w:val="21"/>
      <w:szCs w:val="24"/>
    </w:rPr>
  </w:style>
  <w:style w:type="character" w:customStyle="1" w:styleId="215">
    <w:name w:val="日期 Char1"/>
    <w:autoRedefine/>
    <w:qFormat/>
    <w:uiPriority w:val="0"/>
    <w:rPr>
      <w:kern w:val="2"/>
      <w:sz w:val="21"/>
      <w:szCs w:val="22"/>
    </w:rPr>
  </w:style>
  <w:style w:type="character" w:customStyle="1" w:styleId="216">
    <w:name w:val="纯文本 Char3"/>
    <w:link w:val="23"/>
    <w:autoRedefine/>
    <w:qFormat/>
    <w:uiPriority w:val="0"/>
    <w:rPr>
      <w:rFonts w:ascii="宋体" w:hAnsi="Courier New" w:eastAsia="宋体" w:cs="Courier New"/>
      <w:kern w:val="2"/>
      <w:sz w:val="21"/>
      <w:szCs w:val="21"/>
      <w:lang w:val="en-US" w:eastAsia="zh-CN" w:bidi="ar-SA"/>
    </w:rPr>
  </w:style>
  <w:style w:type="character" w:customStyle="1" w:styleId="217">
    <w:name w:val="正文文本 Char1"/>
    <w:autoRedefine/>
    <w:qFormat/>
    <w:uiPriority w:val="0"/>
    <w:rPr>
      <w:kern w:val="2"/>
      <w:sz w:val="21"/>
      <w:szCs w:val="22"/>
    </w:rPr>
  </w:style>
  <w:style w:type="character" w:customStyle="1" w:styleId="218">
    <w:name w:val="标题 9 Char1"/>
    <w:autoRedefine/>
    <w:qFormat/>
    <w:uiPriority w:val="0"/>
    <w:rPr>
      <w:rFonts w:ascii="Times New Roman" w:hAnsi="Times New Roman" w:eastAsia="仿宋_GB2312" w:cs="Times New Roman"/>
      <w:sz w:val="30"/>
      <w:szCs w:val="20"/>
    </w:rPr>
  </w:style>
  <w:style w:type="character" w:customStyle="1" w:styleId="219">
    <w:name w:val="批注框文本 Char4"/>
    <w:link w:val="28"/>
    <w:autoRedefine/>
    <w:qFormat/>
    <w:uiPriority w:val="0"/>
    <w:rPr>
      <w:rFonts w:eastAsia="宋体"/>
      <w:kern w:val="2"/>
      <w:sz w:val="18"/>
      <w:szCs w:val="18"/>
      <w:lang w:val="en-US" w:eastAsia="zh-CN" w:bidi="ar-SA"/>
    </w:rPr>
  </w:style>
  <w:style w:type="character" w:customStyle="1" w:styleId="220">
    <w:name w:val="脚注文本 Char1"/>
    <w:autoRedefine/>
    <w:qFormat/>
    <w:uiPriority w:val="0"/>
    <w:rPr>
      <w:rFonts w:ascii="Arial" w:hAnsi="Arial" w:cs="Arial"/>
      <w:sz w:val="18"/>
      <w:szCs w:val="18"/>
      <w:lang w:eastAsia="en-US"/>
    </w:rPr>
  </w:style>
  <w:style w:type="character" w:customStyle="1" w:styleId="221">
    <w:name w:val="正文文本缩进 Char"/>
    <w:autoRedefine/>
    <w:qFormat/>
    <w:uiPriority w:val="0"/>
    <w:rPr>
      <w:rFonts w:ascii="黑体" w:hAnsi="宋体" w:eastAsia="黑体"/>
      <w:color w:val="000000"/>
      <w:sz w:val="28"/>
      <w:szCs w:val="32"/>
    </w:rPr>
  </w:style>
  <w:style w:type="character" w:customStyle="1" w:styleId="222">
    <w:name w:val="HTML 预设格式 Char1"/>
    <w:autoRedefine/>
    <w:qFormat/>
    <w:uiPriority w:val="0"/>
    <w:rPr>
      <w:rFonts w:ascii="宋体" w:hAnsi="宋体" w:cs="宋体"/>
      <w:color w:val="000000"/>
      <w:sz w:val="24"/>
      <w:szCs w:val="24"/>
    </w:rPr>
  </w:style>
  <w:style w:type="character" w:customStyle="1" w:styleId="223">
    <w:name w:val="引用 Char3"/>
    <w:autoRedefine/>
    <w:qFormat/>
    <w:uiPriority w:val="29"/>
    <w:rPr>
      <w:rFonts w:ascii="Calibri" w:hAnsi="Calibri" w:eastAsia="宋体" w:cs="Times New Roman"/>
      <w:i/>
      <w:iCs/>
      <w:color w:val="000000"/>
      <w:szCs w:val="24"/>
    </w:rPr>
  </w:style>
  <w:style w:type="character" w:customStyle="1" w:styleId="224">
    <w:name w:val="尾注文本 Char3"/>
    <w:link w:val="27"/>
    <w:autoRedefine/>
    <w:qFormat/>
    <w:uiPriority w:val="0"/>
    <w:rPr>
      <w:rFonts w:ascii="Arial" w:hAnsi="Arial" w:eastAsia="宋体" w:cs="Arial"/>
      <w:szCs w:val="24"/>
      <w:lang w:val="en-US" w:eastAsia="en-US" w:bidi="ar-SA"/>
    </w:rPr>
  </w:style>
  <w:style w:type="character" w:customStyle="1" w:styleId="225">
    <w:name w:val="标题 7 Char1"/>
    <w:autoRedefine/>
    <w:qFormat/>
    <w:uiPriority w:val="0"/>
    <w:rPr>
      <w:rFonts w:ascii="Times New Roman" w:hAnsi="Times New Roman" w:eastAsia="仿宋_GB2312" w:cs="Times New Roman"/>
      <w:sz w:val="30"/>
      <w:szCs w:val="20"/>
    </w:rPr>
  </w:style>
  <w:style w:type="character" w:customStyle="1" w:styleId="226">
    <w:name w:val="普通文字 Char Char1"/>
    <w:autoRedefine/>
    <w:qFormat/>
    <w:uiPriority w:val="0"/>
    <w:rPr>
      <w:rFonts w:ascii="宋体" w:hAnsi="Courier New"/>
      <w:kern w:val="2"/>
      <w:sz w:val="28"/>
      <w:szCs w:val="28"/>
    </w:rPr>
  </w:style>
  <w:style w:type="character" w:customStyle="1" w:styleId="227">
    <w:name w:val="明显参考1"/>
    <w:autoRedefine/>
    <w:qFormat/>
    <w:uiPriority w:val="0"/>
    <w:rPr>
      <w:b/>
      <w:bCs/>
      <w:smallCaps/>
      <w:color w:val="C0504D"/>
      <w:spacing w:val="5"/>
      <w:u w:val="single"/>
    </w:rPr>
  </w:style>
  <w:style w:type="character" w:customStyle="1" w:styleId="228">
    <w:name w:val="正文文本缩进 Char1"/>
    <w:autoRedefine/>
    <w:qFormat/>
    <w:uiPriority w:val="0"/>
    <w:rPr>
      <w:kern w:val="2"/>
      <w:sz w:val="21"/>
      <w:szCs w:val="24"/>
    </w:rPr>
  </w:style>
  <w:style w:type="character" w:customStyle="1" w:styleId="229">
    <w:name w:val="页眉 Char"/>
    <w:autoRedefine/>
    <w:qFormat/>
    <w:uiPriority w:val="0"/>
    <w:rPr>
      <w:sz w:val="18"/>
      <w:szCs w:val="18"/>
    </w:rPr>
  </w:style>
  <w:style w:type="character" w:customStyle="1" w:styleId="230">
    <w:name w:val="style31"/>
    <w:autoRedefine/>
    <w:qFormat/>
    <w:uiPriority w:val="0"/>
    <w:rPr>
      <w:sz w:val="10"/>
      <w:szCs w:val="10"/>
    </w:rPr>
  </w:style>
  <w:style w:type="character" w:customStyle="1" w:styleId="231">
    <w:name w:val="日期 Char"/>
    <w:autoRedefine/>
    <w:qFormat/>
    <w:uiPriority w:val="0"/>
    <w:rPr>
      <w:rFonts w:eastAsia="宋体"/>
      <w:szCs w:val="24"/>
    </w:rPr>
  </w:style>
  <w:style w:type="character" w:customStyle="1" w:styleId="232">
    <w:name w:val="标题 1 Char1"/>
    <w:autoRedefine/>
    <w:qFormat/>
    <w:uiPriority w:val="0"/>
    <w:rPr>
      <w:rFonts w:ascii="Times New Roman" w:hAnsi="Times New Roman" w:eastAsia="宋体" w:cs="Times New Roman"/>
      <w:b/>
      <w:bCs/>
      <w:kern w:val="44"/>
      <w:sz w:val="44"/>
      <w:szCs w:val="44"/>
    </w:rPr>
  </w:style>
  <w:style w:type="character" w:customStyle="1" w:styleId="233">
    <w:name w:val="main_tdbg_7601"/>
    <w:autoRedefine/>
    <w:qFormat/>
    <w:uiPriority w:val="0"/>
    <w:rPr>
      <w:sz w:val="14"/>
      <w:szCs w:val="14"/>
    </w:rPr>
  </w:style>
  <w:style w:type="character" w:customStyle="1" w:styleId="234">
    <w:name w:val="尾注文本 Char1"/>
    <w:autoRedefine/>
    <w:qFormat/>
    <w:uiPriority w:val="0"/>
    <w:rPr>
      <w:rFonts w:ascii="Arial" w:hAnsi="Arial" w:cs="Arial"/>
      <w:szCs w:val="24"/>
      <w:lang w:eastAsia="en-US"/>
    </w:rPr>
  </w:style>
  <w:style w:type="character" w:customStyle="1" w:styleId="235">
    <w:name w:val="副标题 Char2"/>
    <w:autoRedefine/>
    <w:qFormat/>
    <w:uiPriority w:val="11"/>
    <w:rPr>
      <w:rFonts w:ascii="Cambria" w:hAnsi="Cambria" w:eastAsia="宋体" w:cs="Times New Roman"/>
      <w:b/>
      <w:bCs/>
      <w:kern w:val="28"/>
      <w:sz w:val="32"/>
      <w:szCs w:val="32"/>
    </w:rPr>
  </w:style>
  <w:style w:type="character" w:customStyle="1" w:styleId="236">
    <w:name w:val="正文文本缩进 3 Char2"/>
    <w:autoRedefine/>
    <w:semiHidden/>
    <w:qFormat/>
    <w:uiPriority w:val="99"/>
    <w:rPr>
      <w:rFonts w:ascii="Calibri" w:hAnsi="Calibri" w:eastAsia="宋体" w:cs="Times New Roman"/>
      <w:sz w:val="16"/>
      <w:szCs w:val="16"/>
    </w:rPr>
  </w:style>
  <w:style w:type="character" w:customStyle="1" w:styleId="237">
    <w:name w:val="Char Char34"/>
    <w:autoRedefine/>
    <w:qFormat/>
    <w:uiPriority w:val="0"/>
    <w:rPr>
      <w:rFonts w:ascii="仿宋_GB2312" w:eastAsia="仿宋_GB2312" w:cs="MingLiU"/>
      <w:b/>
      <w:spacing w:val="1"/>
      <w:w w:val="99"/>
      <w:sz w:val="28"/>
      <w:szCs w:val="32"/>
    </w:rPr>
  </w:style>
  <w:style w:type="character" w:customStyle="1" w:styleId="238">
    <w:name w:val="docpro"/>
    <w:basedOn w:val="49"/>
    <w:autoRedefine/>
    <w:qFormat/>
    <w:uiPriority w:val="0"/>
  </w:style>
  <w:style w:type="character" w:customStyle="1" w:styleId="239">
    <w:name w:val="正文文本 Char4"/>
    <w:link w:val="2"/>
    <w:autoRedefine/>
    <w:qFormat/>
    <w:uiPriority w:val="0"/>
    <w:rPr>
      <w:rFonts w:eastAsia="宋体"/>
      <w:kern w:val="2"/>
      <w:sz w:val="21"/>
      <w:szCs w:val="24"/>
      <w:lang w:val="en-US" w:eastAsia="zh-CN" w:bidi="ar-SA"/>
    </w:rPr>
  </w:style>
  <w:style w:type="character" w:customStyle="1" w:styleId="240">
    <w:name w:val="ITTHEADER1 Char"/>
    <w:autoRedefine/>
    <w:qFormat/>
    <w:uiPriority w:val="0"/>
    <w:rPr>
      <w:rFonts w:eastAsia="黑体"/>
      <w:kern w:val="2"/>
      <w:sz w:val="44"/>
      <w:szCs w:val="44"/>
      <w:lang w:val="en-US" w:eastAsia="zh-CN" w:bidi="ar-SA"/>
    </w:rPr>
  </w:style>
  <w:style w:type="character" w:customStyle="1" w:styleId="241">
    <w:name w:val="标题 6 Char2"/>
    <w:link w:val="8"/>
    <w:autoRedefine/>
    <w:qFormat/>
    <w:uiPriority w:val="0"/>
    <w:rPr>
      <w:rFonts w:hAnsi="Arial" w:eastAsia="仿宋_GB2312"/>
      <w:sz w:val="30"/>
      <w:lang w:val="en-US" w:eastAsia="zh-CN" w:bidi="ar-SA"/>
    </w:rPr>
  </w:style>
  <w:style w:type="character" w:customStyle="1" w:styleId="242">
    <w:name w:val="标题 Char2"/>
    <w:autoRedefine/>
    <w:qFormat/>
    <w:uiPriority w:val="10"/>
    <w:rPr>
      <w:rFonts w:ascii="Cambria" w:hAnsi="Cambria" w:eastAsia="宋体" w:cs="Times New Roman"/>
      <w:b/>
      <w:bCs/>
      <w:sz w:val="32"/>
      <w:szCs w:val="32"/>
    </w:rPr>
  </w:style>
  <w:style w:type="character" w:customStyle="1" w:styleId="243">
    <w:name w:val="正文文本 Char2"/>
    <w:autoRedefine/>
    <w:qFormat/>
    <w:uiPriority w:val="99"/>
    <w:rPr>
      <w:kern w:val="2"/>
      <w:sz w:val="21"/>
      <w:szCs w:val="24"/>
    </w:rPr>
  </w:style>
  <w:style w:type="character" w:customStyle="1" w:styleId="244">
    <w:name w:val="正文文本 2 Char"/>
    <w:link w:val="39"/>
    <w:autoRedefine/>
    <w:qFormat/>
    <w:uiPriority w:val="0"/>
    <w:rPr>
      <w:i/>
      <w:iCs/>
      <w:kern w:val="2"/>
      <w:sz w:val="26"/>
      <w:szCs w:val="24"/>
    </w:rPr>
  </w:style>
  <w:style w:type="character" w:customStyle="1" w:styleId="245">
    <w:name w:val="0d1471"/>
    <w:autoRedefine/>
    <w:qFormat/>
    <w:uiPriority w:val="0"/>
    <w:rPr>
      <w:color w:val="000000"/>
      <w:sz w:val="11"/>
      <w:szCs w:val="11"/>
      <w:u w:val="none"/>
    </w:rPr>
  </w:style>
  <w:style w:type="character" w:customStyle="1" w:styleId="246">
    <w:name w:val="批注主题 Char"/>
    <w:autoRedefine/>
    <w:qFormat/>
    <w:uiPriority w:val="0"/>
    <w:rPr>
      <w:rFonts w:ascii="宋体" w:hAnsi="宋体" w:eastAsia="宋体"/>
      <w:kern w:val="2"/>
      <w:sz w:val="24"/>
      <w:szCs w:val="28"/>
      <w:lang w:val="en-US" w:eastAsia="zh-CN" w:bidi="ar-SA"/>
    </w:rPr>
  </w:style>
  <w:style w:type="character" w:customStyle="1" w:styleId="247">
    <w:name w:val="正文文本 2 Char1"/>
    <w:autoRedefine/>
    <w:semiHidden/>
    <w:qFormat/>
    <w:uiPriority w:val="99"/>
    <w:rPr>
      <w:rFonts w:ascii="Calibri" w:hAnsi="Calibri" w:eastAsia="宋体" w:cs="Times New Roman"/>
      <w:szCs w:val="24"/>
    </w:rPr>
  </w:style>
  <w:style w:type="character" w:customStyle="1" w:styleId="248">
    <w:name w:val="批注框文本 Char1"/>
    <w:autoRedefine/>
    <w:qFormat/>
    <w:uiPriority w:val="0"/>
    <w:rPr>
      <w:kern w:val="2"/>
      <w:sz w:val="18"/>
      <w:szCs w:val="18"/>
    </w:rPr>
  </w:style>
  <w:style w:type="character" w:customStyle="1" w:styleId="249">
    <w:name w:val="标题 Char3"/>
    <w:link w:val="43"/>
    <w:autoRedefine/>
    <w:qFormat/>
    <w:uiPriority w:val="0"/>
    <w:rPr>
      <w:rFonts w:eastAsia="宋体"/>
      <w:szCs w:val="24"/>
      <w:u w:val="single"/>
      <w:lang w:val="en-US" w:eastAsia="en-US" w:bidi="ar-SA"/>
    </w:rPr>
  </w:style>
  <w:style w:type="character" w:customStyle="1" w:styleId="250">
    <w:name w:val="正文文本缩进 2 Char3"/>
    <w:link w:val="26"/>
    <w:autoRedefine/>
    <w:qFormat/>
    <w:uiPriority w:val="0"/>
    <w:rPr>
      <w:rFonts w:eastAsia="宋体"/>
      <w:sz w:val="28"/>
      <w:szCs w:val="24"/>
      <w:lang w:val="en-US" w:eastAsia="zh-CN" w:bidi="ar-SA"/>
    </w:rPr>
  </w:style>
  <w:style w:type="character" w:customStyle="1" w:styleId="251">
    <w:name w:val="引用 Char"/>
    <w:link w:val="131"/>
    <w:autoRedefine/>
    <w:qFormat/>
    <w:uiPriority w:val="0"/>
    <w:rPr>
      <w:rFonts w:ascii="Times New Roman" w:hAnsi="Times New Roman" w:eastAsia="宋体" w:cs="Times New Roman"/>
      <w:i/>
      <w:iCs/>
      <w:color w:val="000000"/>
      <w:kern w:val="2"/>
      <w:sz w:val="21"/>
      <w:szCs w:val="24"/>
    </w:rPr>
  </w:style>
  <w:style w:type="character" w:customStyle="1" w:styleId="252">
    <w:name w:val="font161"/>
    <w:autoRedefine/>
    <w:qFormat/>
    <w:uiPriority w:val="0"/>
    <w:rPr>
      <w:b/>
      <w:bCs/>
      <w:sz w:val="32"/>
      <w:szCs w:val="32"/>
    </w:rPr>
  </w:style>
  <w:style w:type="character" w:customStyle="1" w:styleId="253">
    <w:name w:val="正文文本缩进 Char3"/>
    <w:link w:val="18"/>
    <w:autoRedefine/>
    <w:qFormat/>
    <w:uiPriority w:val="0"/>
    <w:rPr>
      <w:rFonts w:eastAsia="宋体"/>
      <w:kern w:val="2"/>
      <w:sz w:val="21"/>
      <w:szCs w:val="24"/>
      <w:lang w:val="en-US" w:eastAsia="zh-CN" w:bidi="ar-SA"/>
    </w:rPr>
  </w:style>
  <w:style w:type="character" w:customStyle="1" w:styleId="254">
    <w:name w:val="标题 9 Char2"/>
    <w:link w:val="12"/>
    <w:autoRedefine/>
    <w:qFormat/>
    <w:uiPriority w:val="0"/>
    <w:rPr>
      <w:rFonts w:eastAsia="仿宋_GB2312"/>
      <w:sz w:val="30"/>
      <w:lang w:val="en-US" w:eastAsia="zh-CN" w:bidi="ar-SA"/>
    </w:rPr>
  </w:style>
  <w:style w:type="character" w:customStyle="1" w:styleId="255">
    <w:name w:val="标题 8 Char2"/>
    <w:link w:val="11"/>
    <w:autoRedefine/>
    <w:qFormat/>
    <w:uiPriority w:val="0"/>
    <w:rPr>
      <w:rFonts w:hAnsi="Arial" w:eastAsia="仿宋_GB2312"/>
      <w:sz w:val="30"/>
      <w:lang w:val="en-US" w:eastAsia="zh-CN" w:bidi="ar-SA"/>
    </w:rPr>
  </w:style>
  <w:style w:type="character" w:customStyle="1" w:styleId="256">
    <w:name w:val="Char Char32"/>
    <w:autoRedefine/>
    <w:qFormat/>
    <w:uiPriority w:val="0"/>
    <w:rPr>
      <w:rFonts w:ascii="仿宋_GB2312" w:eastAsia="仿宋_GB2312" w:cs="MingLiU"/>
      <w:b/>
      <w:spacing w:val="1"/>
      <w:w w:val="99"/>
      <w:sz w:val="28"/>
      <w:szCs w:val="32"/>
    </w:rPr>
  </w:style>
  <w:style w:type="character" w:customStyle="1" w:styleId="257">
    <w:name w:val="正文文本缩进 3 Char3"/>
    <w:link w:val="36"/>
    <w:autoRedefine/>
    <w:qFormat/>
    <w:uiPriority w:val="0"/>
    <w:rPr>
      <w:rFonts w:ascii="宋体" w:hAnsi="宋体" w:eastAsia="宋体"/>
      <w:kern w:val="2"/>
      <w:sz w:val="28"/>
      <w:szCs w:val="28"/>
      <w:lang w:val="en-US" w:eastAsia="zh-CN" w:bidi="ar-SA"/>
    </w:rPr>
  </w:style>
  <w:style w:type="character" w:customStyle="1" w:styleId="258">
    <w:name w:val="标题 2 Char1"/>
    <w:autoRedefine/>
    <w:qFormat/>
    <w:uiPriority w:val="0"/>
    <w:rPr>
      <w:rFonts w:ascii="Cambria" w:hAnsi="Cambria" w:eastAsia="宋体" w:cs="Times New Roman"/>
      <w:b/>
      <w:bCs/>
      <w:kern w:val="2"/>
      <w:sz w:val="32"/>
      <w:szCs w:val="32"/>
    </w:rPr>
  </w:style>
  <w:style w:type="character" w:customStyle="1" w:styleId="259">
    <w:name w:val="ss16"/>
    <w:autoRedefine/>
    <w:qFormat/>
    <w:uiPriority w:val="0"/>
    <w:rPr>
      <w:rFonts w:hint="eastAsia" w:ascii="宋体" w:hAnsi="宋体" w:eastAsia="宋体"/>
      <w:color w:val="000000"/>
      <w:sz w:val="9"/>
      <w:szCs w:val="9"/>
    </w:rPr>
  </w:style>
  <w:style w:type="character" w:customStyle="1" w:styleId="260">
    <w:name w:val="批注主题 Char3"/>
    <w:autoRedefine/>
    <w:semiHidden/>
    <w:qFormat/>
    <w:uiPriority w:val="99"/>
    <w:rPr>
      <w:rFonts w:ascii="Calibri" w:hAnsi="Calibri" w:eastAsia="宋体" w:cs="Times New Roman"/>
      <w:b/>
      <w:bCs/>
      <w:szCs w:val="24"/>
    </w:rPr>
  </w:style>
  <w:style w:type="character" w:customStyle="1" w:styleId="261">
    <w:name w:val="明显引用 Char1"/>
    <w:link w:val="148"/>
    <w:autoRedefine/>
    <w:qFormat/>
    <w:uiPriority w:val="30"/>
    <w:rPr>
      <w:b/>
      <w:bCs/>
      <w:i/>
      <w:iCs/>
      <w:color w:val="4F81BD"/>
      <w:kern w:val="2"/>
      <w:sz w:val="21"/>
    </w:rPr>
  </w:style>
  <w:style w:type="character" w:customStyle="1" w:styleId="262">
    <w:name w:val="HTML 预设格式 Char2"/>
    <w:autoRedefine/>
    <w:semiHidden/>
    <w:qFormat/>
    <w:uiPriority w:val="99"/>
    <w:rPr>
      <w:rFonts w:ascii="Courier New" w:hAnsi="Courier New" w:eastAsia="宋体" w:cs="Courier New"/>
      <w:sz w:val="20"/>
      <w:szCs w:val="20"/>
    </w:rPr>
  </w:style>
  <w:style w:type="character" w:customStyle="1" w:styleId="263">
    <w:name w:val="Char Char17"/>
    <w:autoRedefine/>
    <w:qFormat/>
    <w:uiPriority w:val="0"/>
    <w:rPr>
      <w:kern w:val="2"/>
      <w:sz w:val="26"/>
      <w:szCs w:val="24"/>
    </w:rPr>
  </w:style>
  <w:style w:type="character" w:customStyle="1" w:styleId="264">
    <w:name w:val="标题 3 Char1"/>
    <w:autoRedefine/>
    <w:qFormat/>
    <w:uiPriority w:val="0"/>
    <w:rPr>
      <w:rFonts w:ascii="Times New Roman" w:hAnsi="Times New Roman" w:eastAsia="宋体" w:cs="Times New Roman"/>
      <w:b/>
      <w:bCs/>
      <w:kern w:val="2"/>
      <w:sz w:val="32"/>
      <w:szCs w:val="32"/>
    </w:rPr>
  </w:style>
  <w:style w:type="character" w:customStyle="1" w:styleId="265">
    <w:name w:val="标题 5 Char"/>
    <w:autoRedefine/>
    <w:qFormat/>
    <w:uiPriority w:val="0"/>
    <w:rPr>
      <w:rFonts w:ascii="Calibri" w:hAnsi="Calibri" w:eastAsia="宋体" w:cs="Times New Roman"/>
      <w:b/>
      <w:bCs/>
      <w:sz w:val="28"/>
      <w:szCs w:val="28"/>
    </w:rPr>
  </w:style>
  <w:style w:type="character" w:customStyle="1" w:styleId="266">
    <w:name w:val="页脚 Char1"/>
    <w:autoRedefine/>
    <w:semiHidden/>
    <w:qFormat/>
    <w:uiPriority w:val="99"/>
    <w:rPr>
      <w:kern w:val="2"/>
      <w:sz w:val="18"/>
      <w:szCs w:val="18"/>
    </w:rPr>
  </w:style>
  <w:style w:type="character" w:customStyle="1" w:styleId="267">
    <w:name w:val="unnamed1"/>
    <w:basedOn w:val="49"/>
    <w:autoRedefine/>
    <w:qFormat/>
    <w:uiPriority w:val="0"/>
  </w:style>
  <w:style w:type="character" w:customStyle="1" w:styleId="268">
    <w:name w:val="Char Char9"/>
    <w:autoRedefine/>
    <w:qFormat/>
    <w:locked/>
    <w:uiPriority w:val="0"/>
    <w:rPr>
      <w:rFonts w:ascii="仿宋_GB2312" w:eastAsia="仿宋_GB2312" w:cs="MingLiU"/>
      <w:b/>
      <w:sz w:val="24"/>
      <w:szCs w:val="28"/>
      <w:lang w:val="en-US" w:eastAsia="zh-CN" w:bidi="ar-SA"/>
    </w:rPr>
  </w:style>
  <w:style w:type="character" w:customStyle="1" w:styleId="269">
    <w:name w:val="批注主题 Char1"/>
    <w:autoRedefine/>
    <w:qFormat/>
    <w:uiPriority w:val="0"/>
    <w:rPr>
      <w:b/>
      <w:bCs/>
      <w:kern w:val="2"/>
      <w:sz w:val="21"/>
      <w:szCs w:val="22"/>
    </w:rPr>
  </w:style>
  <w:style w:type="character" w:customStyle="1" w:styleId="270">
    <w:name w:val="正文文本 3 Char3"/>
    <w:link w:val="17"/>
    <w:autoRedefine/>
    <w:qFormat/>
    <w:uiPriority w:val="0"/>
    <w:rPr>
      <w:rFonts w:eastAsia="宋体"/>
      <w:kern w:val="2"/>
      <w:sz w:val="16"/>
      <w:szCs w:val="16"/>
      <w:lang w:val="en-US" w:eastAsia="zh-CN" w:bidi="ar-SA"/>
    </w:rPr>
  </w:style>
  <w:style w:type="character" w:customStyle="1" w:styleId="271">
    <w:name w:val="纯文本 Char2"/>
    <w:autoRedefine/>
    <w:semiHidden/>
    <w:qFormat/>
    <w:uiPriority w:val="99"/>
    <w:rPr>
      <w:rFonts w:ascii="宋体" w:hAnsi="Courier New" w:eastAsia="宋体" w:cs="Courier New"/>
      <w:szCs w:val="21"/>
    </w:rPr>
  </w:style>
  <w:style w:type="character" w:customStyle="1" w:styleId="272">
    <w:name w:val="intel3"/>
    <w:basedOn w:val="49"/>
    <w:autoRedefine/>
    <w:qFormat/>
    <w:uiPriority w:val="0"/>
  </w:style>
  <w:style w:type="character" w:customStyle="1" w:styleId="273">
    <w:name w:val="subhead1"/>
    <w:autoRedefine/>
    <w:qFormat/>
    <w:uiPriority w:val="0"/>
    <w:rPr>
      <w:rFonts w:hint="default" w:ascii="Tahoma" w:hAnsi="Tahoma" w:cs="Tahoma"/>
      <w:color w:val="000000"/>
      <w:sz w:val="18"/>
      <w:szCs w:val="18"/>
      <w:u w:val="none"/>
      <w:shd w:val="clear" w:color="auto" w:fill="FFFFFF"/>
    </w:rPr>
  </w:style>
  <w:style w:type="character" w:customStyle="1" w:styleId="274">
    <w:name w:val="脚注文本 Char"/>
    <w:autoRedefine/>
    <w:qFormat/>
    <w:uiPriority w:val="0"/>
    <w:rPr>
      <w:rFonts w:ascii="Arial" w:hAnsi="Arial" w:eastAsia="宋体" w:cs="Arial"/>
      <w:sz w:val="18"/>
      <w:szCs w:val="18"/>
      <w:lang w:eastAsia="en-US"/>
    </w:rPr>
  </w:style>
  <w:style w:type="character" w:customStyle="1" w:styleId="275">
    <w:name w:val="引用 Char1"/>
    <w:link w:val="153"/>
    <w:autoRedefine/>
    <w:qFormat/>
    <w:uiPriority w:val="29"/>
    <w:rPr>
      <w:i/>
      <w:iCs/>
      <w:color w:val="000000"/>
      <w:kern w:val="2"/>
      <w:sz w:val="21"/>
    </w:rPr>
  </w:style>
  <w:style w:type="character" w:customStyle="1" w:styleId="276">
    <w:name w:val="正文文本缩进 2 Char"/>
    <w:autoRedefine/>
    <w:qFormat/>
    <w:uiPriority w:val="0"/>
    <w:rPr>
      <w:kern w:val="2"/>
      <w:sz w:val="21"/>
      <w:szCs w:val="24"/>
    </w:rPr>
  </w:style>
  <w:style w:type="character" w:customStyle="1" w:styleId="277">
    <w:name w:val="脚注文本 Char2"/>
    <w:autoRedefine/>
    <w:semiHidden/>
    <w:qFormat/>
    <w:uiPriority w:val="99"/>
    <w:rPr>
      <w:rFonts w:ascii="Calibri" w:hAnsi="Calibri" w:eastAsia="宋体" w:cs="Times New Roman"/>
      <w:sz w:val="18"/>
      <w:szCs w:val="18"/>
    </w:rPr>
  </w:style>
  <w:style w:type="character" w:customStyle="1" w:styleId="278">
    <w:name w:val="ca-141"/>
    <w:autoRedefine/>
    <w:qFormat/>
    <w:uiPriority w:val="0"/>
    <w:rPr>
      <w:rFonts w:hint="eastAsia" w:ascii="仿宋_GB2312" w:eastAsia="仿宋_GB2312"/>
      <w:sz w:val="21"/>
      <w:szCs w:val="21"/>
    </w:rPr>
  </w:style>
  <w:style w:type="character" w:customStyle="1" w:styleId="279">
    <w:name w:val="标题 Char1"/>
    <w:autoRedefine/>
    <w:qFormat/>
    <w:uiPriority w:val="10"/>
    <w:rPr>
      <w:szCs w:val="24"/>
      <w:u w:val="single"/>
      <w:lang w:eastAsia="en-US"/>
    </w:rPr>
  </w:style>
  <w:style w:type="character" w:customStyle="1" w:styleId="280">
    <w:name w:val="style161"/>
    <w:autoRedefine/>
    <w:qFormat/>
    <w:uiPriority w:val="0"/>
    <w:rPr>
      <w:b/>
      <w:bCs/>
      <w:color w:val="333333"/>
    </w:rPr>
  </w:style>
  <w:style w:type="character" w:customStyle="1" w:styleId="281">
    <w:name w:val="Char Char11"/>
    <w:autoRedefine/>
    <w:qFormat/>
    <w:locked/>
    <w:uiPriority w:val="0"/>
    <w:rPr>
      <w:rFonts w:eastAsia="黑体"/>
      <w:kern w:val="2"/>
      <w:sz w:val="44"/>
      <w:szCs w:val="44"/>
      <w:lang w:val="en-US" w:eastAsia="zh-CN" w:bidi="ar-SA"/>
    </w:rPr>
  </w:style>
  <w:style w:type="character" w:customStyle="1" w:styleId="282">
    <w:name w:val="标题 7 Char"/>
    <w:autoRedefine/>
    <w:qFormat/>
    <w:uiPriority w:val="0"/>
    <w:rPr>
      <w:rFonts w:ascii="Calibri" w:hAnsi="Calibri" w:eastAsia="宋体" w:cs="Times New Roman"/>
      <w:b/>
      <w:bCs/>
      <w:sz w:val="24"/>
      <w:szCs w:val="24"/>
    </w:rPr>
  </w:style>
  <w:style w:type="character" w:customStyle="1" w:styleId="283">
    <w:name w:val="批注文字 Char1"/>
    <w:autoRedefine/>
    <w:qFormat/>
    <w:uiPriority w:val="99"/>
    <w:rPr>
      <w:rFonts w:ascii="Times New Roman" w:hAnsi="Times New Roman" w:eastAsia="宋体" w:cs="Times New Roman"/>
      <w:szCs w:val="24"/>
    </w:rPr>
  </w:style>
  <w:style w:type="character" w:customStyle="1" w:styleId="284">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85">
    <w:name w:val="标题 5 Char2"/>
    <w:link w:val="7"/>
    <w:autoRedefine/>
    <w:qFormat/>
    <w:uiPriority w:val="0"/>
    <w:rPr>
      <w:rFonts w:ascii="宋体" w:hAnsi="宋体" w:eastAsia="宋体" w:cs="宋体"/>
      <w:b/>
      <w:bCs/>
      <w:lang w:val="en-US" w:eastAsia="zh-CN" w:bidi="ar-SA"/>
    </w:rPr>
  </w:style>
  <w:style w:type="character" w:customStyle="1" w:styleId="286">
    <w:name w:val="正文文本缩进 3 Char1"/>
    <w:autoRedefine/>
    <w:qFormat/>
    <w:uiPriority w:val="0"/>
    <w:rPr>
      <w:rFonts w:ascii="宋体" w:hAnsi="宋体"/>
      <w:kern w:val="2"/>
      <w:sz w:val="28"/>
      <w:szCs w:val="28"/>
    </w:rPr>
  </w:style>
  <w:style w:type="character" w:customStyle="1" w:styleId="287">
    <w:name w:val="正文文本 Char"/>
    <w:autoRedefine/>
    <w:qFormat/>
    <w:uiPriority w:val="0"/>
    <w:rPr>
      <w:sz w:val="26"/>
      <w:szCs w:val="24"/>
    </w:rPr>
  </w:style>
  <w:style w:type="character" w:customStyle="1" w:styleId="288">
    <w:name w:val="明显引用 Char4"/>
    <w:link w:val="98"/>
    <w:autoRedefine/>
    <w:qFormat/>
    <w:uiPriority w:val="0"/>
    <w:rPr>
      <w:b/>
      <w:bCs/>
      <w:i/>
      <w:iCs/>
      <w:color w:val="4F81BD"/>
      <w:kern w:val="2"/>
      <w:sz w:val="21"/>
      <w:szCs w:val="22"/>
      <w:lang w:bidi="ar-SA"/>
    </w:rPr>
  </w:style>
  <w:style w:type="character" w:customStyle="1" w:styleId="289">
    <w:name w:val="Char Char12"/>
    <w:autoRedefine/>
    <w:qFormat/>
    <w:uiPriority w:val="0"/>
    <w:rPr>
      <w:rFonts w:eastAsia="黑体"/>
      <w:kern w:val="2"/>
      <w:sz w:val="44"/>
      <w:szCs w:val="44"/>
      <w:lang w:val="en-US" w:eastAsia="zh-CN" w:bidi="ar-SA"/>
    </w:rPr>
  </w:style>
  <w:style w:type="character" w:customStyle="1" w:styleId="290">
    <w:name w:val="标题 4 Char"/>
    <w:autoRedefine/>
    <w:qFormat/>
    <w:uiPriority w:val="0"/>
    <w:rPr>
      <w:rFonts w:ascii="仿宋_GB2312" w:hAnsi="Calibri" w:eastAsia="仿宋_GB2312" w:cs="Times New Roman"/>
      <w:b/>
      <w:kern w:val="0"/>
      <w:sz w:val="24"/>
      <w:szCs w:val="28"/>
    </w:rPr>
  </w:style>
  <w:style w:type="character" w:customStyle="1" w:styleId="291">
    <w:name w:val="明显引用 Char3"/>
    <w:autoRedefine/>
    <w:qFormat/>
    <w:uiPriority w:val="30"/>
    <w:rPr>
      <w:rFonts w:ascii="Calibri" w:hAnsi="Calibri" w:eastAsia="宋体" w:cs="Times New Roman"/>
      <w:b/>
      <w:bCs/>
      <w:i/>
      <w:iCs/>
      <w:color w:val="4F81BD"/>
      <w:szCs w:val="24"/>
    </w:rPr>
  </w:style>
  <w:style w:type="character" w:customStyle="1" w:styleId="292">
    <w:name w:val="引用 Char2"/>
    <w:autoRedefine/>
    <w:qFormat/>
    <w:uiPriority w:val="99"/>
    <w:rPr>
      <w:i/>
      <w:iCs/>
      <w:color w:val="000000"/>
      <w:kern w:val="2"/>
      <w:sz w:val="21"/>
      <w:szCs w:val="24"/>
    </w:rPr>
  </w:style>
  <w:style w:type="character" w:customStyle="1" w:styleId="293">
    <w:name w:val="批注主题 Char4"/>
    <w:link w:val="44"/>
    <w:autoRedefine/>
    <w:qFormat/>
    <w:uiPriority w:val="0"/>
    <w:rPr>
      <w:rFonts w:eastAsia="宋体"/>
      <w:b/>
      <w:bCs/>
      <w:kern w:val="2"/>
      <w:sz w:val="21"/>
      <w:szCs w:val="24"/>
      <w:lang w:val="en-US" w:eastAsia="zh-CN" w:bidi="ar-SA"/>
    </w:rPr>
  </w:style>
  <w:style w:type="character" w:customStyle="1" w:styleId="294">
    <w:name w:val="不明显强调1"/>
    <w:autoRedefine/>
    <w:qFormat/>
    <w:uiPriority w:val="0"/>
    <w:rPr>
      <w:i/>
      <w:iCs/>
      <w:color w:val="808080"/>
    </w:rPr>
  </w:style>
  <w:style w:type="character" w:customStyle="1" w:styleId="295">
    <w:name w:val="color_red1"/>
    <w:autoRedefine/>
    <w:qFormat/>
    <w:uiPriority w:val="0"/>
    <w:rPr>
      <w:color w:val="FA0004"/>
    </w:rPr>
  </w:style>
  <w:style w:type="character" w:customStyle="1" w:styleId="296">
    <w:name w:val="标题 7 Char2"/>
    <w:link w:val="10"/>
    <w:autoRedefine/>
    <w:qFormat/>
    <w:uiPriority w:val="0"/>
    <w:rPr>
      <w:rFonts w:eastAsia="仿宋_GB2312"/>
      <w:sz w:val="30"/>
      <w:lang w:val="en-US" w:eastAsia="zh-CN" w:bidi="ar-SA"/>
    </w:rPr>
  </w:style>
  <w:style w:type="character" w:customStyle="1" w:styleId="297">
    <w:name w:val="标题5 Char Char"/>
    <w:link w:val="137"/>
    <w:autoRedefine/>
    <w:qFormat/>
    <w:uiPriority w:val="0"/>
    <w:rPr>
      <w:rFonts w:ascii="Arial" w:hAnsi="Arial"/>
      <w:b/>
      <w:bCs/>
      <w:sz w:val="24"/>
      <w:szCs w:val="32"/>
      <w:lang w:bidi="ar-SA"/>
    </w:rPr>
  </w:style>
  <w:style w:type="character" w:customStyle="1" w:styleId="298">
    <w:name w:val="脚注文本 Char3"/>
    <w:link w:val="34"/>
    <w:autoRedefine/>
    <w:qFormat/>
    <w:uiPriority w:val="0"/>
    <w:rPr>
      <w:rFonts w:ascii="Arial" w:hAnsi="Arial" w:eastAsia="宋体" w:cs="Arial"/>
      <w:sz w:val="18"/>
      <w:szCs w:val="18"/>
      <w:lang w:val="en-US" w:eastAsia="en-US" w:bidi="ar-SA"/>
    </w:rPr>
  </w:style>
  <w:style w:type="character" w:customStyle="1" w:styleId="299">
    <w:name w:val="标题4 Char Char"/>
    <w:link w:val="108"/>
    <w:autoRedefine/>
    <w:qFormat/>
    <w:uiPriority w:val="0"/>
    <w:rPr>
      <w:rFonts w:ascii="Arial" w:hAnsi="Arial"/>
      <w:b/>
      <w:bCs/>
      <w:sz w:val="24"/>
      <w:szCs w:val="32"/>
      <w:lang w:bidi="ar-SA"/>
    </w:rPr>
  </w:style>
  <w:style w:type="character" w:customStyle="1" w:styleId="300">
    <w:name w:val="Char Char13"/>
    <w:autoRedefine/>
    <w:qFormat/>
    <w:uiPriority w:val="0"/>
    <w:rPr>
      <w:kern w:val="2"/>
      <w:sz w:val="18"/>
      <w:szCs w:val="18"/>
    </w:rPr>
  </w:style>
  <w:style w:type="character" w:customStyle="1" w:styleId="301">
    <w:name w:val="文档结构图 Char2"/>
    <w:autoRedefine/>
    <w:qFormat/>
    <w:uiPriority w:val="99"/>
    <w:rPr>
      <w:kern w:val="2"/>
      <w:sz w:val="21"/>
      <w:szCs w:val="24"/>
      <w:shd w:val="clear" w:color="auto" w:fill="000080"/>
    </w:rPr>
  </w:style>
  <w:style w:type="character" w:customStyle="1" w:styleId="302">
    <w:name w:val="批注文字 Char2"/>
    <w:autoRedefine/>
    <w:qFormat/>
    <w:uiPriority w:val="0"/>
    <w:rPr>
      <w:rFonts w:ascii="Calibri" w:hAnsi="Calibri" w:eastAsia="宋体" w:cs="Times New Roman"/>
      <w:szCs w:val="24"/>
    </w:rPr>
  </w:style>
  <w:style w:type="character" w:customStyle="1" w:styleId="303">
    <w:name w:val="标题 8 Char1"/>
    <w:autoRedefine/>
    <w:qFormat/>
    <w:uiPriority w:val="0"/>
    <w:rPr>
      <w:rFonts w:ascii="Times New Roman" w:hAnsi="Arial" w:eastAsia="仿宋_GB2312" w:cs="Times New Roman"/>
      <w:sz w:val="30"/>
      <w:szCs w:val="20"/>
    </w:rPr>
  </w:style>
  <w:style w:type="character" w:customStyle="1" w:styleId="304">
    <w:name w:val="页眉 Char2"/>
    <w:link w:val="30"/>
    <w:autoRedefine/>
    <w:qFormat/>
    <w:uiPriority w:val="0"/>
    <w:rPr>
      <w:rFonts w:eastAsia="宋体"/>
      <w:kern w:val="2"/>
      <w:sz w:val="18"/>
      <w:szCs w:val="18"/>
      <w:lang w:val="en-US" w:eastAsia="zh-CN" w:bidi="ar-SA"/>
    </w:rPr>
  </w:style>
  <w:style w:type="character" w:customStyle="1" w:styleId="305">
    <w:name w:val="Char Char21"/>
    <w:autoRedefine/>
    <w:qFormat/>
    <w:uiPriority w:val="0"/>
    <w:rPr>
      <w:rFonts w:ascii="宋体" w:hAnsi="宋体" w:cs="宋体"/>
      <w:b/>
      <w:bCs/>
      <w:sz w:val="24"/>
      <w:szCs w:val="24"/>
    </w:rPr>
  </w:style>
  <w:style w:type="character" w:customStyle="1" w:styleId="306">
    <w:name w:val="标题 6 Char1"/>
    <w:autoRedefine/>
    <w:qFormat/>
    <w:uiPriority w:val="0"/>
    <w:rPr>
      <w:rFonts w:ascii="Times New Roman" w:hAnsi="Arial" w:eastAsia="仿宋_GB2312" w:cs="Times New Roman"/>
      <w:sz w:val="30"/>
      <w:szCs w:val="20"/>
    </w:rPr>
  </w:style>
  <w:style w:type="character" w:customStyle="1" w:styleId="307">
    <w:name w:val="副标题 Char1"/>
    <w:autoRedefine/>
    <w:qFormat/>
    <w:uiPriority w:val="0"/>
    <w:rPr>
      <w:szCs w:val="24"/>
      <w:u w:val="single"/>
      <w:lang w:eastAsia="en-US"/>
    </w:rPr>
  </w:style>
  <w:style w:type="character" w:customStyle="1" w:styleId="308">
    <w:name w:val="正文文本 Char3"/>
    <w:autoRedefine/>
    <w:semiHidden/>
    <w:qFormat/>
    <w:uiPriority w:val="99"/>
    <w:rPr>
      <w:rFonts w:ascii="Calibri" w:hAnsi="Calibri" w:eastAsia="宋体" w:cs="Times New Roman"/>
      <w:szCs w:val="24"/>
    </w:rPr>
  </w:style>
  <w:style w:type="character" w:customStyle="1" w:styleId="309">
    <w:name w:val="标题 4 Char1"/>
    <w:autoRedefine/>
    <w:qFormat/>
    <w:uiPriority w:val="0"/>
    <w:rPr>
      <w:rFonts w:ascii="宋体" w:hAnsi="宋体" w:eastAsia="宋体" w:cs="宋体"/>
      <w:b/>
      <w:bCs/>
      <w:sz w:val="24"/>
      <w:szCs w:val="24"/>
    </w:rPr>
  </w:style>
  <w:style w:type="character" w:customStyle="1" w:styleId="310">
    <w:name w:val="文档结构图 Char3"/>
    <w:autoRedefine/>
    <w:semiHidden/>
    <w:qFormat/>
    <w:uiPriority w:val="99"/>
    <w:rPr>
      <w:rFonts w:ascii="宋体" w:hAnsi="Calibri" w:eastAsia="宋体" w:cs="Times New Roman"/>
      <w:sz w:val="18"/>
      <w:szCs w:val="18"/>
    </w:rPr>
  </w:style>
  <w:style w:type="character" w:customStyle="1" w:styleId="311">
    <w:name w:val="标题 3 Char2"/>
    <w:autoRedefine/>
    <w:qFormat/>
    <w:uiPriority w:val="0"/>
    <w:rPr>
      <w:rFonts w:eastAsia="宋体"/>
      <w:b/>
      <w:bCs/>
      <w:kern w:val="2"/>
      <w:sz w:val="32"/>
      <w:szCs w:val="32"/>
      <w:lang w:val="en-US" w:eastAsia="zh-CN" w:bidi="ar-SA"/>
    </w:rPr>
  </w:style>
  <w:style w:type="character" w:customStyle="1" w:styleId="312">
    <w:name w:val="正文文本 3 Char2"/>
    <w:autoRedefine/>
    <w:semiHidden/>
    <w:qFormat/>
    <w:uiPriority w:val="99"/>
    <w:rPr>
      <w:rFonts w:ascii="Calibri" w:hAnsi="Calibri" w:eastAsia="宋体" w:cs="Times New Roman"/>
      <w:sz w:val="16"/>
      <w:szCs w:val="16"/>
    </w:rPr>
  </w:style>
  <w:style w:type="character" w:customStyle="1" w:styleId="313">
    <w:name w:val="Char Char23"/>
    <w:autoRedefine/>
    <w:qFormat/>
    <w:uiPriority w:val="0"/>
    <w:rPr>
      <w:rFonts w:ascii="Cambria" w:hAnsi="Cambria" w:eastAsia="宋体" w:cs="Times New Roman"/>
      <w:b/>
      <w:bCs/>
      <w:kern w:val="2"/>
      <w:sz w:val="32"/>
      <w:szCs w:val="32"/>
    </w:rPr>
  </w:style>
  <w:style w:type="character" w:customStyle="1" w:styleId="314">
    <w:name w:val="尾注文本 Char2"/>
    <w:autoRedefine/>
    <w:semiHidden/>
    <w:qFormat/>
    <w:uiPriority w:val="99"/>
    <w:rPr>
      <w:rFonts w:ascii="Calibri" w:hAnsi="Calibri" w:eastAsia="宋体" w:cs="Times New Roman"/>
      <w:szCs w:val="24"/>
    </w:rPr>
  </w:style>
  <w:style w:type="character" w:customStyle="1" w:styleId="315">
    <w:name w:val="书籍标题1"/>
    <w:autoRedefine/>
    <w:qFormat/>
    <w:uiPriority w:val="0"/>
    <w:rPr>
      <w:b/>
      <w:bCs/>
      <w:smallCaps/>
      <w:spacing w:val="5"/>
    </w:rPr>
  </w:style>
  <w:style w:type="character" w:customStyle="1" w:styleId="316">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317">
    <w:name w:val="批注文字 Char3"/>
    <w:link w:val="16"/>
    <w:autoRedefine/>
    <w:qFormat/>
    <w:uiPriority w:val="99"/>
    <w:rPr>
      <w:rFonts w:eastAsia="宋体"/>
      <w:kern w:val="2"/>
      <w:sz w:val="21"/>
      <w:szCs w:val="24"/>
      <w:lang w:val="en-US" w:eastAsia="zh-CN" w:bidi="ar-SA"/>
    </w:rPr>
  </w:style>
  <w:style w:type="character" w:customStyle="1" w:styleId="318">
    <w:name w:val="批注文字 Char Char"/>
    <w:autoRedefine/>
    <w:qFormat/>
    <w:uiPriority w:val="0"/>
    <w:rPr>
      <w:rFonts w:ascii="宋体" w:hAnsi="Times New Roman" w:eastAsia="宋体" w:cs="Times New Roman"/>
      <w:sz w:val="28"/>
      <w:szCs w:val="20"/>
    </w:rPr>
  </w:style>
  <w:style w:type="character" w:customStyle="1" w:styleId="319">
    <w:name w:val="副标题 Char3"/>
    <w:link w:val="33"/>
    <w:autoRedefine/>
    <w:qFormat/>
    <w:uiPriority w:val="0"/>
    <w:rPr>
      <w:rFonts w:eastAsia="宋体"/>
      <w:szCs w:val="24"/>
      <w:u w:val="single"/>
      <w:lang w:val="en-US" w:eastAsia="en-US" w:bidi="ar-SA"/>
    </w:rPr>
  </w:style>
  <w:style w:type="character" w:customStyle="1" w:styleId="320">
    <w:name w:val="批注主题 Char2"/>
    <w:autoRedefine/>
    <w:qFormat/>
    <w:uiPriority w:val="99"/>
    <w:rPr>
      <w:b/>
      <w:bCs/>
      <w:kern w:val="2"/>
      <w:sz w:val="21"/>
      <w:szCs w:val="24"/>
    </w:rPr>
  </w:style>
  <w:style w:type="character" w:customStyle="1" w:styleId="321">
    <w:name w:val="normaltext1"/>
    <w:autoRedefine/>
    <w:qFormat/>
    <w:uiPriority w:val="0"/>
    <w:rPr>
      <w:rFonts w:hint="default" w:ascii="ˎ̥" w:hAnsi="ˎ̥"/>
      <w:sz w:val="9"/>
      <w:szCs w:val="9"/>
    </w:rPr>
  </w:style>
  <w:style w:type="character" w:customStyle="1" w:styleId="322">
    <w:name w:val="不明显参考1"/>
    <w:autoRedefine/>
    <w:qFormat/>
    <w:uiPriority w:val="0"/>
    <w:rPr>
      <w:smallCaps/>
      <w:color w:val="C0504D"/>
      <w:u w:val="single"/>
    </w:rPr>
  </w:style>
  <w:style w:type="character" w:customStyle="1" w:styleId="323">
    <w:name w:val="标题 6 Char"/>
    <w:autoRedefine/>
    <w:qFormat/>
    <w:uiPriority w:val="0"/>
    <w:rPr>
      <w:rFonts w:ascii="Arial" w:hAnsi="Arial" w:eastAsia="黑体" w:cs="Times New Roman"/>
      <w:b/>
      <w:bCs/>
      <w:sz w:val="24"/>
      <w:szCs w:val="24"/>
    </w:rPr>
  </w:style>
  <w:style w:type="character" w:customStyle="1" w:styleId="324">
    <w:name w:val="标题 #8 (2)_"/>
    <w:basedOn w:val="49"/>
    <w:link w:val="160"/>
    <w:autoRedefine/>
    <w:qFormat/>
    <w:uiPriority w:val="0"/>
    <w:rPr>
      <w:kern w:val="0"/>
      <w:sz w:val="20"/>
      <w:szCs w:val="20"/>
    </w:rPr>
  </w:style>
  <w:style w:type="table" w:customStyle="1" w:styleId="325">
    <w:name w:val="Table Normal"/>
    <w:autoRedefine/>
    <w:unhideWhenUsed/>
    <w:qFormat/>
    <w:uiPriority w:val="2"/>
    <w:tblPr>
      <w:tblCellMar>
        <w:top w:w="0" w:type="dxa"/>
        <w:left w:w="0" w:type="dxa"/>
        <w:bottom w:w="0" w:type="dxa"/>
        <w:right w:w="0" w:type="dxa"/>
      </w:tblCellMar>
    </w:tblPr>
  </w:style>
  <w:style w:type="character" w:customStyle="1" w:styleId="326">
    <w:name w:val="NormalCharacter"/>
    <w:autoRedefine/>
    <w:qFormat/>
    <w:uiPriority w:val="0"/>
    <w:rPr>
      <w:rFonts w:ascii="Times New Roman" w:hAnsi="Times New Roman" w:eastAsia="宋体" w:cs="Times New Roman"/>
    </w:rPr>
  </w:style>
  <w:style w:type="paragraph" w:customStyle="1" w:styleId="327">
    <w:name w:val="列出段落2"/>
    <w:basedOn w:val="1"/>
    <w:autoRedefine/>
    <w:unhideWhenUsed/>
    <w:qFormat/>
    <w:uiPriority w:val="99"/>
    <w:pPr>
      <w:ind w:firstLine="420" w:firstLineChars="200"/>
    </w:pPr>
  </w:style>
  <w:style w:type="character" w:customStyle="1" w:styleId="328">
    <w:name w:val="15"/>
    <w:basedOn w:val="49"/>
    <w:autoRedefine/>
    <w:qFormat/>
    <w:uiPriority w:val="0"/>
    <w:rPr>
      <w:rFonts w:hint="default" w:ascii="Calibri" w:hAnsi="Calibri" w:eastAsia="宋体"/>
      <w:kern w:val="2"/>
      <w:sz w:val="24"/>
      <w:szCs w:val="24"/>
    </w:rPr>
  </w:style>
  <w:style w:type="paragraph" w:customStyle="1" w:styleId="329">
    <w:name w:val="WPSOffice手动目录 1"/>
    <w:autoRedefine/>
    <w:qFormat/>
    <w:uiPriority w:val="0"/>
    <w:rPr>
      <w:rFonts w:ascii="Times New Roman" w:hAnsi="Times New Roman" w:eastAsia="宋体" w:cs="Times New Roman"/>
      <w:lang w:val="en-US" w:eastAsia="zh-CN" w:bidi="ar-SA"/>
    </w:rPr>
  </w:style>
  <w:style w:type="paragraph" w:customStyle="1" w:styleId="33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31">
    <w:name w:val="hover24"/>
    <w:basedOn w:val="49"/>
    <w:autoRedefine/>
    <w:qFormat/>
    <w:uiPriority w:val="0"/>
  </w:style>
  <w:style w:type="character" w:customStyle="1" w:styleId="332">
    <w:name w:val="hover25"/>
    <w:basedOn w:val="49"/>
    <w:autoRedefine/>
    <w:qFormat/>
    <w:uiPriority w:val="0"/>
    <w:rPr>
      <w:color w:val="315EFB"/>
    </w:rPr>
  </w:style>
  <w:style w:type="character" w:customStyle="1" w:styleId="333">
    <w:name w:val="c-icon26"/>
    <w:basedOn w:val="49"/>
    <w:autoRedefine/>
    <w:qFormat/>
    <w:uiPriority w:val="0"/>
  </w:style>
  <w:style w:type="character" w:customStyle="1" w:styleId="334">
    <w:name w:val="c-icon27"/>
    <w:basedOn w:val="49"/>
    <w:autoRedefine/>
    <w:qFormat/>
    <w:uiPriority w:val="0"/>
  </w:style>
  <w:style w:type="character" w:customStyle="1" w:styleId="335">
    <w:name w:val="标题 3 Char3"/>
    <w:link w:val="5"/>
    <w:autoRedefine/>
    <w:qFormat/>
    <w:uiPriority w:val="0"/>
    <w:rPr>
      <w:rFonts w:eastAsia="宋体"/>
      <w:b/>
      <w:bCs/>
      <w:kern w:val="2"/>
      <w:sz w:val="32"/>
      <w:szCs w:val="32"/>
      <w:lang w:val="en-US" w:eastAsia="zh-CN" w:bidi="ar-SA"/>
    </w:rPr>
  </w:style>
  <w:style w:type="paragraph" w:customStyle="1" w:styleId="336">
    <w:name w:val="招标正文"/>
    <w:basedOn w:val="1"/>
    <w:autoRedefine/>
    <w:qFormat/>
    <w:uiPriority w:val="0"/>
    <w:pPr>
      <w:spacing w:line="300" w:lineRule="auto"/>
      <w:ind w:firstLine="480" w:firstLineChars="200"/>
    </w:pPr>
    <w:rPr>
      <w:szCs w:val="18"/>
    </w:rPr>
  </w:style>
  <w:style w:type="paragraph" w:styleId="337">
    <w:name w:val="List Paragraph"/>
    <w:basedOn w:val="1"/>
    <w:autoRedefine/>
    <w:qFormat/>
    <w:uiPriority w:val="99"/>
    <w:pPr>
      <w:ind w:firstLine="420" w:firstLineChars="200"/>
    </w:pPr>
    <w:rPr>
      <w:sz w:val="28"/>
      <w:szCs w:val="28"/>
    </w:rPr>
  </w:style>
  <w:style w:type="character" w:customStyle="1" w:styleId="338">
    <w:name w:val="UserStyle_74"/>
    <w:qFormat/>
    <w:uiPriority w:val="0"/>
    <w:rPr>
      <w:rFonts w:ascii="Times New Roman" w:hAnsi="Times New Roman" w:eastAsia="宋体" w:cs="黑体"/>
      <w:kern w:val="2"/>
      <w:sz w:val="21"/>
      <w:szCs w:val="24"/>
      <w:lang w:val="en-US" w:eastAsia="zh-CN" w:bidi="ar-SA"/>
    </w:rPr>
  </w:style>
  <w:style w:type="paragraph" w:customStyle="1" w:styleId="339">
    <w:name w:val="UserStyle_160"/>
    <w:basedOn w:val="1"/>
    <w:qFormat/>
    <w:uiPriority w:val="0"/>
    <w:pPr>
      <w:spacing w:before="100" w:beforeAutospacing="1" w:after="100" w:afterAutospacing="1"/>
      <w:jc w:val="left"/>
    </w:pPr>
    <w:rPr>
      <w:rFonts w:ascii="宋体" w:hAnsi="宋体"/>
      <w:kern w:val="0"/>
      <w:sz w:val="24"/>
    </w:rPr>
  </w:style>
  <w:style w:type="paragraph" w:customStyle="1" w:styleId="340">
    <w:name w:val="2表格（表体）"/>
    <w:basedOn w:val="1"/>
    <w:qFormat/>
    <w:uiPriority w:val="99"/>
    <w:pPr>
      <w:spacing w:line="440" w:lineRule="exact"/>
      <w:ind w:firstLine="240" w:firstLineChars="100"/>
    </w:pPr>
  </w:style>
  <w:style w:type="paragraph" w:customStyle="1" w:styleId="341">
    <w:name w:val="招标节"/>
    <w:basedOn w:val="1"/>
    <w:next w:val="1"/>
    <w:autoRedefine/>
    <w:qFormat/>
    <w:uiPriority w:val="0"/>
    <w:pPr>
      <w:spacing w:beforeLines="50" w:afterLines="50"/>
      <w:outlineLvl w:val="1"/>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141</Pages>
  <Words>6413</Words>
  <Characters>6771</Characters>
  <Lines>63</Lines>
  <Paragraphs>81</Paragraphs>
  <TotalTime>192</TotalTime>
  <ScaleCrop>false</ScaleCrop>
  <LinksUpToDate>false</LinksUpToDate>
  <CharactersWithSpaces>6935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2022-12-06T08:49:00Z</dcterms:created>
  <dc:creator>USER</dc:creator>
  <cp:lastModifiedBy>谯娟</cp:lastModifiedBy>
  <cp:lastPrinted>2024-11-18T01:47:00Z</cp:lastPrinted>
  <dcterms:modified xsi:type="dcterms:W3CDTF">2025-03-03T07:41:07Z</dcterms:modified>
  <dc:title>第一卷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0A9147C8832A4ED49D6AA6B67E13E49D_13</vt:lpwstr>
  </property>
  <property fmtid="{D5CDD505-2E9C-101B-9397-08002B2CF9AE}" pid="4" name="_DocHome">
    <vt:i4>1026960217</vt:i4>
  </property>
  <property fmtid="{D5CDD505-2E9C-101B-9397-08002B2CF9AE}" pid="5" name="commondata">
    <vt:lpwstr>eyJoZGlkIjoiZjVjZTRhNDMyYzVjOGUxNTc5ZDU4YzllYjQwZDg5YWYifQ==</vt:lpwstr>
  </property>
  <property fmtid="{D5CDD505-2E9C-101B-9397-08002B2CF9AE}" pid="6" name="KSOTemplateDocerSaveRecord">
    <vt:lpwstr>eyJoZGlkIjoiNjEwNmMyMjRhOWQ3ZmZmZjc3ODNhNTFlNjQxODBkMGUiLCJ1c2VySWQiOiI2MjI0MDI1OTcifQ==</vt:lpwstr>
  </property>
</Properties>
</file>