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4A0C">
      <w:pPr>
        <w:pStyle w:val="4"/>
        <w:keepNext/>
        <w:keepLines/>
        <w:pageBreakBefore w:val="0"/>
        <w:widowControl/>
        <w:kinsoku/>
        <w:wordWrap/>
        <w:overflowPunct/>
        <w:topLinePunct w:val="0"/>
        <w:autoSpaceDE/>
        <w:autoSpaceDN/>
        <w:bidi w:val="0"/>
        <w:adjustRightInd/>
        <w:snapToGrid/>
        <w:spacing w:line="360" w:lineRule="auto"/>
        <w:jc w:val="center"/>
        <w:textAlignment w:val="baseline"/>
        <w:rPr>
          <w:rFonts w:hint="eastAsia"/>
          <w:sz w:val="44"/>
          <w:szCs w:val="44"/>
        </w:rPr>
      </w:pPr>
      <w:r>
        <w:rPr>
          <w:rFonts w:hint="eastAsia"/>
          <w:sz w:val="44"/>
          <w:szCs w:val="44"/>
          <w:lang w:val="en-US" w:eastAsia="zh-CN"/>
        </w:rPr>
        <w:t>南川区水江镇、楠竹山镇、中桥乡抗旱水源工程</w:t>
      </w:r>
    </w:p>
    <w:p w14:paraId="21AECE1C">
      <w:pPr>
        <w:pageBreakBefore w:val="0"/>
        <w:kinsoku/>
        <w:overflowPunct/>
        <w:topLinePunct w:val="0"/>
        <w:bidi w:val="0"/>
        <w:spacing w:line="360" w:lineRule="auto"/>
        <w:rPr>
          <w:rFonts w:ascii="Arial"/>
          <w:sz w:val="21"/>
        </w:rPr>
      </w:pPr>
    </w:p>
    <w:p w14:paraId="44FBADB9">
      <w:pPr>
        <w:pageBreakBefore w:val="0"/>
        <w:kinsoku/>
        <w:overflowPunct/>
        <w:topLinePunct w:val="0"/>
        <w:bidi w:val="0"/>
        <w:spacing w:line="360" w:lineRule="auto"/>
        <w:rPr>
          <w:rFonts w:ascii="Arial"/>
          <w:sz w:val="21"/>
        </w:rPr>
      </w:pPr>
    </w:p>
    <w:p w14:paraId="7FC37567">
      <w:pPr>
        <w:pageBreakBefore w:val="0"/>
        <w:kinsoku/>
        <w:overflowPunct/>
        <w:topLinePunct w:val="0"/>
        <w:bidi w:val="0"/>
        <w:spacing w:line="360" w:lineRule="auto"/>
        <w:rPr>
          <w:rFonts w:ascii="Arial"/>
          <w:sz w:val="21"/>
        </w:rPr>
      </w:pPr>
    </w:p>
    <w:p w14:paraId="3E9D5796">
      <w:pPr>
        <w:pageBreakBefore w:val="0"/>
        <w:kinsoku/>
        <w:overflowPunct/>
        <w:topLinePunct w:val="0"/>
        <w:bidi w:val="0"/>
        <w:spacing w:line="360" w:lineRule="auto"/>
        <w:rPr>
          <w:rFonts w:ascii="Arial"/>
          <w:sz w:val="21"/>
        </w:rPr>
      </w:pPr>
    </w:p>
    <w:p w14:paraId="5505A9AF">
      <w:pPr>
        <w:pageBreakBefore w:val="0"/>
        <w:kinsoku/>
        <w:overflowPunct/>
        <w:topLinePunct w:val="0"/>
        <w:bidi w:val="0"/>
        <w:spacing w:line="360" w:lineRule="auto"/>
        <w:rPr>
          <w:rFonts w:ascii="Arial"/>
          <w:sz w:val="21"/>
        </w:rPr>
      </w:pPr>
    </w:p>
    <w:p w14:paraId="52290042">
      <w:pPr>
        <w:pStyle w:val="2"/>
        <w:rPr>
          <w:rFonts w:ascii="Arial"/>
          <w:sz w:val="21"/>
        </w:rPr>
      </w:pPr>
    </w:p>
    <w:p w14:paraId="13090BD1"/>
    <w:p w14:paraId="158CB8F4">
      <w:pPr>
        <w:pageBreakBefore w:val="0"/>
        <w:kinsoku/>
        <w:overflowPunct/>
        <w:topLinePunct w:val="0"/>
        <w:bidi w:val="0"/>
        <w:spacing w:line="360" w:lineRule="auto"/>
        <w:rPr>
          <w:rFonts w:ascii="Arial"/>
          <w:sz w:val="21"/>
        </w:rPr>
      </w:pPr>
    </w:p>
    <w:p w14:paraId="7998C07F">
      <w:pPr>
        <w:pageBreakBefore w:val="0"/>
        <w:kinsoku/>
        <w:overflowPunct/>
        <w:topLinePunct w:val="0"/>
        <w:bidi w:val="0"/>
        <w:spacing w:line="360" w:lineRule="auto"/>
        <w:rPr>
          <w:rFonts w:ascii="Arial"/>
          <w:sz w:val="21"/>
        </w:rPr>
      </w:pPr>
    </w:p>
    <w:p w14:paraId="641B94C1">
      <w:pPr>
        <w:pageBreakBefore w:val="0"/>
        <w:kinsoku/>
        <w:overflowPunct/>
        <w:topLinePunct w:val="0"/>
        <w:bidi w:val="0"/>
        <w:spacing w:line="360" w:lineRule="auto"/>
        <w:rPr>
          <w:rFonts w:ascii="Arial"/>
          <w:sz w:val="21"/>
        </w:rPr>
      </w:pPr>
    </w:p>
    <w:p w14:paraId="43037FEC">
      <w:pPr>
        <w:pageBreakBefore w:val="0"/>
        <w:kinsoku/>
        <w:overflowPunct/>
        <w:topLinePunct w:val="0"/>
        <w:bidi w:val="0"/>
        <w:spacing w:line="360" w:lineRule="auto"/>
        <w:jc w:val="center"/>
        <w:rPr>
          <w:rFonts w:hint="eastAsia" w:ascii="Arial" w:eastAsia="宋体"/>
          <w:sz w:val="21"/>
          <w:lang w:eastAsia="zh-CN"/>
        </w:rPr>
      </w:pPr>
      <w:r>
        <w:rPr>
          <w:rFonts w:hint="eastAsia" w:ascii="宋体" w:hAnsi="宋体" w:eastAsia="宋体" w:cs="宋体"/>
          <w:spacing w:val="-2"/>
          <w:sz w:val="72"/>
          <w:szCs w:val="72"/>
          <w:lang w:eastAsia="zh-CN"/>
        </w:rPr>
        <w:t>施</w:t>
      </w:r>
      <w:r>
        <w:rPr>
          <w:rFonts w:hint="eastAsia" w:ascii="宋体" w:hAnsi="宋体" w:eastAsia="宋体" w:cs="宋体"/>
          <w:spacing w:val="-2"/>
          <w:sz w:val="72"/>
          <w:szCs w:val="72"/>
          <w:lang w:val="en-US" w:eastAsia="zh-CN"/>
        </w:rPr>
        <w:t xml:space="preserve"> </w:t>
      </w:r>
      <w:r>
        <w:rPr>
          <w:rFonts w:hint="eastAsia" w:ascii="宋体" w:hAnsi="宋体" w:eastAsia="宋体" w:cs="宋体"/>
          <w:spacing w:val="-2"/>
          <w:sz w:val="72"/>
          <w:szCs w:val="72"/>
          <w:lang w:eastAsia="zh-CN"/>
        </w:rPr>
        <w:t>工</w:t>
      </w:r>
      <w:r>
        <w:rPr>
          <w:rFonts w:hint="eastAsia" w:ascii="宋体" w:hAnsi="宋体" w:eastAsia="宋体" w:cs="宋体"/>
          <w:spacing w:val="-2"/>
          <w:sz w:val="72"/>
          <w:szCs w:val="72"/>
          <w:lang w:val="en-US" w:eastAsia="zh-CN"/>
        </w:rPr>
        <w:t xml:space="preserve"> </w:t>
      </w:r>
      <w:r>
        <w:rPr>
          <w:rFonts w:hint="eastAsia" w:ascii="宋体" w:hAnsi="宋体" w:eastAsia="宋体" w:cs="宋体"/>
          <w:spacing w:val="-2"/>
          <w:sz w:val="72"/>
          <w:szCs w:val="72"/>
          <w:lang w:eastAsia="zh-CN"/>
        </w:rPr>
        <w:t>合</w:t>
      </w:r>
      <w:r>
        <w:rPr>
          <w:rFonts w:hint="eastAsia" w:ascii="宋体" w:hAnsi="宋体" w:eastAsia="宋体" w:cs="宋体"/>
          <w:spacing w:val="-2"/>
          <w:sz w:val="72"/>
          <w:szCs w:val="72"/>
          <w:lang w:val="en-US" w:eastAsia="zh-CN"/>
        </w:rPr>
        <w:t xml:space="preserve"> </w:t>
      </w:r>
      <w:r>
        <w:rPr>
          <w:rFonts w:hint="eastAsia" w:ascii="宋体" w:hAnsi="宋体" w:eastAsia="宋体" w:cs="宋体"/>
          <w:spacing w:val="-2"/>
          <w:sz w:val="72"/>
          <w:szCs w:val="72"/>
          <w:lang w:eastAsia="zh-CN"/>
        </w:rPr>
        <w:t>同</w:t>
      </w:r>
    </w:p>
    <w:p w14:paraId="0F3ED438">
      <w:pPr>
        <w:pageBreakBefore w:val="0"/>
        <w:kinsoku/>
        <w:overflowPunct/>
        <w:topLinePunct w:val="0"/>
        <w:bidi w:val="0"/>
        <w:spacing w:line="360" w:lineRule="auto"/>
        <w:rPr>
          <w:rFonts w:ascii="Arial"/>
          <w:sz w:val="21"/>
        </w:rPr>
      </w:pPr>
    </w:p>
    <w:p w14:paraId="341BB289">
      <w:pPr>
        <w:pageBreakBefore w:val="0"/>
        <w:kinsoku/>
        <w:overflowPunct/>
        <w:topLinePunct w:val="0"/>
        <w:bidi w:val="0"/>
        <w:spacing w:line="360" w:lineRule="auto"/>
        <w:rPr>
          <w:rFonts w:ascii="Arial"/>
          <w:sz w:val="21"/>
        </w:rPr>
      </w:pPr>
    </w:p>
    <w:p w14:paraId="718AA67E">
      <w:pPr>
        <w:pageBreakBefore w:val="0"/>
        <w:kinsoku/>
        <w:overflowPunct/>
        <w:topLinePunct w:val="0"/>
        <w:bidi w:val="0"/>
        <w:spacing w:line="360" w:lineRule="auto"/>
        <w:rPr>
          <w:rFonts w:ascii="Arial"/>
          <w:sz w:val="21"/>
        </w:rPr>
      </w:pPr>
    </w:p>
    <w:p w14:paraId="219FCEEC">
      <w:pPr>
        <w:pageBreakBefore w:val="0"/>
        <w:kinsoku/>
        <w:overflowPunct/>
        <w:topLinePunct w:val="0"/>
        <w:bidi w:val="0"/>
        <w:spacing w:line="360" w:lineRule="auto"/>
        <w:rPr>
          <w:rFonts w:ascii="Arial"/>
          <w:sz w:val="21"/>
        </w:rPr>
      </w:pPr>
    </w:p>
    <w:p w14:paraId="59A86D5F">
      <w:pPr>
        <w:pageBreakBefore w:val="0"/>
        <w:kinsoku/>
        <w:overflowPunct/>
        <w:topLinePunct w:val="0"/>
        <w:bidi w:val="0"/>
        <w:spacing w:line="360" w:lineRule="auto"/>
        <w:rPr>
          <w:rFonts w:ascii="Arial"/>
          <w:sz w:val="21"/>
        </w:rPr>
      </w:pPr>
    </w:p>
    <w:p w14:paraId="2DCA6FB3">
      <w:pPr>
        <w:rPr>
          <w:rFonts w:ascii="Arial"/>
          <w:sz w:val="21"/>
        </w:rPr>
      </w:pPr>
    </w:p>
    <w:p w14:paraId="30E355A5">
      <w:pPr>
        <w:pStyle w:val="2"/>
      </w:pPr>
    </w:p>
    <w:p w14:paraId="244E1D77">
      <w:pPr>
        <w:pStyle w:val="2"/>
      </w:pPr>
    </w:p>
    <w:p w14:paraId="75C8BDE8">
      <w:pPr>
        <w:pageBreakBefore w:val="0"/>
        <w:kinsoku/>
        <w:overflowPunct/>
        <w:topLinePunct w:val="0"/>
        <w:bidi w:val="0"/>
        <w:spacing w:before="91" w:line="360" w:lineRule="auto"/>
        <w:ind w:left="479"/>
        <w:rPr>
          <w:rFonts w:hint="eastAsia" w:ascii="宋体" w:hAnsi="宋体" w:eastAsia="宋体" w:cs="宋体"/>
          <w:spacing w:val="-14"/>
          <w:sz w:val="36"/>
          <w:szCs w:val="36"/>
          <w:lang w:eastAsia="zh-CN"/>
        </w:rPr>
      </w:pPr>
    </w:p>
    <w:p w14:paraId="36567DCB">
      <w:pPr>
        <w:keepNext w:val="0"/>
        <w:keepLines w:val="0"/>
        <w:pageBreakBefore w:val="0"/>
        <w:widowControl w:val="0"/>
        <w:kinsoku/>
        <w:wordWrap/>
        <w:overflowPunct/>
        <w:topLinePunct w:val="0"/>
        <w:autoSpaceDE/>
        <w:autoSpaceDN/>
        <w:bidi w:val="0"/>
        <w:adjustRightInd/>
        <w:snapToGrid/>
        <w:spacing w:before="91" w:line="360" w:lineRule="auto"/>
        <w:jc w:val="left"/>
        <w:textAlignment w:val="auto"/>
        <w:rPr>
          <w:rFonts w:hint="eastAsia" w:ascii="宋体" w:hAnsi="宋体" w:eastAsia="宋体" w:cs="宋体"/>
          <w:spacing w:val="-7"/>
          <w:sz w:val="36"/>
          <w:szCs w:val="36"/>
          <w:u w:val="single" w:color="auto"/>
        </w:rPr>
      </w:pPr>
      <w:r>
        <w:rPr>
          <w:rFonts w:hint="eastAsia" w:ascii="宋体" w:hAnsi="宋体" w:eastAsia="宋体" w:cs="宋体"/>
          <w:spacing w:val="-14"/>
          <w:sz w:val="36"/>
          <w:szCs w:val="36"/>
          <w:lang w:eastAsia="zh-CN"/>
        </w:rPr>
        <w:t>发包人</w:t>
      </w:r>
      <w:r>
        <w:rPr>
          <w:rFonts w:hint="eastAsia" w:ascii="宋体" w:hAnsi="宋体" w:eastAsia="宋体" w:cs="宋体"/>
          <w:spacing w:val="-14"/>
          <w:sz w:val="36"/>
          <w:szCs w:val="36"/>
        </w:rPr>
        <w:t>：</w:t>
      </w:r>
      <w:r>
        <w:rPr>
          <w:rFonts w:hint="eastAsia" w:ascii="宋体" w:hAnsi="宋体" w:eastAsia="宋体" w:cs="宋体"/>
          <w:spacing w:val="-8"/>
          <w:sz w:val="36"/>
          <w:szCs w:val="36"/>
          <w:u w:val="single" w:color="auto"/>
        </w:rPr>
        <w:t xml:space="preserve"> </w:t>
      </w:r>
      <w:r>
        <w:rPr>
          <w:rFonts w:hint="eastAsia" w:ascii="宋体" w:hAnsi="宋体" w:eastAsia="宋体" w:cs="宋体"/>
          <w:spacing w:val="-9"/>
          <w:sz w:val="36"/>
          <w:szCs w:val="36"/>
          <w:u w:val="single" w:color="auto"/>
        </w:rPr>
        <w:t>重庆市南川区泽禹供水有限责任公司</w:t>
      </w:r>
    </w:p>
    <w:p w14:paraId="1844EB4F">
      <w:pPr>
        <w:keepNext w:val="0"/>
        <w:keepLines w:val="0"/>
        <w:pageBreakBefore w:val="0"/>
        <w:kinsoku/>
        <w:wordWrap/>
        <w:overflowPunct/>
        <w:topLinePunct w:val="0"/>
        <w:autoSpaceDE/>
        <w:autoSpaceDN/>
        <w:bidi w:val="0"/>
        <w:adjustRightInd/>
        <w:snapToGrid/>
        <w:spacing w:line="360" w:lineRule="auto"/>
        <w:jc w:val="left"/>
        <w:rPr>
          <w:rFonts w:hint="default" w:ascii="宋体" w:hAnsi="宋体" w:eastAsia="宋体" w:cs="宋体"/>
          <w:spacing w:val="-9"/>
          <w:sz w:val="36"/>
          <w:szCs w:val="36"/>
          <w:u w:val="single" w:color="auto"/>
          <w:lang w:val="en-US" w:eastAsia="zh-CN"/>
        </w:rPr>
      </w:pPr>
      <w:r>
        <w:rPr>
          <w:rFonts w:hint="eastAsia" w:ascii="宋体" w:hAnsi="宋体" w:eastAsia="宋体" w:cs="宋体"/>
          <w:spacing w:val="-14"/>
          <w:sz w:val="36"/>
          <w:szCs w:val="36"/>
          <w:lang w:eastAsia="zh-CN"/>
        </w:rPr>
        <w:t>承包</w:t>
      </w:r>
      <w:r>
        <w:rPr>
          <w:rFonts w:hint="eastAsia" w:ascii="宋体" w:hAnsi="宋体" w:eastAsia="宋体" w:cs="宋体"/>
          <w:spacing w:val="-14"/>
          <w:sz w:val="36"/>
          <w:szCs w:val="36"/>
        </w:rPr>
        <w:t>人：</w:t>
      </w:r>
      <w:r>
        <w:rPr>
          <w:rFonts w:hint="eastAsia" w:ascii="宋体" w:hAnsi="宋体" w:eastAsia="宋体" w:cs="宋体"/>
          <w:spacing w:val="-9"/>
          <w:sz w:val="36"/>
          <w:szCs w:val="36"/>
          <w:u w:val="single" w:color="auto"/>
        </w:rPr>
        <w:t xml:space="preserve"> </w:t>
      </w:r>
      <w:r>
        <w:rPr>
          <w:rFonts w:hint="eastAsia" w:ascii="宋体" w:hAnsi="宋体" w:eastAsia="宋体" w:cs="宋体"/>
          <w:spacing w:val="-9"/>
          <w:sz w:val="36"/>
          <w:szCs w:val="36"/>
          <w:u w:val="single" w:color="auto"/>
          <w:lang w:val="en-US" w:eastAsia="zh-CN"/>
        </w:rPr>
        <w:t xml:space="preserve">                                  </w:t>
      </w:r>
    </w:p>
    <w:p w14:paraId="2A083D25">
      <w:pPr>
        <w:keepNext/>
        <w:keepLines/>
        <w:pageBreakBefore w:val="0"/>
        <w:kinsoku/>
        <w:overflowPunct/>
        <w:topLinePunct w:val="0"/>
        <w:bidi w:val="0"/>
        <w:snapToGrid w:val="0"/>
        <w:spacing w:line="360" w:lineRule="auto"/>
        <w:jc w:val="center"/>
        <w:outlineLvl w:val="1"/>
        <w:rPr>
          <w:rFonts w:hint="eastAsia" w:ascii="宋体" w:hAnsi="宋体" w:eastAsia="宋体" w:cs="宋体"/>
          <w:b w:val="0"/>
          <w:bCs w:val="0"/>
          <w:sz w:val="36"/>
          <w:szCs w:val="36"/>
          <w:highlight w:val="none"/>
          <w:lang w:val="zh-CN"/>
        </w:rPr>
        <w:sectPr>
          <w:pgSz w:w="11900" w:h="16840"/>
          <w:pgMar w:top="1440" w:right="1800" w:bottom="1440" w:left="1800" w:header="851" w:footer="720" w:gutter="0"/>
          <w:cols w:space="720" w:num="1"/>
          <w:rtlGutter w:val="0"/>
          <w:docGrid w:linePitch="312" w:charSpace="0"/>
        </w:sectPr>
      </w:pPr>
    </w:p>
    <w:p w14:paraId="155EE9AA">
      <w:pPr>
        <w:keepNext/>
        <w:keepLines/>
        <w:pageBreakBefore w:val="0"/>
        <w:kinsoku/>
        <w:overflowPunct/>
        <w:topLinePunct w:val="0"/>
        <w:bidi w:val="0"/>
        <w:snapToGrid w:val="0"/>
        <w:spacing w:line="360" w:lineRule="auto"/>
        <w:jc w:val="center"/>
        <w:outlineLvl w:val="1"/>
        <w:rPr>
          <w:rFonts w:hint="eastAsia" w:ascii="宋体" w:hAnsi="宋体" w:eastAsia="宋体" w:cs="宋体"/>
          <w:color w:val="auto"/>
          <w:kern w:val="0"/>
          <w:sz w:val="44"/>
          <w:szCs w:val="44"/>
          <w:lang w:val="zh-CN" w:eastAsia="zh-CN" w:bidi="ar-SA"/>
        </w:rPr>
      </w:pPr>
      <w:r>
        <w:rPr>
          <w:rFonts w:hint="eastAsia" w:ascii="宋体" w:hAnsi="宋体" w:eastAsia="宋体" w:cs="宋体"/>
          <w:color w:val="auto"/>
          <w:kern w:val="0"/>
          <w:sz w:val="44"/>
          <w:szCs w:val="44"/>
          <w:lang w:val="en-US" w:eastAsia="zh-CN" w:bidi="ar-SA"/>
        </w:rPr>
        <w:t xml:space="preserve">第一部分 </w:t>
      </w:r>
      <w:r>
        <w:rPr>
          <w:rFonts w:hint="eastAsia" w:ascii="宋体" w:hAnsi="宋体" w:eastAsia="宋体" w:cs="宋体"/>
          <w:color w:val="auto"/>
          <w:kern w:val="0"/>
          <w:sz w:val="44"/>
          <w:szCs w:val="44"/>
          <w:lang w:val="zh-CN" w:eastAsia="zh-CN" w:bidi="ar-SA"/>
        </w:rPr>
        <w:t>合同协议书</w:t>
      </w:r>
    </w:p>
    <w:p w14:paraId="7C56E2F3">
      <w:pPr>
        <w:pStyle w:val="2"/>
        <w:rPr>
          <w:rFonts w:hint="eastAsia"/>
        </w:rPr>
      </w:pPr>
    </w:p>
    <w:p w14:paraId="3AA8687D">
      <w:pPr>
        <w:pageBreakBefore w:val="0"/>
        <w:kinsoku/>
        <w:overflowPunct/>
        <w:topLinePunct w:val="0"/>
        <w:bidi w:val="0"/>
        <w:snapToGrid w:val="0"/>
        <w:spacing w:line="360" w:lineRule="auto"/>
        <w:jc w:val="left"/>
        <w:rPr>
          <w:rFonts w:hint="eastAsia" w:ascii="宋体" w:hAnsi="宋体" w:cs="宋体"/>
          <w:color w:val="auto"/>
          <w:sz w:val="21"/>
          <w:szCs w:val="21"/>
          <w:highlight w:val="none"/>
          <w:u w:val="single"/>
          <w:lang w:eastAsia="zh-CN"/>
        </w:rPr>
      </w:pPr>
      <w:r>
        <w:rPr>
          <w:rFonts w:hint="eastAsia" w:ascii="宋体" w:hAnsi="宋体" w:cs="宋体"/>
          <w:b/>
          <w:sz w:val="21"/>
          <w:szCs w:val="21"/>
          <w:highlight w:val="none"/>
        </w:rPr>
        <w:t>发包人（全称）：</w:t>
      </w:r>
      <w:r>
        <w:rPr>
          <w:rFonts w:hint="eastAsia" w:ascii="宋体" w:hAnsi="宋体" w:cs="宋体"/>
          <w:color w:val="auto"/>
          <w:sz w:val="21"/>
          <w:szCs w:val="21"/>
          <w:highlight w:val="none"/>
          <w:u w:val="single"/>
          <w:lang w:eastAsia="zh-CN"/>
        </w:rPr>
        <w:t>重庆市南川区泽禹供水有限责任公司</w:t>
      </w:r>
    </w:p>
    <w:p w14:paraId="21503A78">
      <w:pPr>
        <w:pageBreakBefore w:val="0"/>
        <w:kinsoku/>
        <w:overflowPunct/>
        <w:topLinePunct w:val="0"/>
        <w:bidi w:val="0"/>
        <w:snapToGrid w:val="0"/>
        <w:spacing w:line="360" w:lineRule="auto"/>
        <w:jc w:val="left"/>
        <w:rPr>
          <w:rFonts w:hint="default" w:ascii="宋体" w:hAnsi="宋体" w:eastAsia="宋体" w:cs="宋体"/>
          <w:b/>
          <w:szCs w:val="21"/>
          <w:highlight w:val="none"/>
          <w:u w:val="single"/>
          <w:lang w:val="en-US" w:eastAsia="zh-CN"/>
        </w:rPr>
      </w:pPr>
      <w:r>
        <w:rPr>
          <w:rFonts w:hint="eastAsia" w:ascii="宋体" w:hAnsi="宋体" w:cs="宋体"/>
          <w:b/>
          <w:sz w:val="21"/>
          <w:szCs w:val="21"/>
          <w:highlight w:val="none"/>
          <w:lang w:eastAsia="zh-CN"/>
        </w:rPr>
        <w:t>承包人（全称）：</w:t>
      </w:r>
      <w:r>
        <w:rPr>
          <w:rFonts w:hint="eastAsia" w:ascii="宋体" w:hAnsi="宋体" w:cs="仿宋_GB2312"/>
          <w:kern w:val="0"/>
          <w:szCs w:val="21"/>
          <w:u w:val="single"/>
          <w:lang w:val="en-US" w:eastAsia="zh-CN"/>
        </w:rPr>
        <w:t xml:space="preserve">                                </w:t>
      </w:r>
    </w:p>
    <w:p w14:paraId="2EDC4488">
      <w:pPr>
        <w:pageBreakBefore w:val="0"/>
        <w:kinsoku/>
        <w:overflowPunct/>
        <w:topLinePunct w:val="0"/>
        <w:bidi w:val="0"/>
        <w:snapToGrid w:val="0"/>
        <w:spacing w:line="360" w:lineRule="auto"/>
        <w:ind w:firstLine="420" w:firstLineChars="200"/>
        <w:rPr>
          <w:rFonts w:ascii="宋体" w:hAnsi="宋体" w:cs="宋体"/>
          <w:b/>
          <w:sz w:val="21"/>
          <w:szCs w:val="21"/>
          <w:highlight w:val="none"/>
          <w:u w:val="single"/>
        </w:rPr>
      </w:pPr>
      <w:r>
        <w:rPr>
          <w:rFonts w:hint="eastAsia" w:ascii="宋体" w:hAnsi="宋体" w:cs="宋体"/>
          <w:sz w:val="21"/>
          <w:szCs w:val="21"/>
          <w:highlight w:val="none"/>
        </w:rPr>
        <w:t>根据《中华人民共和国民法典》、《中华人民共和国建筑法》及有关法律、法规规定，遵循平等、自愿、公平和诚实信用的原则，双方就</w:t>
      </w:r>
      <w:r>
        <w:rPr>
          <w:rFonts w:hint="eastAsia" w:ascii="宋体" w:hAnsi="宋体" w:cs="宋体"/>
          <w:color w:val="auto"/>
          <w:sz w:val="21"/>
          <w:szCs w:val="21"/>
          <w:highlight w:val="none"/>
          <w:u w:val="single"/>
          <w:lang w:val="en-US" w:eastAsia="zh-CN"/>
        </w:rPr>
        <w:t>南川区水江镇、楠竹山镇、中桥乡抗旱水源工程</w:t>
      </w:r>
      <w:r>
        <w:rPr>
          <w:rFonts w:hint="eastAsia" w:ascii="宋体" w:hAnsi="宋体" w:cs="宋体"/>
          <w:sz w:val="21"/>
          <w:szCs w:val="21"/>
          <w:highlight w:val="none"/>
        </w:rPr>
        <w:t>程施工及有关事项协商一致，共同达成如下协议：</w:t>
      </w:r>
    </w:p>
    <w:p w14:paraId="5155AF52">
      <w:pPr>
        <w:pageBreakBefore w:val="0"/>
        <w:kinsoku/>
        <w:overflowPunct/>
        <w:topLinePunct w:val="0"/>
        <w:bidi w:val="0"/>
        <w:snapToGrid w:val="0"/>
        <w:spacing w:line="360" w:lineRule="auto"/>
        <w:ind w:firstLine="422" w:firstLineChars="200"/>
        <w:jc w:val="left"/>
        <w:rPr>
          <w:rFonts w:hint="eastAsia" w:ascii="宋体" w:hAnsi="宋体" w:cs="宋体"/>
          <w:b/>
          <w:sz w:val="21"/>
          <w:szCs w:val="21"/>
          <w:highlight w:val="none"/>
          <w:lang w:val="zh-CN" w:eastAsia="zh-CN"/>
        </w:rPr>
      </w:pPr>
      <w:bookmarkStart w:id="0" w:name="_Toc33183534"/>
      <w:r>
        <w:rPr>
          <w:rFonts w:hint="eastAsia" w:ascii="宋体" w:hAnsi="宋体" w:cs="宋体"/>
          <w:b/>
          <w:sz w:val="21"/>
          <w:szCs w:val="21"/>
          <w:highlight w:val="none"/>
          <w:lang w:val="zh-CN" w:eastAsia="zh-CN"/>
        </w:rPr>
        <w:t>一、工程概况</w:t>
      </w:r>
      <w:bookmarkEnd w:id="0"/>
    </w:p>
    <w:p w14:paraId="62BCFEBB">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u w:val="single"/>
          <w:lang w:val="en-US" w:eastAsia="zh-CN"/>
        </w:rPr>
        <w:t>南川区水江镇、楠竹山镇、中桥乡抗旱水源工程</w:t>
      </w:r>
      <w:r>
        <w:rPr>
          <w:rFonts w:hint="eastAsia" w:ascii="宋体" w:hAnsi="宋体" w:eastAsia="宋体" w:cs="宋体"/>
          <w:sz w:val="21"/>
          <w:szCs w:val="21"/>
          <w:highlight w:val="none"/>
        </w:rPr>
        <w:t>。</w:t>
      </w:r>
    </w:p>
    <w:p w14:paraId="2297FC82">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2.工程地点：</w:t>
      </w:r>
      <w:r>
        <w:rPr>
          <w:rFonts w:hint="eastAsia" w:ascii="宋体" w:hAnsi="宋体" w:eastAsia="宋体" w:cs="宋体"/>
          <w:bCs/>
          <w:color w:val="auto"/>
          <w:sz w:val="21"/>
          <w:szCs w:val="21"/>
          <w:u w:val="single"/>
          <w:lang w:val="en-US" w:eastAsia="zh-CN"/>
        </w:rPr>
        <w:t>南川区水江镇长青社区</w:t>
      </w:r>
      <w:r>
        <w:rPr>
          <w:rFonts w:hint="eastAsia" w:ascii="宋体" w:hAnsi="宋体" w:eastAsia="宋体" w:cs="宋体"/>
          <w:sz w:val="21"/>
          <w:szCs w:val="21"/>
          <w:highlight w:val="none"/>
        </w:rPr>
        <w:t>。</w:t>
      </w:r>
    </w:p>
    <w:p w14:paraId="0EC36BA0">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3.工程立项批准文号：</w:t>
      </w:r>
      <w:r>
        <w:rPr>
          <w:rFonts w:hint="eastAsia" w:ascii="宋体" w:hAnsi="宋体" w:eastAsia="宋体" w:cs="宋体"/>
          <w:bCs/>
          <w:color w:val="auto"/>
          <w:sz w:val="21"/>
          <w:szCs w:val="21"/>
          <w:u w:val="single"/>
          <w:lang w:val="en-US" w:eastAsia="zh-CN"/>
        </w:rPr>
        <w:t>南川水利发〔2024〕37号</w:t>
      </w:r>
      <w:r>
        <w:rPr>
          <w:rFonts w:hint="eastAsia" w:ascii="宋体" w:hAnsi="宋体" w:eastAsia="宋体" w:cs="宋体"/>
          <w:bCs/>
          <w:sz w:val="21"/>
          <w:szCs w:val="21"/>
          <w:highlight w:val="none"/>
        </w:rPr>
        <w:t>。</w:t>
      </w:r>
    </w:p>
    <w:p w14:paraId="3B64B7FB">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bCs/>
          <w:sz w:val="21"/>
          <w:szCs w:val="21"/>
          <w:highlight w:val="none"/>
        </w:rPr>
        <w:t>4.资金来源：</w:t>
      </w:r>
      <w:r>
        <w:rPr>
          <w:rFonts w:hint="eastAsia" w:ascii="宋体" w:hAnsi="宋体" w:eastAsia="宋体" w:cs="宋体"/>
          <w:bCs/>
          <w:color w:val="auto"/>
          <w:sz w:val="21"/>
          <w:szCs w:val="21"/>
          <w:u w:val="single"/>
          <w:lang w:val="en-US" w:eastAsia="zh-CN"/>
        </w:rPr>
        <w:t>南川区2025年衔接推进乡村振兴补助资金</w:t>
      </w:r>
      <w:r>
        <w:rPr>
          <w:rFonts w:hint="eastAsia" w:ascii="宋体" w:hAnsi="宋体" w:eastAsia="宋体" w:cs="宋体"/>
          <w:sz w:val="21"/>
          <w:szCs w:val="21"/>
          <w:highlight w:val="none"/>
        </w:rPr>
        <w:t>。</w:t>
      </w:r>
    </w:p>
    <w:p w14:paraId="3BA3EA1B">
      <w:pPr>
        <w:keepNext w:val="0"/>
        <w:keepLines w:val="0"/>
        <w:pageBreakBefore w:val="0"/>
        <w:widowControl/>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sz w:val="21"/>
          <w:szCs w:val="21"/>
          <w:highlight w:val="none"/>
        </w:rPr>
        <w:t>5.工程内容：</w:t>
      </w:r>
      <w:r>
        <w:rPr>
          <w:rFonts w:hint="eastAsia" w:ascii="宋体" w:hAnsi="宋体" w:eastAsia="宋体" w:cs="宋体"/>
          <w:bCs/>
          <w:color w:val="auto"/>
          <w:sz w:val="21"/>
          <w:szCs w:val="21"/>
          <w:u w:val="single"/>
          <w:lang w:val="en-US" w:eastAsia="zh-CN"/>
        </w:rPr>
        <w:t>以乐村水厂自来水为水源，</w:t>
      </w:r>
      <w:r>
        <w:rPr>
          <w:rFonts w:hint="eastAsia" w:ascii="宋体" w:hAnsi="宋体" w:eastAsia="宋体" w:cs="宋体"/>
          <w:bCs/>
          <w:color w:val="auto"/>
          <w:sz w:val="21"/>
          <w:szCs w:val="21"/>
          <w:u w:val="single"/>
          <w:lang w:eastAsia="zh-CN"/>
        </w:rPr>
        <w:t>安装各类管道17393m，安装各类阀门12个，安装水表180个，砖砌阀门及水表井41座等</w:t>
      </w:r>
      <w:r>
        <w:rPr>
          <w:rFonts w:hint="eastAsia" w:ascii="宋体" w:hAnsi="宋体" w:eastAsia="宋体" w:cs="宋体"/>
          <w:bCs/>
          <w:color w:val="auto"/>
          <w:sz w:val="21"/>
          <w:szCs w:val="21"/>
          <w:u w:val="single"/>
          <w:lang w:val="en-US" w:eastAsia="zh-CN"/>
        </w:rPr>
        <w:t>配套附属设施；</w:t>
      </w:r>
      <w:r>
        <w:rPr>
          <w:rFonts w:hint="eastAsia" w:ascii="宋体" w:hAnsi="宋体" w:eastAsia="宋体" w:cs="宋体"/>
          <w:bCs/>
          <w:color w:val="auto"/>
          <w:sz w:val="21"/>
          <w:szCs w:val="21"/>
          <w:u w:val="single"/>
          <w:lang w:eastAsia="zh-CN"/>
        </w:rPr>
        <w:t>该工程中所需的</w:t>
      </w:r>
      <w:r>
        <w:rPr>
          <w:rFonts w:hint="eastAsia" w:ascii="宋体" w:hAnsi="宋体" w:eastAsia="宋体" w:cs="宋体"/>
          <w:bCs/>
          <w:color w:val="auto"/>
          <w:sz w:val="21"/>
          <w:szCs w:val="21"/>
          <w:u w:val="single"/>
          <w:lang w:val="en-US" w:eastAsia="zh-CN"/>
        </w:rPr>
        <w:t>DN15远传</w:t>
      </w:r>
      <w:r>
        <w:rPr>
          <w:rFonts w:hint="eastAsia" w:ascii="宋体" w:hAnsi="宋体" w:eastAsia="宋体" w:cs="宋体"/>
          <w:bCs/>
          <w:color w:val="auto"/>
          <w:sz w:val="21"/>
          <w:szCs w:val="21"/>
          <w:u w:val="single"/>
          <w:lang w:eastAsia="zh-CN"/>
        </w:rPr>
        <w:t>水表由甲方提供外，其他材料全部纳入乙方工程费用中，由乙方提供。</w:t>
      </w:r>
    </w:p>
    <w:p w14:paraId="4CFB35A0">
      <w:pPr>
        <w:keepNext w:val="0"/>
        <w:keepLines w:val="0"/>
        <w:pageBreakBefore w:val="0"/>
        <w:widowControl/>
        <w:tabs>
          <w:tab w:val="left" w:pos="3840"/>
          <w:tab w:val="left" w:pos="5300"/>
        </w:tabs>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Cs/>
          <w:color w:val="auto"/>
          <w:sz w:val="21"/>
          <w:szCs w:val="21"/>
          <w:u w:val="single"/>
          <w:lang w:val="en-US" w:eastAsia="zh-CN"/>
        </w:rPr>
      </w:pPr>
      <w:r>
        <w:rPr>
          <w:rFonts w:hint="eastAsia" w:ascii="宋体" w:hAnsi="宋体" w:eastAsia="宋体" w:cs="宋体"/>
          <w:bCs/>
          <w:sz w:val="21"/>
          <w:szCs w:val="21"/>
          <w:highlight w:val="none"/>
        </w:rPr>
        <w:t>6.工程承包范围：</w:t>
      </w:r>
      <w:r>
        <w:rPr>
          <w:rFonts w:hint="eastAsia" w:ascii="宋体" w:hAnsi="宋体" w:eastAsia="宋体" w:cs="宋体"/>
          <w:bCs/>
          <w:color w:val="auto"/>
          <w:sz w:val="21"/>
          <w:szCs w:val="21"/>
          <w:u w:val="single"/>
          <w:lang w:val="en-US" w:eastAsia="zh-CN"/>
        </w:rPr>
        <w:t>本次招标活动所提供的施工设计图所示范围的全部内容以及发包人提供的工程量清单、答疑资料、澄清资料、其他补遗资料等相关内容</w:t>
      </w:r>
      <w:r>
        <w:rPr>
          <w:rFonts w:hint="eastAsia" w:ascii="宋体" w:hAnsi="宋体" w:eastAsia="宋体" w:cs="宋体"/>
          <w:bCs/>
          <w:color w:val="auto"/>
          <w:sz w:val="21"/>
          <w:szCs w:val="21"/>
          <w:u w:val="none"/>
          <w:lang w:val="en-US" w:eastAsia="zh-CN"/>
        </w:rPr>
        <w:t>。</w:t>
      </w:r>
    </w:p>
    <w:p w14:paraId="5FEBB0EA">
      <w:pPr>
        <w:pageBreakBefore w:val="0"/>
        <w:kinsoku/>
        <w:overflowPunct/>
        <w:topLinePunct w:val="0"/>
        <w:bidi w:val="0"/>
        <w:snapToGrid w:val="0"/>
        <w:spacing w:line="360" w:lineRule="auto"/>
        <w:ind w:firstLine="422" w:firstLineChars="200"/>
        <w:jc w:val="left"/>
        <w:rPr>
          <w:rFonts w:hint="eastAsia" w:ascii="宋体" w:hAnsi="宋体" w:cs="宋体"/>
          <w:b/>
          <w:sz w:val="21"/>
          <w:szCs w:val="21"/>
          <w:highlight w:val="none"/>
          <w:lang w:val="zh-CN" w:eastAsia="zh-CN"/>
        </w:rPr>
      </w:pPr>
      <w:bookmarkStart w:id="1" w:name="_Toc33183535"/>
      <w:r>
        <w:rPr>
          <w:rFonts w:hint="eastAsia" w:ascii="宋体" w:hAnsi="宋体" w:cs="宋体"/>
          <w:b/>
          <w:sz w:val="21"/>
          <w:szCs w:val="21"/>
          <w:highlight w:val="none"/>
          <w:lang w:val="zh-CN" w:eastAsia="zh-CN"/>
        </w:rPr>
        <w:t>二、合同工期</w:t>
      </w:r>
      <w:bookmarkEnd w:id="1"/>
    </w:p>
    <w:p w14:paraId="32961919">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sz w:val="21"/>
          <w:szCs w:val="21"/>
          <w:highlight w:val="none"/>
        </w:rPr>
      </w:pPr>
      <w:r>
        <w:rPr>
          <w:rFonts w:hint="default" w:ascii="宋体" w:hAnsi="宋体" w:eastAsia="宋体" w:cs="宋体"/>
          <w:bCs/>
          <w:sz w:val="21"/>
          <w:szCs w:val="21"/>
          <w:highlight w:val="none"/>
        </w:rPr>
        <w:t>承包人投标函中承诺的工期总日历天数</w:t>
      </w:r>
      <w:r>
        <w:rPr>
          <w:rFonts w:hint="default" w:ascii="宋体" w:hAnsi="宋体" w:eastAsia="宋体" w:cs="宋体"/>
          <w:bCs/>
          <w:sz w:val="21"/>
          <w:szCs w:val="21"/>
          <w:highlight w:val="none"/>
          <w:u w:val="none"/>
        </w:rPr>
        <w:t>：</w:t>
      </w:r>
      <w:r>
        <w:rPr>
          <w:rFonts w:hint="default" w:ascii="宋体" w:hAnsi="宋体" w:eastAsia="宋体" w:cs="宋体"/>
          <w:bCs/>
          <w:sz w:val="21"/>
          <w:szCs w:val="21"/>
          <w:highlight w:val="none"/>
          <w:u w:val="single"/>
          <w:lang w:val="en-US" w:eastAsia="zh-CN"/>
        </w:rPr>
        <w:t xml:space="preserve">     </w:t>
      </w:r>
      <w:r>
        <w:rPr>
          <w:rFonts w:hint="default" w:ascii="宋体" w:hAnsi="宋体" w:eastAsia="宋体" w:cs="宋体"/>
          <w:bCs/>
          <w:sz w:val="21"/>
          <w:szCs w:val="21"/>
          <w:highlight w:val="none"/>
        </w:rPr>
        <w:t>日历天。</w:t>
      </w:r>
    </w:p>
    <w:p w14:paraId="71B65D5F">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sz w:val="21"/>
          <w:szCs w:val="21"/>
          <w:highlight w:val="none"/>
        </w:rPr>
      </w:pPr>
      <w:r>
        <w:rPr>
          <w:rFonts w:hint="default" w:ascii="宋体" w:hAnsi="宋体" w:eastAsia="宋体" w:cs="宋体"/>
          <w:bCs/>
          <w:sz w:val="21"/>
          <w:szCs w:val="21"/>
          <w:highlight w:val="none"/>
        </w:rPr>
        <w:t>工期总日历天数与根据下述计划开工完工（竣工）日期计算的工期天数不一致的，以工期总日历天数为准。</w:t>
      </w:r>
    </w:p>
    <w:p w14:paraId="06D2B187">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sz w:val="21"/>
          <w:szCs w:val="21"/>
          <w:highlight w:val="none"/>
        </w:rPr>
      </w:pPr>
      <w:r>
        <w:rPr>
          <w:rFonts w:hint="default" w:ascii="宋体" w:hAnsi="宋体" w:eastAsia="宋体" w:cs="宋体"/>
          <w:bCs/>
          <w:sz w:val="21"/>
          <w:szCs w:val="21"/>
          <w:highlight w:val="none"/>
        </w:rPr>
        <w:t>计划开工日期：</w:t>
      </w:r>
      <w:r>
        <w:rPr>
          <w:rFonts w:hint="default" w:ascii="宋体" w:hAnsi="宋体" w:eastAsia="宋体" w:cs="宋体"/>
          <w:bCs/>
          <w:sz w:val="21"/>
          <w:szCs w:val="21"/>
          <w:highlight w:val="none"/>
          <w:u w:val="single"/>
          <w:lang w:val="en-US" w:eastAsia="zh-CN"/>
        </w:rPr>
        <w:t xml:space="preserve">    </w:t>
      </w:r>
      <w:r>
        <w:rPr>
          <w:rFonts w:hint="default" w:ascii="宋体" w:hAnsi="宋体" w:eastAsia="宋体" w:cs="宋体"/>
          <w:bCs/>
          <w:sz w:val="21"/>
          <w:szCs w:val="21"/>
          <w:highlight w:val="none"/>
        </w:rPr>
        <w:t>年</w:t>
      </w:r>
      <w:r>
        <w:rPr>
          <w:rFonts w:hint="default" w:ascii="宋体" w:hAnsi="宋体" w:eastAsia="宋体" w:cs="宋体"/>
          <w:bCs/>
          <w:sz w:val="21"/>
          <w:szCs w:val="21"/>
          <w:highlight w:val="none"/>
          <w:u w:val="single"/>
          <w:lang w:val="en-US" w:eastAsia="zh-CN"/>
        </w:rPr>
        <w:t xml:space="preserve">   </w:t>
      </w:r>
      <w:r>
        <w:rPr>
          <w:rFonts w:hint="default" w:ascii="宋体" w:hAnsi="宋体" w:eastAsia="宋体" w:cs="宋体"/>
          <w:bCs/>
          <w:sz w:val="21"/>
          <w:szCs w:val="21"/>
          <w:highlight w:val="none"/>
        </w:rPr>
        <w:t>月</w:t>
      </w:r>
      <w:r>
        <w:rPr>
          <w:rFonts w:hint="default" w:ascii="宋体" w:hAnsi="宋体" w:eastAsia="宋体" w:cs="宋体"/>
          <w:bCs/>
          <w:sz w:val="21"/>
          <w:szCs w:val="21"/>
          <w:highlight w:val="none"/>
          <w:u w:val="single"/>
          <w:lang w:val="en-US" w:eastAsia="zh-CN"/>
        </w:rPr>
        <w:t xml:space="preserve">    </w:t>
      </w:r>
      <w:r>
        <w:rPr>
          <w:rFonts w:hint="default" w:ascii="宋体" w:hAnsi="宋体" w:eastAsia="宋体" w:cs="宋体"/>
          <w:bCs/>
          <w:sz w:val="21"/>
          <w:szCs w:val="21"/>
          <w:highlight w:val="none"/>
        </w:rPr>
        <w:t>日，实际开工日期以监理人发出的工程开工通知中明确的开工日期为准。</w:t>
      </w:r>
    </w:p>
    <w:p w14:paraId="14199FC6">
      <w:pPr>
        <w:pageBreakBefore w:val="0"/>
        <w:kinsoku/>
        <w:overflowPunct/>
        <w:topLinePunct w:val="0"/>
        <w:bidi w:val="0"/>
        <w:snapToGrid w:val="0"/>
        <w:spacing w:line="360" w:lineRule="auto"/>
        <w:ind w:firstLine="420" w:firstLineChars="200"/>
        <w:jc w:val="left"/>
        <w:rPr>
          <w:rFonts w:hint="default" w:ascii="宋体" w:hAnsi="宋体" w:cs="宋体"/>
          <w:b/>
          <w:sz w:val="21"/>
          <w:szCs w:val="21"/>
          <w:highlight w:val="none"/>
          <w:lang w:val="zh-CN" w:eastAsia="zh-CN"/>
        </w:rPr>
      </w:pPr>
      <w:r>
        <w:rPr>
          <w:rFonts w:hint="default" w:ascii="宋体" w:hAnsi="宋体" w:eastAsia="宋体" w:cs="宋体"/>
          <w:bCs/>
          <w:sz w:val="21"/>
          <w:szCs w:val="21"/>
          <w:highlight w:val="none"/>
        </w:rPr>
        <w:t>计划完工（竣工）日期：</w:t>
      </w:r>
      <w:r>
        <w:rPr>
          <w:rFonts w:hint="default" w:ascii="宋体" w:hAnsi="宋体" w:eastAsia="宋体" w:cs="宋体"/>
          <w:bCs/>
          <w:sz w:val="21"/>
          <w:szCs w:val="21"/>
          <w:highlight w:val="none"/>
          <w:u w:val="single"/>
          <w:lang w:val="en-US" w:eastAsia="zh-CN"/>
        </w:rPr>
        <w:t xml:space="preserve">    </w:t>
      </w:r>
      <w:r>
        <w:rPr>
          <w:rFonts w:hint="default" w:ascii="宋体" w:hAnsi="宋体" w:eastAsia="宋体" w:cs="宋体"/>
          <w:bCs/>
          <w:sz w:val="21"/>
          <w:szCs w:val="21"/>
          <w:highlight w:val="none"/>
        </w:rPr>
        <w:t>年</w:t>
      </w:r>
      <w:r>
        <w:rPr>
          <w:rFonts w:hint="default" w:ascii="宋体" w:hAnsi="宋体" w:eastAsia="宋体" w:cs="宋体"/>
          <w:bCs/>
          <w:sz w:val="21"/>
          <w:szCs w:val="21"/>
          <w:highlight w:val="none"/>
          <w:u w:val="single"/>
          <w:lang w:val="en-US" w:eastAsia="zh-CN"/>
        </w:rPr>
        <w:t xml:space="preserve">    </w:t>
      </w:r>
      <w:r>
        <w:rPr>
          <w:rFonts w:hint="default" w:ascii="宋体" w:hAnsi="宋体" w:eastAsia="宋体" w:cs="宋体"/>
          <w:bCs/>
          <w:sz w:val="21"/>
          <w:szCs w:val="21"/>
          <w:highlight w:val="none"/>
        </w:rPr>
        <w:t>月</w:t>
      </w:r>
      <w:r>
        <w:rPr>
          <w:rFonts w:hint="default" w:ascii="宋体" w:hAnsi="宋体" w:eastAsia="宋体" w:cs="宋体"/>
          <w:bCs/>
          <w:sz w:val="21"/>
          <w:szCs w:val="21"/>
          <w:highlight w:val="none"/>
          <w:u w:val="single"/>
          <w:lang w:val="en-US" w:eastAsia="zh-CN"/>
        </w:rPr>
        <w:t xml:space="preserve">    </w:t>
      </w:r>
      <w:r>
        <w:rPr>
          <w:rFonts w:hint="default" w:ascii="宋体" w:hAnsi="宋体" w:eastAsia="宋体" w:cs="宋体"/>
          <w:bCs/>
          <w:sz w:val="21"/>
          <w:szCs w:val="21"/>
          <w:highlight w:val="none"/>
        </w:rPr>
        <w:t>日，实际完工日期以合同工程完工证书中写明的日</w:t>
      </w:r>
      <w:r>
        <w:rPr>
          <w:rFonts w:hint="default" w:ascii="宋体" w:hAnsi="宋体" w:cs="宋体"/>
          <w:b w:val="0"/>
          <w:bCs/>
          <w:sz w:val="21"/>
          <w:szCs w:val="21"/>
          <w:highlight w:val="none"/>
          <w:lang w:val="zh-CN" w:eastAsia="zh-CN"/>
        </w:rPr>
        <w:t>期为准。</w:t>
      </w:r>
    </w:p>
    <w:p w14:paraId="309C3DB0">
      <w:pPr>
        <w:pageBreakBefore w:val="0"/>
        <w:kinsoku/>
        <w:overflowPunct/>
        <w:topLinePunct w:val="0"/>
        <w:bidi w:val="0"/>
        <w:snapToGrid w:val="0"/>
        <w:spacing w:line="360" w:lineRule="auto"/>
        <w:ind w:firstLine="422" w:firstLineChars="200"/>
        <w:jc w:val="left"/>
        <w:rPr>
          <w:rFonts w:hint="eastAsia" w:ascii="宋体" w:hAnsi="宋体" w:cs="宋体"/>
          <w:b/>
          <w:sz w:val="21"/>
          <w:szCs w:val="21"/>
          <w:highlight w:val="none"/>
          <w:lang w:val="zh-CN" w:eastAsia="zh-CN"/>
        </w:rPr>
      </w:pPr>
      <w:bookmarkStart w:id="2" w:name="_Toc33183536"/>
      <w:r>
        <w:rPr>
          <w:rFonts w:hint="eastAsia" w:ascii="宋体" w:hAnsi="宋体" w:cs="宋体"/>
          <w:b/>
          <w:sz w:val="21"/>
          <w:szCs w:val="21"/>
          <w:highlight w:val="none"/>
          <w:lang w:val="zh-CN" w:eastAsia="zh-CN"/>
        </w:rPr>
        <w:t>三、质量标准</w:t>
      </w:r>
      <w:bookmarkEnd w:id="2"/>
    </w:p>
    <w:p w14:paraId="5229E067">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sz w:val="21"/>
          <w:szCs w:val="21"/>
          <w:highlight w:val="none"/>
        </w:rPr>
      </w:pPr>
      <w:r>
        <w:rPr>
          <w:rFonts w:hint="default" w:ascii="宋体" w:hAnsi="宋体" w:eastAsia="宋体" w:cs="宋体"/>
          <w:bCs/>
          <w:sz w:val="21"/>
          <w:szCs w:val="21"/>
          <w:highlight w:val="none"/>
        </w:rPr>
        <w:t>工程质量符合强制性质量标准</w:t>
      </w:r>
      <w:r>
        <w:rPr>
          <w:rFonts w:hint="eastAsia" w:ascii="宋体" w:hAnsi="宋体" w:eastAsia="宋体" w:cs="宋体"/>
          <w:bCs/>
          <w:sz w:val="21"/>
          <w:szCs w:val="21"/>
          <w:highlight w:val="none"/>
          <w:lang w:eastAsia="zh-CN"/>
        </w:rPr>
        <w:t>：</w:t>
      </w:r>
      <w:r>
        <w:rPr>
          <w:rFonts w:hint="default" w:ascii="宋体" w:hAnsi="宋体" w:eastAsia="宋体" w:cs="宋体"/>
          <w:bCs/>
          <w:sz w:val="21"/>
          <w:szCs w:val="21"/>
          <w:highlight w:val="none"/>
          <w:u w:val="single"/>
        </w:rPr>
        <w:t>符合国家和重庆市现行有关施工质量验收规范要求，并达到合格标准</w:t>
      </w:r>
      <w:r>
        <w:rPr>
          <w:rFonts w:hint="default" w:ascii="宋体" w:hAnsi="宋体" w:eastAsia="宋体" w:cs="宋体"/>
          <w:bCs/>
          <w:sz w:val="21"/>
          <w:szCs w:val="21"/>
          <w:highlight w:val="none"/>
        </w:rPr>
        <w:t>。</w:t>
      </w:r>
    </w:p>
    <w:p w14:paraId="51694CB1">
      <w:pPr>
        <w:keepNext/>
        <w:keepLines/>
        <w:pageBreakBefore w:val="0"/>
        <w:kinsoku/>
        <w:overflowPunct/>
        <w:topLinePunct w:val="0"/>
        <w:bidi w:val="0"/>
        <w:snapToGrid w:val="0"/>
        <w:spacing w:line="360" w:lineRule="auto"/>
        <w:ind w:firstLine="422" w:firstLineChars="200"/>
        <w:outlineLvl w:val="3"/>
        <w:rPr>
          <w:rFonts w:hint="eastAsia" w:ascii="宋体" w:hAnsi="宋体" w:eastAsia="宋体" w:cs="宋体"/>
          <w:b/>
          <w:bCs/>
          <w:szCs w:val="21"/>
          <w:highlight w:val="none"/>
          <w:lang w:val="en-US" w:eastAsia="zh-CN"/>
        </w:rPr>
      </w:pPr>
      <w:bookmarkStart w:id="3" w:name="_Toc33183537"/>
      <w:r>
        <w:rPr>
          <w:rFonts w:hint="eastAsia" w:ascii="宋体" w:hAnsi="宋体" w:cs="宋体"/>
          <w:b/>
          <w:bCs/>
          <w:szCs w:val="21"/>
          <w:highlight w:val="none"/>
          <w:lang w:val="zh-CN"/>
        </w:rPr>
        <w:t>四、签约合同价与合同价格形式</w:t>
      </w:r>
      <w:bookmarkEnd w:id="3"/>
      <w:r>
        <w:rPr>
          <w:rFonts w:hint="eastAsia" w:ascii="宋体" w:hAnsi="宋体" w:cs="宋体"/>
          <w:b/>
          <w:bCs/>
          <w:szCs w:val="21"/>
          <w:highlight w:val="none"/>
          <w:lang w:val="zh-CN"/>
        </w:rPr>
        <w:tab/>
      </w:r>
    </w:p>
    <w:p w14:paraId="0C53AD1F">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1.承包人投标函中承诺的中标价为：</w:t>
      </w:r>
    </w:p>
    <w:p w14:paraId="63EAF2E8">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w:t>
      </w:r>
    </w:p>
    <w:p w14:paraId="7B7A03BB">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2.签约合同价为：</w:t>
      </w:r>
    </w:p>
    <w:p w14:paraId="7AA3B5B1">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w:t>
      </w:r>
    </w:p>
    <w:p w14:paraId="56E590D9">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其中：</w:t>
      </w:r>
    </w:p>
    <w:p w14:paraId="55050F38">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（1）安全生产费：</w:t>
      </w:r>
    </w:p>
    <w:p w14:paraId="56B95BE9">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Style w:val="10"/>
          <w:rFonts w:hint="eastAsia" w:ascii="宋体" w:hAnsi="宋体"/>
          <w:kern w:val="0"/>
          <w:szCs w:val="21"/>
          <w:u w:val="single"/>
          <w:lang w:val="en-US" w:eastAsia="zh-CN"/>
        </w:rPr>
        <w:t xml:space="preserve">                    </w:t>
      </w:r>
      <w:r>
        <w:rPr>
          <w:rFonts w:hint="eastAsia" w:ascii="宋体" w:hAnsi="宋体" w:cs="宋体"/>
          <w:szCs w:val="21"/>
          <w:highlight w:val="none"/>
        </w:rPr>
        <w:t>元）；</w:t>
      </w:r>
    </w:p>
    <w:p w14:paraId="4B0DCF39">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3.合同价格形式：</w:t>
      </w:r>
      <w:r>
        <w:rPr>
          <w:rFonts w:hint="eastAsia" w:ascii="宋体" w:hAnsi="宋体" w:cs="宋体"/>
          <w:b w:val="0"/>
          <w:bCs/>
          <w:color w:val="auto"/>
          <w:sz w:val="21"/>
          <w:szCs w:val="21"/>
          <w:highlight w:val="none"/>
          <w:u w:val="single"/>
          <w:lang w:val="en-US" w:eastAsia="zh-CN"/>
        </w:rPr>
        <w:t xml:space="preserve"> 固定单价合同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F6DFE">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4" w:name="_Toc33183538"/>
      <w:r>
        <w:rPr>
          <w:rFonts w:hint="eastAsia" w:ascii="宋体" w:hAnsi="宋体" w:cs="宋体"/>
          <w:b/>
          <w:bCs/>
          <w:szCs w:val="21"/>
          <w:highlight w:val="none"/>
          <w:lang w:val="zh-CN"/>
        </w:rPr>
        <w:t>五、项目经理及技术负责人</w:t>
      </w:r>
      <w:bookmarkEnd w:id="4"/>
    </w:p>
    <w:p w14:paraId="717266E9">
      <w:pPr>
        <w:pageBreakBefore w:val="0"/>
        <w:kinsoku/>
        <w:overflowPunct/>
        <w:topLinePunct w:val="0"/>
        <w:bidi w:val="0"/>
        <w:snapToGrid w:val="0"/>
        <w:spacing w:line="360" w:lineRule="auto"/>
        <w:ind w:firstLine="420" w:firstLineChars="200"/>
        <w:rPr>
          <w:rFonts w:ascii="宋体" w:hAnsi="宋体" w:cs="宋体"/>
          <w:szCs w:val="21"/>
          <w:highlight w:val="none"/>
        </w:rPr>
      </w:pPr>
      <w:bookmarkStart w:id="5" w:name="_Toc33183539"/>
      <w:r>
        <w:rPr>
          <w:rFonts w:hint="eastAsia" w:ascii="宋体" w:hAnsi="宋体" w:cs="宋体"/>
          <w:szCs w:val="21"/>
          <w:highlight w:val="none"/>
        </w:rPr>
        <w:t>1、承包人</w:t>
      </w:r>
      <w:r>
        <w:rPr>
          <w:rFonts w:hint="eastAsia" w:ascii="宋体" w:hAnsi="宋体"/>
          <w:szCs w:val="21"/>
          <w:highlight w:val="none"/>
        </w:rPr>
        <w:t>投标文件中承诺的项目经理</w:t>
      </w:r>
      <w:r>
        <w:rPr>
          <w:rFonts w:hint="eastAsia" w:ascii="宋体" w:hAnsi="宋体" w:cs="宋体"/>
          <w:szCs w:val="21"/>
          <w:highlight w:val="none"/>
        </w:rPr>
        <w:t>：</w:t>
      </w:r>
    </w:p>
    <w:p w14:paraId="57689F1A">
      <w:pPr>
        <w:pageBreakBefore w:val="0"/>
        <w:kinsoku/>
        <w:overflowPunct/>
        <w:topLinePunct w:val="0"/>
        <w:bidi w:val="0"/>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olor w:val="auto"/>
          <w:u w:val="single"/>
          <w:lang w:val="en-US" w:eastAsia="zh-CN"/>
        </w:rPr>
        <w:t xml:space="preserve">  </w:t>
      </w:r>
      <w:r>
        <w:rPr>
          <w:rFonts w:ascii="宋体" w:hAnsi="宋体" w:eastAsia="宋体"/>
          <w:color w:val="auto"/>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D9A8F09">
      <w:pPr>
        <w:pageBreakBefore w:val="0"/>
        <w:kinsoku/>
        <w:overflowPunct/>
        <w:topLinePunct w:val="0"/>
        <w:bidi w:val="0"/>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3ABF933F">
      <w:pPr>
        <w:pStyle w:val="6"/>
        <w:keepNext w:val="0"/>
        <w:keepLines w:val="0"/>
        <w:widowControl/>
        <w:suppressLineNumbers w:val="0"/>
        <w:ind w:firstLine="720" w:firstLineChars="300"/>
        <w:rPr>
          <w:rFonts w:ascii="宋体" w:hAnsi="宋体" w:cs="宋体"/>
          <w:szCs w:val="21"/>
          <w:highlight w:val="none"/>
        </w:rPr>
      </w:pPr>
      <w:r>
        <w:rPr>
          <w:rFonts w:hint="eastAsia" w:ascii="宋体" w:hAnsi="宋体" w:cs="宋体"/>
          <w:szCs w:val="21"/>
          <w:highlight w:val="none"/>
        </w:rPr>
        <w:t>建造师注册证书：</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kern w:val="2"/>
          <w:sz w:val="21"/>
          <w:szCs w:val="21"/>
          <w:highlight w:val="none"/>
          <w:u w:val="single"/>
          <w:lang w:val="en-US" w:eastAsia="zh-CN" w:bidi="ar-SA"/>
        </w:rPr>
        <w:t xml:space="preserve"> </w:t>
      </w:r>
      <w:r>
        <w:rPr>
          <w:rFonts w:hint="eastAsia" w:cs="宋体"/>
          <w:kern w:val="2"/>
          <w:sz w:val="21"/>
          <w:szCs w:val="21"/>
          <w:highlight w:val="none"/>
          <w:u w:val="single"/>
          <w:lang w:val="en-US" w:eastAsia="zh-CN" w:bidi="ar-SA"/>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0A56216F">
      <w:pPr>
        <w:pageBreakBefore w:val="0"/>
        <w:kinsoku/>
        <w:overflowPunct/>
        <w:topLinePunct w:val="0"/>
        <w:bidi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2、承包人</w:t>
      </w:r>
      <w:r>
        <w:rPr>
          <w:rFonts w:hint="eastAsia" w:ascii="宋体" w:hAnsi="宋体"/>
          <w:szCs w:val="21"/>
          <w:highlight w:val="none"/>
        </w:rPr>
        <w:t>投标文件中承诺的技术负责人</w:t>
      </w:r>
      <w:r>
        <w:rPr>
          <w:rFonts w:hint="eastAsia" w:ascii="宋体" w:hAnsi="宋体" w:cs="宋体"/>
          <w:szCs w:val="21"/>
          <w:highlight w:val="none"/>
        </w:rPr>
        <w:t>：</w:t>
      </w:r>
    </w:p>
    <w:p w14:paraId="42E5DE3A">
      <w:pPr>
        <w:pageBreakBefore w:val="0"/>
        <w:kinsoku/>
        <w:overflowPunct/>
        <w:topLinePunct w:val="0"/>
        <w:bidi w:val="0"/>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kern w:val="0"/>
          <w:szCs w:val="21"/>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4C01E737">
      <w:pPr>
        <w:pStyle w:val="2"/>
        <w:pageBreakBefore w:val="0"/>
        <w:kinsoku/>
        <w:overflowPunct/>
        <w:topLinePunct w:val="0"/>
        <w:bidi w:val="0"/>
        <w:spacing w:line="360" w:lineRule="auto"/>
        <w:ind w:firstLine="840" w:firstLineChars="400"/>
        <w:rPr>
          <w:rFonts w:ascii="宋体" w:hAnsi="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lang w:eastAsia="zh-CN"/>
        </w:rPr>
        <w:t>，</w:t>
      </w:r>
      <w:r>
        <w:rPr>
          <w:rFonts w:hint="eastAsia" w:ascii="宋体" w:hAnsi="宋体"/>
          <w:szCs w:val="21"/>
          <w:highlight w:val="none"/>
        </w:rPr>
        <w:t xml:space="preserve"> </w:t>
      </w:r>
    </w:p>
    <w:p w14:paraId="1CC51D3E">
      <w:pPr>
        <w:pageBreakBefore w:val="0"/>
        <w:kinsoku/>
        <w:overflowPunct/>
        <w:topLinePunct w:val="0"/>
        <w:bidi w:val="0"/>
        <w:snapToGrid w:val="0"/>
        <w:spacing w:line="360" w:lineRule="auto"/>
        <w:ind w:firstLine="840" w:firstLineChars="400"/>
        <w:rPr>
          <w:rFonts w:hint="eastAsia" w:ascii="宋体" w:hAnsi="宋体" w:eastAsia="宋体" w:cs="宋体"/>
          <w:szCs w:val="21"/>
          <w:highlight w:val="none"/>
          <w:lang w:eastAsia="zh-CN"/>
        </w:rPr>
      </w:pPr>
      <w:r>
        <w:rPr>
          <w:rFonts w:hint="eastAsia" w:ascii="宋体" w:hAnsi="宋体"/>
          <w:szCs w:val="21"/>
          <w:highlight w:val="none"/>
        </w:rPr>
        <w:t>证书名称</w:t>
      </w:r>
      <w:r>
        <w:rPr>
          <w:rFonts w:ascii="宋体" w:hAnsi="宋体"/>
          <w:szCs w:val="21"/>
          <w:highlight w:val="none"/>
        </w:rPr>
        <w:t>及号码：</w:t>
      </w:r>
      <w:r>
        <w:rPr>
          <w:rFonts w:ascii="宋体" w:hAnsi="宋体"/>
          <w:szCs w:val="21"/>
          <w:highlight w:val="none"/>
          <w:u w:val="single"/>
        </w:rPr>
        <w:t xml:space="preserve"> </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u w:val="single"/>
          <w:lang w:val="en-US" w:eastAsia="zh-CN" w:bidi="ar-SA"/>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none"/>
          <w:lang w:eastAsia="zh-CN"/>
        </w:rPr>
        <w:t>。</w:t>
      </w:r>
    </w:p>
    <w:p w14:paraId="4869CBB7">
      <w:pPr>
        <w:keepNext/>
        <w:keepLines/>
        <w:pageBreakBefore w:val="0"/>
        <w:kinsoku/>
        <w:overflowPunct/>
        <w:topLinePunct w:val="0"/>
        <w:bidi w:val="0"/>
        <w:snapToGrid w:val="0"/>
        <w:spacing w:line="360" w:lineRule="auto"/>
        <w:ind w:firstLine="422" w:firstLineChars="200"/>
        <w:outlineLvl w:val="3"/>
        <w:rPr>
          <w:rFonts w:ascii="宋体" w:hAnsi="宋体" w:cs="宋体"/>
          <w:b/>
          <w:szCs w:val="21"/>
          <w:highlight w:val="none"/>
        </w:rPr>
      </w:pPr>
      <w:r>
        <w:rPr>
          <w:rFonts w:hint="eastAsia" w:ascii="宋体" w:hAnsi="宋体" w:cs="宋体"/>
          <w:b/>
          <w:bCs/>
          <w:szCs w:val="21"/>
          <w:highlight w:val="none"/>
          <w:lang w:val="zh-CN"/>
        </w:rPr>
        <w:t>六、合同文件构成</w:t>
      </w:r>
      <w:bookmarkEnd w:id="5"/>
    </w:p>
    <w:p w14:paraId="52655E99">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合同由以下文件构成：</w:t>
      </w:r>
    </w:p>
    <w:p w14:paraId="3CD7C320">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（1）合同协议书；</w:t>
      </w:r>
    </w:p>
    <w:p w14:paraId="5E9F2137">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（2）中标通知书；</w:t>
      </w:r>
    </w:p>
    <w:p w14:paraId="0BDC0238">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（3）投标函及投标函附录；</w:t>
      </w:r>
    </w:p>
    <w:p w14:paraId="3BD70F87">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（4）专用合同条款及其附件；</w:t>
      </w:r>
    </w:p>
    <w:p w14:paraId="45A0378C">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（5）通用合同条款；</w:t>
      </w:r>
    </w:p>
    <w:p w14:paraId="092F5EDF">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w:t>
      </w:r>
      <w:r>
        <w:rPr>
          <w:rFonts w:hint="eastAsia" w:ascii="宋体" w:hAnsi="宋体"/>
          <w:szCs w:val="21"/>
          <w:highlight w:val="none"/>
        </w:rPr>
        <w:t>（投标函及投标函附录除外）</w:t>
      </w:r>
      <w:r>
        <w:rPr>
          <w:rFonts w:hint="eastAsia" w:ascii="宋体" w:hAnsi="宋体" w:cs="宋体"/>
          <w:szCs w:val="21"/>
          <w:highlight w:val="none"/>
        </w:rPr>
        <w:t>；</w:t>
      </w:r>
    </w:p>
    <w:p w14:paraId="594F5E47">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（7）招标文件及修改文件；</w:t>
      </w:r>
    </w:p>
    <w:p w14:paraId="6BA067F5">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（8）技术标准和要求；</w:t>
      </w:r>
    </w:p>
    <w:p w14:paraId="62BB75C8">
      <w:pPr>
        <w:pageBreakBefore w:val="0"/>
        <w:kinsoku/>
        <w:overflowPunct/>
        <w:topLinePunct w:val="0"/>
        <w:bidi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（9）图纸；</w:t>
      </w:r>
    </w:p>
    <w:p w14:paraId="6DC48488">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（10）其他合同文件。</w:t>
      </w:r>
    </w:p>
    <w:p w14:paraId="075A7837">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在合同订立、履行过程中形成的与合同有关的书面形式的文件均构成合同文件组成部分。</w:t>
      </w:r>
    </w:p>
    <w:p w14:paraId="2A1CB23A">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上述各项合同文件包括合同当事人就该项合同文件所作出的补充和修改，属于同一类内容的文件，应以最新签署的为准。专用合同条款及其附件须经合同当事人签名或盖章。</w:t>
      </w:r>
    </w:p>
    <w:p w14:paraId="235B9A4D">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6" w:name="_Toc33183540"/>
      <w:r>
        <w:rPr>
          <w:rFonts w:hint="eastAsia" w:ascii="宋体" w:hAnsi="宋体" w:cs="宋体"/>
          <w:b/>
          <w:bCs/>
          <w:szCs w:val="21"/>
          <w:highlight w:val="none"/>
          <w:lang w:val="zh-CN"/>
        </w:rPr>
        <w:t>七、承诺</w:t>
      </w:r>
      <w:bookmarkEnd w:id="6"/>
    </w:p>
    <w:p w14:paraId="32EB6E77">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1.发包人承诺按照法律规定履行项目审批手续、筹集工程建设资金并按照合同约定的期限和方式支付合同价款。</w:t>
      </w:r>
    </w:p>
    <w:p w14:paraId="6AFE150C">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w:t>
      </w:r>
      <w:r>
        <w:rPr>
          <w:rFonts w:hint="eastAsia" w:ascii="宋体" w:hAnsi="宋体" w:cs="宋体"/>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cs="宋体"/>
          <w:bCs/>
          <w:szCs w:val="21"/>
          <w:highlight w:val="none"/>
        </w:rPr>
        <w:t>。</w:t>
      </w:r>
    </w:p>
    <w:p w14:paraId="1E0B907F">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3.发包人和承包人通过招投标形式签订合同的，双方理解并承诺不再就同一工程另行签订与合同实质性内容相背离的协议。</w:t>
      </w:r>
    </w:p>
    <w:p w14:paraId="2845B78C">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7" w:name="_Toc33183541"/>
      <w:r>
        <w:rPr>
          <w:rFonts w:hint="eastAsia" w:ascii="宋体" w:hAnsi="宋体" w:cs="宋体"/>
          <w:b/>
          <w:bCs/>
          <w:szCs w:val="21"/>
          <w:highlight w:val="none"/>
          <w:lang w:val="zh-CN"/>
        </w:rPr>
        <w:t>八、词语含义</w:t>
      </w:r>
      <w:bookmarkEnd w:id="7"/>
    </w:p>
    <w:p w14:paraId="4EA8C43A">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本协议书中词语含义与专用合同条款及通用合同条款中</w:t>
      </w:r>
      <w:r>
        <w:rPr>
          <w:rFonts w:hint="eastAsia" w:ascii="宋体" w:hAnsi="宋体" w:cs="宋体"/>
          <w:bCs/>
          <w:szCs w:val="21"/>
          <w:highlight w:val="none"/>
          <w:lang w:val="en-US" w:eastAsia="zh-CN"/>
        </w:rPr>
        <w:t>6</w:t>
      </w:r>
      <w:r>
        <w:rPr>
          <w:rFonts w:hint="eastAsia" w:ascii="宋体" w:hAnsi="宋体" w:cs="宋体"/>
          <w:bCs/>
          <w:szCs w:val="21"/>
          <w:highlight w:val="none"/>
        </w:rPr>
        <w:t>赋予的含义相同。</w:t>
      </w:r>
    </w:p>
    <w:p w14:paraId="1BE06A75">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8" w:name="_Toc33183542"/>
      <w:r>
        <w:rPr>
          <w:rFonts w:hint="eastAsia" w:ascii="宋体" w:hAnsi="宋体" w:cs="宋体"/>
          <w:b/>
          <w:bCs/>
          <w:szCs w:val="21"/>
          <w:highlight w:val="none"/>
          <w:lang w:val="zh-CN"/>
        </w:rPr>
        <w:t>九、签订时间</w:t>
      </w:r>
      <w:bookmarkEnd w:id="8"/>
    </w:p>
    <w:p w14:paraId="1EF66B89">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合同于</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日签订</w:t>
      </w:r>
    </w:p>
    <w:p w14:paraId="33A18C4D">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9" w:name="_Toc33183543"/>
      <w:r>
        <w:rPr>
          <w:rFonts w:hint="eastAsia" w:ascii="宋体" w:hAnsi="宋体" w:cs="宋体"/>
          <w:b/>
          <w:bCs/>
          <w:szCs w:val="21"/>
          <w:highlight w:val="none"/>
          <w:lang w:val="zh-CN"/>
        </w:rPr>
        <w:t>十、签订地点</w:t>
      </w:r>
      <w:bookmarkEnd w:id="9"/>
    </w:p>
    <w:p w14:paraId="1F4CBD35">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合同在</w:t>
      </w:r>
      <w:r>
        <w:rPr>
          <w:rFonts w:hint="eastAsia" w:ascii="宋体" w:hAnsi="宋体" w:cs="宋体"/>
          <w:bCs/>
          <w:szCs w:val="21"/>
          <w:highlight w:val="none"/>
          <w:u w:val="single"/>
        </w:rPr>
        <w:t xml:space="preserve"> </w:t>
      </w:r>
      <w:r>
        <w:rPr>
          <w:rFonts w:hint="eastAsia" w:ascii="宋体" w:hAnsi="宋体" w:eastAsia="宋体" w:cs="宋体"/>
          <w:bCs/>
          <w:szCs w:val="21"/>
          <w:u w:val="single"/>
        </w:rPr>
        <w:t xml:space="preserve"> </w:t>
      </w:r>
      <w:r>
        <w:rPr>
          <w:rFonts w:hint="eastAsia" w:ascii="宋体" w:hAnsi="宋体" w:eastAsia="宋体" w:cs="宋体"/>
          <w:snapToGrid w:val="0"/>
          <w:kern w:val="0"/>
          <w:szCs w:val="21"/>
          <w:u w:val="single"/>
          <w:lang w:val="en-US" w:eastAsia="zh-CN"/>
        </w:rPr>
        <w:t xml:space="preserve">重庆市南川区金安大厦B栋13楼 </w:t>
      </w:r>
      <w:r>
        <w:rPr>
          <w:rFonts w:hint="eastAsia" w:ascii="宋体" w:hAnsi="宋体" w:eastAsia="宋体" w:cs="宋体"/>
          <w:snapToGrid w:val="0"/>
          <w:kern w:val="0"/>
          <w:szCs w:val="21"/>
          <w:u w:val="single"/>
        </w:rPr>
        <w:t xml:space="preserve"> </w:t>
      </w:r>
      <w:r>
        <w:rPr>
          <w:rFonts w:hint="eastAsia" w:ascii="宋体" w:hAnsi="宋体" w:cs="宋体"/>
          <w:bCs/>
          <w:szCs w:val="21"/>
          <w:highlight w:val="none"/>
        </w:rPr>
        <w:t>签订。</w:t>
      </w:r>
    </w:p>
    <w:p w14:paraId="6050BDB4">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10" w:name="_Toc33183544"/>
      <w:r>
        <w:rPr>
          <w:rFonts w:hint="eastAsia" w:ascii="宋体" w:hAnsi="宋体" w:cs="宋体"/>
          <w:b/>
          <w:bCs/>
          <w:szCs w:val="21"/>
          <w:highlight w:val="none"/>
          <w:lang w:val="zh-CN"/>
        </w:rPr>
        <w:t>十一、补充协议</w:t>
      </w:r>
      <w:bookmarkEnd w:id="10"/>
    </w:p>
    <w:p w14:paraId="514AD940">
      <w:pPr>
        <w:pageBreakBefore w:val="0"/>
        <w:kinsoku/>
        <w:overflowPunct/>
        <w:topLinePunct w:val="0"/>
        <w:bidi w:val="0"/>
        <w:snapToGrid w:val="0"/>
        <w:spacing w:line="360" w:lineRule="auto"/>
        <w:ind w:firstLine="420" w:firstLineChars="200"/>
        <w:rPr>
          <w:rFonts w:ascii="宋体" w:hAnsi="宋体" w:cs="宋体"/>
          <w:b/>
          <w:bCs/>
          <w:szCs w:val="21"/>
          <w:highlight w:val="none"/>
        </w:rPr>
      </w:pPr>
      <w:r>
        <w:rPr>
          <w:rFonts w:hint="eastAsia" w:ascii="宋体" w:hAnsi="宋体" w:cs="宋体"/>
          <w:bCs/>
          <w:szCs w:val="21"/>
          <w:highlight w:val="none"/>
        </w:rPr>
        <w:t>合同未尽事宜，合同当事人另行签订补充协议，补充协议是合同的组成部分。</w:t>
      </w:r>
    </w:p>
    <w:p w14:paraId="3A2A10B5">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11" w:name="_Toc33183545"/>
      <w:r>
        <w:rPr>
          <w:rFonts w:hint="eastAsia" w:ascii="宋体" w:hAnsi="宋体" w:cs="宋体"/>
          <w:b/>
          <w:bCs/>
          <w:szCs w:val="21"/>
          <w:highlight w:val="none"/>
          <w:lang w:val="zh-CN"/>
        </w:rPr>
        <w:t>十二、合同生效</w:t>
      </w:r>
      <w:bookmarkEnd w:id="11"/>
    </w:p>
    <w:p w14:paraId="4DEE1700">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合同在以下条件全部满足之后生效：</w:t>
      </w:r>
    </w:p>
    <w:p w14:paraId="4EF3CBE1">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1.合同</w:t>
      </w:r>
      <w:r>
        <w:rPr>
          <w:rFonts w:hint="eastAsia" w:ascii="宋体" w:hAnsi="宋体" w:cs="宋体"/>
          <w:szCs w:val="21"/>
          <w:highlight w:val="none"/>
        </w:rPr>
        <w:t>经双方法定代表人或其委托代理人签名并加盖</w:t>
      </w:r>
      <w:r>
        <w:rPr>
          <w:rFonts w:hint="eastAsia" w:ascii="宋体" w:hAnsi="宋体" w:cs="宋体"/>
          <w:snapToGrid w:val="0"/>
          <w:kern w:val="0"/>
          <w:szCs w:val="21"/>
          <w:highlight w:val="none"/>
        </w:rPr>
        <w:t>公章或合同专用章</w:t>
      </w:r>
      <w:r>
        <w:rPr>
          <w:rFonts w:hint="eastAsia" w:ascii="宋体" w:hAnsi="宋体" w:cs="宋体"/>
          <w:szCs w:val="21"/>
          <w:highlight w:val="none"/>
        </w:rPr>
        <w:t>；</w:t>
      </w:r>
    </w:p>
    <w:p w14:paraId="37B3957E">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2.采用保函形式递交履约担保的，承包人按合同约定向发包人提交履约担保后。</w:t>
      </w:r>
    </w:p>
    <w:p w14:paraId="797C92C8">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w:t>
      </w:r>
      <w:r>
        <w:rPr>
          <w:rFonts w:hint="eastAsia" w:ascii="宋体" w:hAnsi="宋体" w:cs="宋体"/>
          <w:bCs/>
          <w:szCs w:val="21"/>
          <w:highlight w:val="none"/>
          <w:u w:val="single"/>
        </w:rPr>
        <w:t xml:space="preserve">             </w:t>
      </w:r>
      <w:r>
        <w:rPr>
          <w:rFonts w:hint="eastAsia" w:ascii="宋体" w:hAnsi="宋体" w:cs="宋体"/>
          <w:bCs/>
          <w:szCs w:val="21"/>
          <w:highlight w:val="none"/>
        </w:rPr>
        <w:t>。</w:t>
      </w:r>
    </w:p>
    <w:p w14:paraId="018FB4EA">
      <w:pPr>
        <w:keepNext/>
        <w:keepLines/>
        <w:pageBreakBefore w:val="0"/>
        <w:kinsoku/>
        <w:overflowPunct/>
        <w:topLinePunct w:val="0"/>
        <w:bidi w:val="0"/>
        <w:snapToGrid w:val="0"/>
        <w:spacing w:line="360" w:lineRule="auto"/>
        <w:ind w:firstLine="422" w:firstLineChars="200"/>
        <w:outlineLvl w:val="3"/>
        <w:rPr>
          <w:rFonts w:ascii="宋体" w:hAnsi="宋体" w:cs="宋体"/>
          <w:b/>
          <w:bCs/>
          <w:szCs w:val="21"/>
          <w:highlight w:val="none"/>
          <w:lang w:val="zh-CN"/>
        </w:rPr>
      </w:pPr>
      <w:bookmarkStart w:id="12" w:name="_Toc33183546"/>
      <w:r>
        <w:rPr>
          <w:rFonts w:hint="eastAsia" w:ascii="宋体" w:hAnsi="宋体" w:cs="宋体"/>
          <w:b/>
          <w:bCs/>
          <w:szCs w:val="21"/>
          <w:highlight w:val="none"/>
          <w:lang w:val="zh-CN"/>
        </w:rPr>
        <w:t>十三、合同份数</w:t>
      </w:r>
      <w:bookmarkEnd w:id="12"/>
    </w:p>
    <w:p w14:paraId="309C18E6">
      <w:pPr>
        <w:keepNext w:val="0"/>
        <w:keepLines w:val="0"/>
        <w:pageBreakBefore w:val="0"/>
        <w:widowControl w:val="0"/>
        <w:kinsoku/>
        <w:wordWrap/>
        <w:overflowPunct/>
        <w:topLinePunct w:val="0"/>
        <w:autoSpaceDE/>
        <w:autoSpaceDN/>
        <w:bidi w:val="0"/>
        <w:adjustRightInd/>
        <w:snapToGrid/>
        <w:spacing w:before="36" w:line="360" w:lineRule="auto"/>
        <w:ind w:left="0" w:leftChars="0" w:firstLine="630" w:firstLineChars="300"/>
        <w:textAlignment w:val="auto"/>
        <w:rPr>
          <w:rFonts w:hint="eastAsia" w:ascii="宋体" w:hAnsi="宋体" w:cs="宋体"/>
          <w:bCs/>
          <w:szCs w:val="21"/>
          <w:highlight w:val="none"/>
        </w:rPr>
      </w:pPr>
      <w:r>
        <w:rPr>
          <w:rFonts w:hint="eastAsia" w:ascii="宋体" w:hAnsi="宋体" w:eastAsia="宋体" w:cs="宋体"/>
          <w:bCs/>
          <w:color w:val="auto"/>
          <w:sz w:val="21"/>
          <w:szCs w:val="21"/>
          <w:highlight w:val="none"/>
        </w:rPr>
        <w:t>合同一式</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r>
        <w:rPr>
          <w:rFonts w:hint="eastAsia" w:ascii="宋体" w:hAnsi="宋体" w:eastAsia="宋体" w:cs="宋体"/>
          <w:snapToGrid w:val="0"/>
          <w:color w:val="000000"/>
          <w:spacing w:val="-10"/>
          <w:kern w:val="0"/>
          <w:sz w:val="21"/>
          <w:szCs w:val="21"/>
          <w:highlight w:val="none"/>
        </w:rPr>
        <w:t>其中正本</w:t>
      </w:r>
      <w:r>
        <w:rPr>
          <w:rFonts w:hint="eastAsia" w:ascii="宋体" w:hAnsi="宋体" w:eastAsia="宋体" w:cs="宋体"/>
          <w:snapToGrid w:val="0"/>
          <w:color w:val="000000"/>
          <w:spacing w:val="-10"/>
          <w:kern w:val="0"/>
          <w:sz w:val="21"/>
          <w:szCs w:val="21"/>
          <w:highlight w:val="none"/>
          <w:u w:val="single"/>
        </w:rPr>
        <w:t xml:space="preserve"> </w:t>
      </w:r>
      <w:r>
        <w:rPr>
          <w:rFonts w:hint="eastAsia" w:ascii="宋体" w:hAnsi="宋体" w:cs="宋体"/>
          <w:snapToGrid w:val="0"/>
          <w:color w:val="000000"/>
          <w:spacing w:val="-10"/>
          <w:kern w:val="0"/>
          <w:sz w:val="21"/>
          <w:szCs w:val="21"/>
          <w:highlight w:val="none"/>
          <w:u w:val="single"/>
          <w:lang w:val="en-US" w:eastAsia="zh-CN"/>
        </w:rPr>
        <w:t>两</w:t>
      </w:r>
      <w:r>
        <w:rPr>
          <w:rFonts w:hint="eastAsia" w:ascii="宋体" w:hAnsi="宋体" w:eastAsia="宋体" w:cs="宋体"/>
          <w:snapToGrid w:val="0"/>
          <w:color w:val="000000"/>
          <w:spacing w:val="-10"/>
          <w:kern w:val="0"/>
          <w:sz w:val="21"/>
          <w:szCs w:val="21"/>
          <w:highlight w:val="none"/>
          <w:u w:val="single"/>
        </w:rPr>
        <w:t xml:space="preserve"> </w:t>
      </w:r>
      <w:r>
        <w:rPr>
          <w:rFonts w:hint="eastAsia" w:ascii="宋体" w:hAnsi="宋体" w:eastAsia="宋体" w:cs="宋体"/>
          <w:snapToGrid w:val="0"/>
          <w:color w:val="000000"/>
          <w:spacing w:val="-10"/>
          <w:kern w:val="0"/>
          <w:sz w:val="21"/>
          <w:szCs w:val="21"/>
          <w:highlight w:val="none"/>
        </w:rPr>
        <w:t xml:space="preserve"> 份， 双方各持</w:t>
      </w:r>
      <w:r>
        <w:rPr>
          <w:rFonts w:hint="eastAsia" w:ascii="宋体" w:hAnsi="宋体" w:eastAsia="宋体" w:cs="宋体"/>
          <w:snapToGrid w:val="0"/>
          <w:color w:val="000000"/>
          <w:spacing w:val="-10"/>
          <w:kern w:val="0"/>
          <w:sz w:val="21"/>
          <w:szCs w:val="21"/>
          <w:highlight w:val="none"/>
          <w:u w:val="single"/>
        </w:rPr>
        <w:t xml:space="preserve"> </w:t>
      </w:r>
      <w:r>
        <w:rPr>
          <w:rFonts w:hint="eastAsia" w:ascii="宋体" w:hAnsi="宋体" w:cs="宋体"/>
          <w:snapToGrid w:val="0"/>
          <w:color w:val="000000"/>
          <w:spacing w:val="-10"/>
          <w:kern w:val="0"/>
          <w:sz w:val="21"/>
          <w:szCs w:val="21"/>
          <w:highlight w:val="none"/>
          <w:u w:val="single"/>
          <w:lang w:val="en-US" w:eastAsia="zh-CN"/>
        </w:rPr>
        <w:t xml:space="preserve">壹 </w:t>
      </w:r>
      <w:r>
        <w:rPr>
          <w:rFonts w:hint="eastAsia" w:ascii="宋体" w:hAnsi="宋体" w:eastAsia="宋体" w:cs="宋体"/>
          <w:snapToGrid w:val="0"/>
          <w:color w:val="000000"/>
          <w:spacing w:val="-10"/>
          <w:kern w:val="0"/>
          <w:sz w:val="21"/>
          <w:szCs w:val="21"/>
          <w:highlight w:val="none"/>
        </w:rPr>
        <w:t>份， 副本</w:t>
      </w:r>
      <w:r>
        <w:rPr>
          <w:rFonts w:hint="eastAsia" w:ascii="宋体" w:hAnsi="宋体" w:eastAsia="宋体" w:cs="宋体"/>
          <w:snapToGrid w:val="0"/>
          <w:color w:val="000000"/>
          <w:spacing w:val="-10"/>
          <w:kern w:val="0"/>
          <w:sz w:val="21"/>
          <w:szCs w:val="21"/>
          <w:highlight w:val="none"/>
          <w:u w:val="single"/>
        </w:rPr>
        <w:t xml:space="preserve"> </w:t>
      </w:r>
      <w:r>
        <w:rPr>
          <w:rFonts w:hint="eastAsia" w:ascii="宋体" w:hAnsi="宋体" w:cs="宋体"/>
          <w:snapToGrid w:val="0"/>
          <w:color w:val="000000"/>
          <w:spacing w:val="-10"/>
          <w:kern w:val="0"/>
          <w:sz w:val="21"/>
          <w:szCs w:val="21"/>
          <w:highlight w:val="none"/>
          <w:u w:val="single"/>
          <w:lang w:val="en-US" w:eastAsia="zh-CN"/>
        </w:rPr>
        <w:t xml:space="preserve">陆 </w:t>
      </w:r>
      <w:r>
        <w:rPr>
          <w:rFonts w:hint="eastAsia" w:ascii="宋体" w:hAnsi="宋体" w:eastAsia="宋体" w:cs="宋体"/>
          <w:snapToGrid w:val="0"/>
          <w:color w:val="000000"/>
          <w:spacing w:val="-10"/>
          <w:kern w:val="0"/>
          <w:sz w:val="21"/>
          <w:szCs w:val="21"/>
          <w:highlight w:val="none"/>
        </w:rPr>
        <w:t>份， 双方各执</w:t>
      </w:r>
      <w:r>
        <w:rPr>
          <w:rFonts w:hint="eastAsia" w:ascii="宋体" w:hAnsi="宋体" w:eastAsia="宋体" w:cs="宋体"/>
          <w:snapToGrid w:val="0"/>
          <w:color w:val="000000"/>
          <w:spacing w:val="-10"/>
          <w:kern w:val="0"/>
          <w:sz w:val="21"/>
          <w:szCs w:val="21"/>
          <w:highlight w:val="none"/>
          <w:u w:val="single"/>
        </w:rPr>
        <w:t xml:space="preserve"> </w:t>
      </w:r>
      <w:r>
        <w:rPr>
          <w:rFonts w:hint="eastAsia" w:ascii="宋体" w:hAnsi="宋体" w:cs="宋体"/>
          <w:snapToGrid w:val="0"/>
          <w:color w:val="000000"/>
          <w:spacing w:val="-10"/>
          <w:kern w:val="0"/>
          <w:sz w:val="21"/>
          <w:szCs w:val="21"/>
          <w:highlight w:val="none"/>
          <w:u w:val="single"/>
          <w:lang w:val="en-US" w:eastAsia="zh-CN"/>
        </w:rPr>
        <w:t xml:space="preserve">叁 </w:t>
      </w:r>
      <w:r>
        <w:rPr>
          <w:rFonts w:hint="eastAsia" w:ascii="宋体" w:hAnsi="宋体" w:eastAsia="宋体" w:cs="宋体"/>
          <w:snapToGrid w:val="0"/>
          <w:color w:val="000000"/>
          <w:spacing w:val="-10"/>
          <w:kern w:val="0"/>
          <w:sz w:val="21"/>
          <w:szCs w:val="21"/>
          <w:highlight w:val="none"/>
        </w:rPr>
        <w:t>份。副本与正本不一致时，以正本为准。</w:t>
      </w:r>
    </w:p>
    <w:p w14:paraId="0D5A82F8">
      <w:pPr>
        <w:pageBreakBefore w:val="0"/>
        <w:widowControl w:val="0"/>
        <w:kinsoku/>
        <w:wordWrap/>
        <w:overflowPunct/>
        <w:topLinePunct w:val="0"/>
        <w:autoSpaceDE/>
        <w:autoSpaceDN/>
        <w:bidi w:val="0"/>
        <w:adjustRightInd w:val="0"/>
        <w:spacing w:line="360" w:lineRule="auto"/>
        <w:textAlignment w:val="auto"/>
        <w:rPr>
          <w:rFonts w:hint="eastAsia" w:ascii="宋体" w:hAnsi="宋体" w:cs="宋体"/>
          <w:bCs/>
          <w:szCs w:val="21"/>
          <w:highlight w:val="none"/>
        </w:rPr>
      </w:pPr>
      <w:r>
        <w:rPr>
          <w:rFonts w:hint="eastAsia" w:ascii="宋体" w:hAnsi="宋体" w:cs="宋体"/>
          <w:bCs/>
          <w:szCs w:val="21"/>
          <w:highlight w:val="none"/>
        </w:rPr>
        <w:t>（以下为签名盖章页）</w:t>
      </w:r>
    </w:p>
    <w:p w14:paraId="4D16B08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bCs/>
          <w:szCs w:val="21"/>
          <w:highlight w:val="none"/>
        </w:rPr>
      </w:pPr>
    </w:p>
    <w:p w14:paraId="32AC2F2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5ACC4B4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4BEB4C2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4950F57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21730D2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21EACFE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75FFA2E7">
      <w:pPr>
        <w:pStyle w:val="2"/>
        <w:rPr>
          <w:rFonts w:hint="eastAsia" w:ascii="宋体" w:hAnsi="宋体" w:eastAsia="宋体" w:cs="宋体"/>
          <w:snapToGrid w:val="0"/>
          <w:color w:val="auto"/>
          <w:kern w:val="0"/>
          <w:sz w:val="21"/>
          <w:szCs w:val="21"/>
          <w:highlight w:val="none"/>
        </w:rPr>
      </w:pPr>
    </w:p>
    <w:p w14:paraId="36412E29">
      <w:pPr>
        <w:rPr>
          <w:rFonts w:hint="eastAsia" w:ascii="宋体" w:hAnsi="宋体" w:eastAsia="宋体" w:cs="宋体"/>
          <w:snapToGrid w:val="0"/>
          <w:color w:val="auto"/>
          <w:kern w:val="0"/>
          <w:sz w:val="21"/>
          <w:szCs w:val="21"/>
          <w:highlight w:val="none"/>
        </w:rPr>
      </w:pPr>
    </w:p>
    <w:p w14:paraId="04207EE3">
      <w:pPr>
        <w:pStyle w:val="2"/>
        <w:rPr>
          <w:rFonts w:hint="eastAsia" w:ascii="宋体" w:hAnsi="宋体" w:eastAsia="宋体" w:cs="宋体"/>
          <w:snapToGrid w:val="0"/>
          <w:color w:val="auto"/>
          <w:kern w:val="0"/>
          <w:sz w:val="21"/>
          <w:szCs w:val="21"/>
          <w:highlight w:val="none"/>
        </w:rPr>
      </w:pPr>
    </w:p>
    <w:p w14:paraId="015F3883">
      <w:pPr>
        <w:rPr>
          <w:rFonts w:hint="eastAsia" w:ascii="宋体" w:hAnsi="宋体" w:eastAsia="宋体" w:cs="宋体"/>
          <w:snapToGrid w:val="0"/>
          <w:color w:val="auto"/>
          <w:kern w:val="0"/>
          <w:sz w:val="21"/>
          <w:szCs w:val="21"/>
          <w:highlight w:val="none"/>
        </w:rPr>
      </w:pPr>
    </w:p>
    <w:p w14:paraId="3D663193">
      <w:pPr>
        <w:pStyle w:val="2"/>
        <w:rPr>
          <w:rFonts w:hint="eastAsia" w:ascii="宋体" w:hAnsi="宋体" w:eastAsia="宋体" w:cs="宋体"/>
          <w:snapToGrid w:val="0"/>
          <w:color w:val="auto"/>
          <w:kern w:val="0"/>
          <w:sz w:val="21"/>
          <w:szCs w:val="21"/>
          <w:highlight w:val="none"/>
        </w:rPr>
      </w:pPr>
    </w:p>
    <w:p w14:paraId="03C32EB9">
      <w:pPr>
        <w:rPr>
          <w:rFonts w:hint="eastAsia"/>
        </w:rPr>
      </w:pPr>
    </w:p>
    <w:p w14:paraId="720BEB2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napToGrid w:val="0"/>
          <w:color w:val="auto"/>
          <w:kern w:val="0"/>
          <w:sz w:val="21"/>
          <w:szCs w:val="21"/>
          <w:highlight w:val="none"/>
        </w:rPr>
      </w:pPr>
    </w:p>
    <w:p w14:paraId="3D38D78C">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snapToGrid w:val="0"/>
          <w:color w:val="auto"/>
          <w:kern w:val="0"/>
          <w:sz w:val="21"/>
          <w:szCs w:val="21"/>
          <w:highlight w:val="none"/>
          <w:u w:val="none"/>
        </w:rPr>
      </w:pPr>
      <w:r>
        <w:rPr>
          <w:rFonts w:hint="eastAsia" w:ascii="宋体" w:hAnsi="宋体" w:eastAsia="宋体" w:cs="宋体"/>
          <w:b/>
          <w:bCs/>
          <w:snapToGrid w:val="0"/>
          <w:color w:val="auto"/>
          <w:kern w:val="0"/>
          <w:sz w:val="21"/>
          <w:szCs w:val="21"/>
          <w:highlight w:val="none"/>
        </w:rPr>
        <w:t>发包人：</w:t>
      </w:r>
      <w:r>
        <w:rPr>
          <w:rFonts w:hint="eastAsia" w:ascii="宋体" w:hAnsi="宋体" w:eastAsia="宋体" w:cs="宋体"/>
          <w:b/>
          <w:bCs/>
          <w:snapToGrid w:val="0"/>
          <w:kern w:val="0"/>
          <w:szCs w:val="21"/>
          <w:u w:val="none"/>
          <w:lang w:val="en-US" w:eastAsia="zh-CN"/>
        </w:rPr>
        <w:t>重庆市南川区泽禹供水有限责任公司</w:t>
      </w:r>
      <w:r>
        <w:rPr>
          <w:rFonts w:hint="eastAsia" w:ascii="宋体" w:hAnsi="宋体" w:eastAsia="宋体" w:cs="宋体"/>
          <w:snapToGrid w:val="0"/>
          <w:color w:val="auto"/>
          <w:kern w:val="0"/>
          <w:sz w:val="21"/>
          <w:szCs w:val="21"/>
          <w:highlight w:val="none"/>
          <w:u w:val="none"/>
        </w:rPr>
        <w:t>（公章）</w:t>
      </w:r>
    </w:p>
    <w:p w14:paraId="46838C42">
      <w:pPr>
        <w:pStyle w:val="2"/>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1"/>
          <w:szCs w:val="21"/>
          <w:highlight w:val="none"/>
          <w:u w:val="none"/>
        </w:rPr>
      </w:pPr>
    </w:p>
    <w:p w14:paraId="2844401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u w:val="none"/>
        </w:rPr>
      </w:pPr>
      <w:r>
        <w:rPr>
          <w:rFonts w:hint="eastAsia" w:ascii="宋体" w:hAnsi="宋体" w:eastAsia="宋体" w:cs="宋体"/>
          <w:snapToGrid w:val="0"/>
          <w:color w:val="auto"/>
          <w:kern w:val="0"/>
          <w:sz w:val="21"/>
          <w:szCs w:val="21"/>
          <w:highlight w:val="none"/>
          <w:u w:val="none"/>
        </w:rPr>
        <w:t>法定代表人或其委托代理人 （</w:t>
      </w:r>
      <w:r>
        <w:rPr>
          <w:rFonts w:hint="eastAsia" w:ascii="宋体" w:hAnsi="宋体" w:eastAsia="宋体" w:cs="宋体"/>
          <w:snapToGrid w:val="0"/>
          <w:color w:val="auto"/>
          <w:kern w:val="0"/>
          <w:sz w:val="21"/>
          <w:szCs w:val="21"/>
          <w:highlight w:val="none"/>
          <w:u w:val="none"/>
          <w:lang w:eastAsia="zh-CN"/>
        </w:rPr>
        <w:t>签名</w:t>
      </w:r>
      <w:r>
        <w:rPr>
          <w:rFonts w:hint="eastAsia" w:ascii="宋体" w:hAnsi="宋体" w:eastAsia="宋体" w:cs="宋体"/>
          <w:snapToGrid w:val="0"/>
          <w:color w:val="auto"/>
          <w:kern w:val="0"/>
          <w:sz w:val="21"/>
          <w:szCs w:val="21"/>
          <w:highlight w:val="none"/>
          <w:u w:val="none"/>
        </w:rPr>
        <w:t>）：</w:t>
      </w:r>
      <w:r>
        <w:rPr>
          <w:rFonts w:hint="eastAsia" w:ascii="宋体" w:hAnsi="宋体" w:eastAsia="宋体" w:cs="宋体"/>
          <w:snapToGrid w:val="0"/>
          <w:color w:val="auto"/>
          <w:w w:val="200"/>
          <w:kern w:val="0"/>
          <w:sz w:val="21"/>
          <w:szCs w:val="21"/>
          <w:highlight w:val="none"/>
          <w:u w:val="none"/>
        </w:rPr>
        <w:t xml:space="preserve"> </w:t>
      </w:r>
      <w:r>
        <w:rPr>
          <w:rFonts w:hint="eastAsia" w:ascii="宋体" w:hAnsi="宋体" w:eastAsia="宋体" w:cs="宋体"/>
          <w:snapToGrid w:val="0"/>
          <w:color w:val="auto"/>
          <w:kern w:val="0"/>
          <w:sz w:val="21"/>
          <w:szCs w:val="21"/>
          <w:highlight w:val="none"/>
          <w:u w:val="none"/>
        </w:rPr>
        <w:t xml:space="preserve">      </w:t>
      </w:r>
    </w:p>
    <w:p w14:paraId="15A0C0BD">
      <w:pPr>
        <w:pStyle w:val="2"/>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1"/>
          <w:szCs w:val="21"/>
          <w:highlight w:val="none"/>
          <w:u w:val="none"/>
        </w:rPr>
      </w:pPr>
    </w:p>
    <w:p w14:paraId="455BBD76">
      <w:pPr>
        <w:pStyle w:val="2"/>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lang w:val="en-US" w:eastAsia="zh-CN"/>
        </w:rPr>
        <w:t>经办人：</w:t>
      </w:r>
    </w:p>
    <w:p w14:paraId="3A663B38">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rPr>
        <w:t>统一社会信用代码：</w:t>
      </w:r>
      <w:r>
        <w:rPr>
          <w:rFonts w:hint="eastAsia" w:ascii="宋体" w:hAnsi="宋体" w:eastAsia="宋体" w:cs="宋体"/>
          <w:color w:val="000000"/>
          <w:kern w:val="0"/>
          <w:sz w:val="24"/>
          <w:szCs w:val="24"/>
          <w:u w:val="none"/>
          <w:lang w:val="en-US" w:eastAsia="zh-CN" w:bidi="ar"/>
        </w:rPr>
        <w:t>915001196786608387</w:t>
      </w:r>
      <w:r>
        <w:rPr>
          <w:rFonts w:hint="eastAsia" w:ascii="宋体" w:hAnsi="宋体" w:cs="宋体"/>
          <w:color w:val="auto"/>
          <w:kern w:val="0"/>
          <w:sz w:val="21"/>
          <w:szCs w:val="21"/>
          <w:highlight w:val="none"/>
          <w:u w:val="none"/>
          <w:lang w:val="en-US" w:eastAsia="zh-CN"/>
        </w:rPr>
        <w:t xml:space="preserve"> </w:t>
      </w:r>
    </w:p>
    <w:p w14:paraId="6DF37773">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snapToGrid w:val="0"/>
          <w:color w:val="auto"/>
          <w:kern w:val="0"/>
          <w:sz w:val="21"/>
          <w:szCs w:val="21"/>
          <w:highlight w:val="none"/>
          <w:u w:val="none"/>
        </w:rPr>
        <w:t>税人识别号：</w:t>
      </w:r>
      <w:r>
        <w:rPr>
          <w:rFonts w:hint="eastAsia" w:ascii="宋体" w:hAnsi="宋体" w:eastAsia="宋体" w:cs="宋体"/>
          <w:color w:val="000000"/>
          <w:kern w:val="0"/>
          <w:sz w:val="24"/>
          <w:szCs w:val="24"/>
          <w:u w:val="none"/>
          <w:lang w:val="en-US" w:eastAsia="zh-CN" w:bidi="ar"/>
        </w:rPr>
        <w:t>915001196786608387</w:t>
      </w:r>
    </w:p>
    <w:p w14:paraId="26AF85B3">
      <w:pPr>
        <w:spacing w:line="360" w:lineRule="auto"/>
        <w:ind w:firstLine="420" w:firstLineChars="200"/>
        <w:rPr>
          <w:rFonts w:hint="eastAsia" w:ascii="宋体" w:hAnsi="宋体" w:eastAsia="宋体" w:cs="宋体"/>
          <w:snapToGrid w:val="0"/>
          <w:kern w:val="0"/>
          <w:szCs w:val="21"/>
          <w:u w:val="none"/>
        </w:rPr>
      </w:pPr>
      <w:r>
        <w:rPr>
          <w:rFonts w:hint="eastAsia" w:ascii="宋体" w:hAnsi="宋体" w:eastAsia="宋体" w:cs="宋体"/>
          <w:snapToGrid w:val="0"/>
          <w:kern w:val="0"/>
          <w:szCs w:val="21"/>
          <w:u w:val="none"/>
        </w:rPr>
        <w:t>地    址：</w:t>
      </w:r>
      <w:r>
        <w:rPr>
          <w:rFonts w:hint="eastAsia" w:ascii="宋体" w:hAnsi="宋体" w:eastAsia="宋体" w:cs="宋体"/>
          <w:snapToGrid w:val="0"/>
          <w:kern w:val="0"/>
          <w:szCs w:val="21"/>
          <w:u w:val="none"/>
          <w:lang w:val="en-US" w:eastAsia="zh-CN"/>
        </w:rPr>
        <w:t xml:space="preserve">重庆市南川区金安大厦B栋13楼 </w:t>
      </w:r>
      <w:r>
        <w:rPr>
          <w:rFonts w:hint="eastAsia" w:ascii="宋体" w:hAnsi="宋体" w:eastAsia="宋体" w:cs="宋体"/>
          <w:snapToGrid w:val="0"/>
          <w:kern w:val="0"/>
          <w:szCs w:val="21"/>
          <w:u w:val="none"/>
        </w:rPr>
        <w:t xml:space="preserve">   </w:t>
      </w:r>
    </w:p>
    <w:p w14:paraId="01C6D347">
      <w:pPr>
        <w:spacing w:line="360" w:lineRule="auto"/>
        <w:ind w:firstLine="420" w:firstLineChars="200"/>
        <w:rPr>
          <w:rFonts w:hint="eastAsia" w:ascii="宋体" w:hAnsi="宋体" w:cs="宋体"/>
          <w:snapToGrid w:val="0"/>
          <w:w w:val="200"/>
          <w:kern w:val="0"/>
          <w:szCs w:val="21"/>
          <w:u w:val="none"/>
          <w:lang w:val="en-US" w:eastAsia="zh-CN"/>
        </w:rPr>
      </w:pPr>
      <w:r>
        <w:rPr>
          <w:rFonts w:hint="eastAsia" w:ascii="宋体" w:hAnsi="宋体" w:eastAsia="宋体" w:cs="宋体"/>
          <w:snapToGrid w:val="0"/>
          <w:kern w:val="0"/>
          <w:szCs w:val="21"/>
          <w:u w:val="none"/>
        </w:rPr>
        <w:t>电    话：</w:t>
      </w:r>
      <w:r>
        <w:rPr>
          <w:rFonts w:hint="eastAsia" w:ascii="宋体" w:hAnsi="宋体" w:eastAsia="宋体" w:cs="宋体"/>
          <w:snapToGrid w:val="0"/>
          <w:kern w:val="0"/>
          <w:szCs w:val="21"/>
          <w:u w:val="none"/>
          <w:lang w:val="en-US" w:eastAsia="zh-CN"/>
        </w:rPr>
        <w:t>023-71426269</w:t>
      </w:r>
    </w:p>
    <w:p w14:paraId="2D31F6CE">
      <w:pPr>
        <w:spacing w:line="360" w:lineRule="auto"/>
        <w:ind w:firstLine="420" w:firstLineChars="200"/>
        <w:rPr>
          <w:rFonts w:hint="eastAsia" w:ascii="宋体" w:hAnsi="宋体" w:cs="宋体"/>
          <w:snapToGrid w:val="0"/>
          <w:w w:val="200"/>
          <w:kern w:val="0"/>
          <w:szCs w:val="21"/>
          <w:u w:val="none"/>
          <w:lang w:val="en-US" w:eastAsia="zh-CN"/>
        </w:rPr>
      </w:pPr>
      <w:r>
        <w:rPr>
          <w:rFonts w:hint="eastAsia" w:ascii="宋体" w:hAnsi="宋体" w:eastAsia="宋体" w:cs="宋体"/>
          <w:snapToGrid w:val="0"/>
          <w:kern w:val="0"/>
          <w:szCs w:val="21"/>
          <w:u w:val="none"/>
        </w:rPr>
        <w:t>开户银行：</w:t>
      </w:r>
      <w:r>
        <w:rPr>
          <w:rFonts w:hint="eastAsia" w:ascii="宋体" w:hAnsi="宋体" w:eastAsia="宋体" w:cs="宋体"/>
          <w:snapToGrid w:val="0"/>
          <w:kern w:val="0"/>
          <w:szCs w:val="21"/>
          <w:u w:val="none"/>
          <w:lang w:val="en-US" w:eastAsia="zh-CN"/>
        </w:rPr>
        <w:t>中国邮政储蓄银行重庆市南川支行</w:t>
      </w:r>
    </w:p>
    <w:p w14:paraId="368896C3">
      <w:pPr>
        <w:spacing w:line="360" w:lineRule="auto"/>
        <w:ind w:firstLine="420" w:firstLineChars="200"/>
        <w:rPr>
          <w:rFonts w:hint="eastAsia" w:ascii="宋体" w:hAnsi="宋体" w:eastAsia="宋体" w:cs="宋体"/>
          <w:szCs w:val="21"/>
          <w:u w:val="none"/>
        </w:rPr>
      </w:pPr>
      <w:r>
        <w:rPr>
          <w:rFonts w:hint="eastAsia" w:ascii="宋体" w:hAnsi="宋体" w:eastAsia="宋体" w:cs="宋体"/>
          <w:snapToGrid w:val="0"/>
          <w:kern w:val="0"/>
          <w:szCs w:val="21"/>
          <w:u w:val="none"/>
        </w:rPr>
        <w:t>账    号：</w:t>
      </w:r>
      <w:r>
        <w:rPr>
          <w:rFonts w:hint="eastAsia" w:ascii="宋体" w:hAnsi="宋体" w:eastAsia="宋体" w:cs="宋体"/>
          <w:color w:val="000000"/>
          <w:kern w:val="0"/>
          <w:sz w:val="24"/>
          <w:szCs w:val="24"/>
          <w:u w:val="none"/>
          <w:lang w:bidi="ar"/>
        </w:rPr>
        <w:t>95003010024826667</w:t>
      </w:r>
      <w:r>
        <w:rPr>
          <w:rFonts w:hint="eastAsia" w:ascii="宋体" w:hAnsi="宋体" w:eastAsia="宋体" w:cs="宋体"/>
          <w:snapToGrid w:val="0"/>
          <w:kern w:val="0"/>
          <w:szCs w:val="21"/>
          <w:u w:val="none"/>
        </w:rPr>
        <w:t xml:space="preserve">           </w:t>
      </w:r>
    </w:p>
    <w:p w14:paraId="5C1AA841">
      <w:pPr>
        <w:pageBreakBefore w:val="0"/>
        <w:kinsoku/>
        <w:overflowPunct/>
        <w:topLinePunct w:val="0"/>
        <w:bidi w:val="0"/>
        <w:adjustRightInd w:val="0"/>
        <w:spacing w:line="360" w:lineRule="auto"/>
        <w:ind w:firstLine="420" w:firstLineChars="200"/>
        <w:rPr>
          <w:rFonts w:hint="eastAsia" w:ascii="宋体" w:hAnsi="宋体" w:cs="宋体"/>
          <w:snapToGrid w:val="0"/>
          <w:kern w:val="0"/>
          <w:szCs w:val="21"/>
          <w:highlight w:val="none"/>
        </w:rPr>
      </w:pPr>
    </w:p>
    <w:p w14:paraId="5D9189A7">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cs="宋体"/>
          <w:snapToGrid w:val="0"/>
          <w:kern w:val="0"/>
          <w:szCs w:val="21"/>
          <w:highlight w:val="none"/>
        </w:rPr>
      </w:pPr>
      <w:r>
        <w:rPr>
          <w:rFonts w:hint="eastAsia" w:ascii="宋体" w:hAnsi="宋体" w:cs="宋体"/>
          <w:b/>
          <w:bCs/>
          <w:snapToGrid w:val="0"/>
          <w:kern w:val="0"/>
          <w:szCs w:val="21"/>
          <w:highlight w:val="none"/>
        </w:rPr>
        <w:t>承包人：</w:t>
      </w:r>
      <w:r>
        <w:rPr>
          <w:rFonts w:hint="eastAsia" w:ascii="宋体" w:hAnsi="宋体" w:cs="宋体"/>
          <w:b/>
          <w:bCs/>
          <w:snapToGrid w:val="0"/>
          <w:kern w:val="0"/>
          <w:szCs w:val="21"/>
          <w:highlight w:val="none"/>
          <w:lang w:val="en-US" w:eastAsia="zh-CN"/>
        </w:rPr>
        <w:t xml:space="preserve"> </w:t>
      </w:r>
      <w:r>
        <w:rPr>
          <w:rFonts w:hint="eastAsia" w:ascii="宋体" w:hAnsi="宋体" w:cs="宋体"/>
          <w:b/>
          <w:bCs/>
          <w:snapToGrid w:val="0"/>
          <w:kern w:val="0"/>
          <w:szCs w:val="21"/>
          <w:highlight w:val="none"/>
          <w:u w:val="none"/>
        </w:rPr>
        <w:t xml:space="preserve"> </w:t>
      </w:r>
      <w:r>
        <w:rPr>
          <w:rFonts w:hint="eastAsia" w:ascii="宋体" w:hAnsi="宋体" w:cs="宋体"/>
          <w:b/>
          <w:bCs/>
          <w:snapToGrid w:val="0"/>
          <w:kern w:val="0"/>
          <w:szCs w:val="21"/>
          <w:highlight w:val="none"/>
          <w:u w:val="none"/>
          <w:lang w:val="en-US" w:eastAsia="zh-CN"/>
        </w:rPr>
        <w:t xml:space="preserve">          </w:t>
      </w:r>
      <w:r>
        <w:rPr>
          <w:rFonts w:hint="eastAsia" w:ascii="宋体" w:hAnsi="宋体" w:cs="宋体"/>
          <w:snapToGrid w:val="0"/>
          <w:kern w:val="0"/>
          <w:szCs w:val="21"/>
          <w:highlight w:val="none"/>
        </w:rPr>
        <w:t>（公章）</w:t>
      </w:r>
    </w:p>
    <w:p w14:paraId="20054A86">
      <w:pPr>
        <w:pStyle w:val="2"/>
        <w:keepNext w:val="0"/>
        <w:keepLines w:val="0"/>
        <w:pageBreakBefore w:val="0"/>
        <w:widowControl w:val="0"/>
        <w:kinsoku/>
        <w:wordWrap/>
        <w:overflowPunct/>
        <w:topLinePunct w:val="0"/>
        <w:autoSpaceDE/>
        <w:autoSpaceDN/>
        <w:bidi w:val="0"/>
        <w:snapToGrid/>
        <w:spacing w:line="360" w:lineRule="auto"/>
        <w:textAlignment w:val="auto"/>
        <w:rPr>
          <w:highlight w:val="none"/>
        </w:rPr>
      </w:pPr>
    </w:p>
    <w:p w14:paraId="2ECB588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法定代表人或其委托代理人（签名）：</w:t>
      </w:r>
    </w:p>
    <w:p w14:paraId="24D5316D">
      <w:pPr>
        <w:pStyle w:val="2"/>
        <w:keepNext w:val="0"/>
        <w:keepLines w:val="0"/>
        <w:pageBreakBefore w:val="0"/>
        <w:widowControl w:val="0"/>
        <w:kinsoku/>
        <w:wordWrap/>
        <w:overflowPunct/>
        <w:topLinePunct w:val="0"/>
        <w:autoSpaceDE/>
        <w:autoSpaceDN/>
        <w:bidi w:val="0"/>
        <w:snapToGrid/>
        <w:spacing w:line="360" w:lineRule="auto"/>
        <w:textAlignment w:val="auto"/>
        <w:rPr>
          <w:rFonts w:hint="eastAsia"/>
          <w:highlight w:val="none"/>
        </w:rPr>
      </w:pPr>
    </w:p>
    <w:p w14:paraId="390CE9A0">
      <w:pPr>
        <w:pStyle w:val="2"/>
        <w:keepNext w:val="0"/>
        <w:keepLines w:val="0"/>
        <w:pageBreakBefore w:val="0"/>
        <w:widowControl w:val="0"/>
        <w:kinsoku/>
        <w:wordWrap/>
        <w:overflowPunct/>
        <w:topLinePunct w:val="0"/>
        <w:autoSpaceDE/>
        <w:autoSpaceDN/>
        <w:bidi w:val="0"/>
        <w:snapToGrid/>
        <w:spacing w:line="360" w:lineRule="auto"/>
        <w:ind w:firstLine="420"/>
        <w:textAlignment w:val="auto"/>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经办人：</w:t>
      </w:r>
    </w:p>
    <w:p w14:paraId="36D81952">
      <w:pPr>
        <w:pageBreakBefore w:val="0"/>
        <w:kinsoku/>
        <w:overflowPunct/>
        <w:topLinePunct w:val="0"/>
        <w:bidi w:val="0"/>
        <w:spacing w:line="360" w:lineRule="auto"/>
        <w:ind w:firstLine="420"/>
        <w:rPr>
          <w:rFonts w:hint="default"/>
          <w:highlight w:val="none"/>
          <w:lang w:val="en-US" w:eastAsia="zh-CN"/>
        </w:rPr>
      </w:pPr>
    </w:p>
    <w:p w14:paraId="58E3C142">
      <w:pPr>
        <w:pageBreakBefore w:val="0"/>
        <w:kinsoku/>
        <w:overflowPunct/>
        <w:topLinePunct w:val="0"/>
        <w:bidi w:val="0"/>
        <w:adjustRightInd w:val="0"/>
        <w:spacing w:line="360" w:lineRule="auto"/>
        <w:ind w:firstLine="420" w:firstLineChars="200"/>
        <w:rPr>
          <w:rFonts w:hint="eastAsia" w:ascii="宋体" w:hAnsi="宋体" w:cs="宋体"/>
          <w:kern w:val="0"/>
          <w:szCs w:val="21"/>
          <w:lang w:val="en-US" w:eastAsia="zh-CN"/>
        </w:rPr>
      </w:pPr>
      <w:r>
        <w:rPr>
          <w:rFonts w:hint="eastAsia" w:ascii="宋体" w:hAnsi="宋体" w:cs="宋体"/>
          <w:snapToGrid w:val="0"/>
          <w:kern w:val="0"/>
          <w:szCs w:val="21"/>
          <w:highlight w:val="none"/>
        </w:rPr>
        <w:t>统一社会信用代码</w:t>
      </w:r>
      <w:r>
        <w:rPr>
          <w:rFonts w:hint="eastAsia" w:ascii="宋体" w:hAnsi="宋体" w:cs="宋体"/>
          <w:snapToGrid w:val="0"/>
          <w:kern w:val="0"/>
          <w:szCs w:val="21"/>
          <w:highlight w:val="none"/>
          <w:u w:val="none"/>
          <w:lang w:val="en-US" w:eastAsia="zh-CN"/>
        </w:rPr>
        <w:t xml:space="preserve"> ：</w:t>
      </w:r>
      <w:r>
        <w:rPr>
          <w:rFonts w:hint="eastAsia" w:ascii="宋体" w:hAnsi="宋体" w:cs="宋体"/>
          <w:kern w:val="0"/>
          <w:szCs w:val="21"/>
          <w:lang w:val="en-US" w:eastAsia="zh-CN"/>
        </w:rPr>
        <w:t xml:space="preserve"> </w:t>
      </w:r>
    </w:p>
    <w:p w14:paraId="0DB4AC4D">
      <w:pPr>
        <w:pageBreakBefore w:val="0"/>
        <w:kinsoku/>
        <w:overflowPunct/>
        <w:topLinePunct w:val="0"/>
        <w:bidi w:val="0"/>
        <w:adjustRightInd w:val="0"/>
        <w:spacing w:line="360" w:lineRule="auto"/>
        <w:ind w:firstLine="420" w:firstLineChars="200"/>
        <w:rPr>
          <w:rFonts w:hint="eastAsia" w:ascii="宋体" w:hAnsi="宋体" w:cs="宋体"/>
          <w:kern w:val="0"/>
          <w:szCs w:val="21"/>
          <w:lang w:val="en-US" w:eastAsia="zh-CN"/>
        </w:rPr>
      </w:pPr>
      <w:r>
        <w:rPr>
          <w:rFonts w:hint="eastAsia" w:ascii="宋体" w:hAnsi="宋体" w:cs="宋体"/>
          <w:snapToGrid w:val="0"/>
          <w:kern w:val="0"/>
          <w:szCs w:val="21"/>
          <w:highlight w:val="none"/>
          <w:u w:val="none"/>
          <w:lang w:eastAsia="zh-CN"/>
        </w:rPr>
        <w:t>纳</w:t>
      </w:r>
      <w:r>
        <w:rPr>
          <w:rFonts w:hint="eastAsia" w:ascii="宋体" w:hAnsi="宋体" w:cs="宋体"/>
          <w:snapToGrid w:val="0"/>
          <w:kern w:val="0"/>
          <w:szCs w:val="21"/>
          <w:highlight w:val="none"/>
          <w:u w:val="none"/>
        </w:rPr>
        <w:t>税人识别号：</w:t>
      </w:r>
      <w:r>
        <w:rPr>
          <w:rFonts w:hint="eastAsia" w:ascii="宋体" w:hAnsi="宋体" w:cs="宋体"/>
          <w:snapToGrid w:val="0"/>
          <w:kern w:val="0"/>
          <w:szCs w:val="21"/>
          <w:highlight w:val="none"/>
          <w:u w:val="none"/>
          <w:lang w:val="en-US" w:eastAsia="zh-CN"/>
        </w:rPr>
        <w:t xml:space="preserve"> </w:t>
      </w:r>
      <w:r>
        <w:rPr>
          <w:rFonts w:hint="eastAsia" w:ascii="宋体" w:hAnsi="宋体" w:cs="宋体"/>
          <w:snapToGrid w:val="0"/>
          <w:kern w:val="0"/>
          <w:szCs w:val="21"/>
          <w:highlight w:val="none"/>
          <w:u w:val="none"/>
        </w:rPr>
        <w:t xml:space="preserve">  </w:t>
      </w:r>
      <w:r>
        <w:rPr>
          <w:rFonts w:hint="eastAsia" w:ascii="宋体" w:hAnsi="宋体" w:cs="宋体"/>
          <w:kern w:val="0"/>
          <w:szCs w:val="21"/>
          <w:lang w:val="en-US" w:eastAsia="zh-CN"/>
        </w:rPr>
        <w:t xml:space="preserve"> </w:t>
      </w:r>
    </w:p>
    <w:p w14:paraId="7657A1A3">
      <w:pPr>
        <w:pageBreakBefore w:val="0"/>
        <w:kinsoku/>
        <w:overflowPunct/>
        <w:topLinePunct w:val="0"/>
        <w:bidi w:val="0"/>
        <w:adjustRightInd w:val="0"/>
        <w:spacing w:line="360" w:lineRule="auto"/>
        <w:ind w:firstLine="420" w:firstLineChars="200"/>
        <w:rPr>
          <w:rFonts w:hint="eastAsia" w:ascii="宋体" w:hAnsi="宋体" w:cs="宋体"/>
          <w:snapToGrid w:val="0"/>
          <w:kern w:val="0"/>
          <w:szCs w:val="21"/>
          <w:highlight w:val="none"/>
          <w:u w:val="none"/>
          <w:lang w:val="en-US" w:eastAsia="zh-CN"/>
        </w:rPr>
      </w:pPr>
      <w:r>
        <w:rPr>
          <w:rFonts w:hint="eastAsia" w:ascii="宋体" w:hAnsi="宋体" w:cs="宋体"/>
          <w:snapToGrid w:val="0"/>
          <w:kern w:val="0"/>
          <w:szCs w:val="21"/>
          <w:highlight w:val="none"/>
          <w:u w:val="none"/>
        </w:rPr>
        <w:t>地    址：</w:t>
      </w:r>
      <w:r>
        <w:rPr>
          <w:rFonts w:hint="eastAsia" w:ascii="宋体" w:hAnsi="宋体" w:cs="宋体"/>
          <w:snapToGrid w:val="0"/>
          <w:kern w:val="0"/>
          <w:szCs w:val="21"/>
          <w:highlight w:val="none"/>
          <w:u w:val="none"/>
          <w:lang w:val="en-US" w:eastAsia="zh-CN"/>
        </w:rPr>
        <w:t xml:space="preserve"> </w:t>
      </w:r>
    </w:p>
    <w:p w14:paraId="0E90628A">
      <w:pPr>
        <w:pageBreakBefore w:val="0"/>
        <w:kinsoku/>
        <w:overflowPunct/>
        <w:topLinePunct w:val="0"/>
        <w:bidi w:val="0"/>
        <w:adjustRightInd w:val="0"/>
        <w:spacing w:line="360" w:lineRule="auto"/>
        <w:ind w:firstLine="420" w:firstLineChars="200"/>
        <w:rPr>
          <w:rFonts w:hint="eastAsia" w:ascii="宋体" w:hAnsi="宋体" w:cs="宋体"/>
          <w:snapToGrid w:val="0"/>
          <w:kern w:val="0"/>
          <w:szCs w:val="21"/>
          <w:highlight w:val="none"/>
          <w:u w:val="none"/>
        </w:rPr>
      </w:pPr>
      <w:r>
        <w:rPr>
          <w:rFonts w:hint="eastAsia" w:ascii="宋体" w:hAnsi="宋体" w:cs="宋体"/>
          <w:snapToGrid w:val="0"/>
          <w:kern w:val="0"/>
          <w:szCs w:val="21"/>
          <w:highlight w:val="none"/>
          <w:u w:val="none"/>
        </w:rPr>
        <w:t>电    话：</w:t>
      </w:r>
    </w:p>
    <w:p w14:paraId="1B07644C">
      <w:pPr>
        <w:pageBreakBefore w:val="0"/>
        <w:kinsoku/>
        <w:overflowPunct/>
        <w:topLinePunct w:val="0"/>
        <w:bidi w:val="0"/>
        <w:adjustRightInd w:val="0"/>
        <w:spacing w:line="360" w:lineRule="auto"/>
        <w:ind w:firstLine="420" w:firstLineChars="200"/>
        <w:rPr>
          <w:rFonts w:hint="eastAsia" w:ascii="宋体" w:hAnsi="宋体" w:cs="宋体"/>
          <w:snapToGrid w:val="0"/>
          <w:kern w:val="0"/>
          <w:szCs w:val="21"/>
          <w:highlight w:val="none"/>
          <w:u w:val="none"/>
          <w:lang w:val="en-US" w:eastAsia="zh-CN"/>
        </w:rPr>
      </w:pPr>
      <w:r>
        <w:rPr>
          <w:rFonts w:hint="eastAsia" w:ascii="宋体" w:hAnsi="宋体" w:cs="宋体"/>
          <w:snapToGrid w:val="0"/>
          <w:kern w:val="0"/>
          <w:szCs w:val="21"/>
          <w:highlight w:val="none"/>
          <w:u w:val="none"/>
        </w:rPr>
        <w:t>开户银行：</w:t>
      </w:r>
      <w:r>
        <w:rPr>
          <w:rFonts w:hint="eastAsia" w:ascii="宋体" w:hAnsi="宋体" w:cs="宋体"/>
          <w:snapToGrid w:val="0"/>
          <w:kern w:val="0"/>
          <w:szCs w:val="21"/>
          <w:highlight w:val="none"/>
          <w:u w:val="none"/>
          <w:lang w:val="en-US" w:eastAsia="zh-CN"/>
        </w:rPr>
        <w:t xml:space="preserve"> </w:t>
      </w:r>
    </w:p>
    <w:p w14:paraId="61E71846">
      <w:pPr>
        <w:pageBreakBefore w:val="0"/>
        <w:kinsoku/>
        <w:overflowPunct/>
        <w:topLinePunct w:val="0"/>
        <w:bidi w:val="0"/>
        <w:adjustRightInd w:val="0"/>
        <w:spacing w:line="360" w:lineRule="auto"/>
        <w:ind w:firstLine="420" w:firstLineChars="200"/>
        <w:rPr>
          <w:rFonts w:hint="eastAsia" w:ascii="宋体" w:hAnsi="宋体" w:cs="宋体"/>
          <w:snapToGrid w:val="0"/>
          <w:kern w:val="0"/>
          <w:szCs w:val="21"/>
          <w:highlight w:val="none"/>
          <w:u w:val="none"/>
          <w:lang w:val="en-US" w:eastAsia="zh-CN"/>
        </w:rPr>
      </w:pPr>
      <w:r>
        <w:rPr>
          <w:rFonts w:hint="eastAsia" w:ascii="宋体" w:hAnsi="宋体" w:cs="宋体"/>
          <w:snapToGrid w:val="0"/>
          <w:kern w:val="0"/>
          <w:szCs w:val="21"/>
          <w:highlight w:val="none"/>
          <w:u w:val="none"/>
        </w:rPr>
        <w:t>账    号</w:t>
      </w:r>
      <w:r>
        <w:rPr>
          <w:rFonts w:hint="eastAsia" w:ascii="宋体" w:hAnsi="宋体" w:cs="宋体"/>
          <w:snapToGrid w:val="0"/>
          <w:kern w:val="0"/>
          <w:szCs w:val="21"/>
          <w:highlight w:val="none"/>
          <w:u w:val="none"/>
          <w:lang w:eastAsia="zh-CN"/>
        </w:rPr>
        <w:t>：</w:t>
      </w:r>
      <w:r>
        <w:rPr>
          <w:rFonts w:hint="eastAsia" w:ascii="宋体" w:hAnsi="宋体" w:cs="宋体"/>
          <w:snapToGrid w:val="0"/>
          <w:kern w:val="0"/>
          <w:szCs w:val="21"/>
          <w:highlight w:val="none"/>
          <w:u w:val="none"/>
          <w:lang w:val="en-US" w:eastAsia="zh-CN"/>
        </w:rPr>
        <w:t xml:space="preserve"> </w:t>
      </w:r>
    </w:p>
    <w:p w14:paraId="5575AC53">
      <w:pPr>
        <w:pageBreakBefore w:val="0"/>
        <w:kinsoku/>
        <w:overflowPunct/>
        <w:topLinePunct w:val="0"/>
        <w:bidi w:val="0"/>
        <w:adjustRightInd w:val="0"/>
        <w:spacing w:line="360" w:lineRule="auto"/>
        <w:ind w:firstLine="420" w:firstLineChars="200"/>
        <w:rPr>
          <w:rFonts w:hint="eastAsia"/>
          <w:lang w:val="en-US" w:eastAsia="zh-CN"/>
        </w:rPr>
      </w:pPr>
      <w:r>
        <w:rPr>
          <w:rFonts w:hint="eastAsia" w:ascii="宋体" w:hAnsi="宋体" w:cs="宋体"/>
          <w:snapToGrid w:val="0"/>
          <w:kern w:val="0"/>
          <w:szCs w:val="21"/>
          <w:highlight w:val="none"/>
          <w:u w:val="none"/>
          <w:lang w:eastAsia="zh-CN"/>
        </w:rPr>
        <w:t xml:space="preserve"> </w:t>
      </w:r>
      <w:r>
        <w:rPr>
          <w:rFonts w:hint="eastAsia" w:ascii="宋体" w:hAnsi="宋体" w:cs="宋体"/>
          <w:snapToGrid w:val="0"/>
          <w:kern w:val="0"/>
          <w:szCs w:val="21"/>
          <w:highlight w:val="none"/>
          <w:u w:val="none"/>
          <w:lang w:val="en-US" w:eastAsia="zh-CN"/>
        </w:rPr>
        <w:t xml:space="preserve">     </w:t>
      </w:r>
      <w:r>
        <w:rPr>
          <w:rFonts w:hint="eastAsia" w:ascii="宋体" w:hAnsi="宋体" w:cs="宋体"/>
          <w:snapToGrid w:val="0"/>
          <w:kern w:val="0"/>
          <w:szCs w:val="21"/>
          <w:highlight w:val="none"/>
          <w:u w:val="none"/>
        </w:rPr>
        <w:t xml:space="preserve">  </w:t>
      </w:r>
    </w:p>
    <w:p w14:paraId="0C95EBBB">
      <w:pPr>
        <w:numPr>
          <w:ilvl w:val="0"/>
          <w:numId w:val="0"/>
        </w:numPr>
        <w:spacing w:line="560" w:lineRule="exact"/>
        <w:jc w:val="center"/>
        <w:outlineLvl w:val="0"/>
        <w:rPr>
          <w:rFonts w:hint="eastAsia" w:ascii="宋体" w:hAnsi="宋体" w:eastAsia="宋体" w:cs="宋体"/>
          <w:color w:val="auto"/>
          <w:kern w:val="0"/>
          <w:sz w:val="44"/>
          <w:szCs w:val="44"/>
          <w:lang w:val="en-US" w:eastAsia="zh-CN" w:bidi="ar-SA"/>
        </w:rPr>
      </w:pPr>
    </w:p>
    <w:p w14:paraId="2133EFF4">
      <w:pPr>
        <w:pStyle w:val="2"/>
        <w:rPr>
          <w:rFonts w:hint="eastAsia" w:ascii="宋体" w:hAnsi="宋体" w:eastAsia="宋体" w:cs="宋体"/>
          <w:color w:val="auto"/>
          <w:kern w:val="0"/>
          <w:sz w:val="44"/>
          <w:szCs w:val="44"/>
          <w:lang w:val="en-US" w:eastAsia="zh-CN" w:bidi="ar-SA"/>
        </w:rPr>
      </w:pPr>
    </w:p>
    <w:p w14:paraId="22FC4759">
      <w:pPr>
        <w:rPr>
          <w:rFonts w:hint="eastAsia" w:ascii="宋体" w:hAnsi="宋体" w:eastAsia="宋体" w:cs="宋体"/>
          <w:color w:val="auto"/>
          <w:kern w:val="0"/>
          <w:sz w:val="44"/>
          <w:szCs w:val="44"/>
          <w:lang w:val="en-US" w:eastAsia="zh-CN" w:bidi="ar-SA"/>
        </w:rPr>
      </w:pPr>
    </w:p>
    <w:p w14:paraId="5031B1C9">
      <w:pPr>
        <w:pStyle w:val="2"/>
        <w:rPr>
          <w:rFonts w:hint="eastAsia"/>
          <w:lang w:val="en-US" w:eastAsia="zh-CN"/>
        </w:rPr>
      </w:pPr>
    </w:p>
    <w:p w14:paraId="149081D7">
      <w:pPr>
        <w:numPr>
          <w:ilvl w:val="0"/>
          <w:numId w:val="0"/>
        </w:numPr>
        <w:spacing w:line="560" w:lineRule="exact"/>
        <w:jc w:val="center"/>
        <w:outlineLvl w:val="0"/>
        <w:rPr>
          <w:rStyle w:val="11"/>
          <w:rFonts w:hint="eastAsia" w:ascii="宋体" w:hAnsi="宋体" w:eastAsia="宋体" w:cs="宋体"/>
          <w:color w:val="auto"/>
          <w:sz w:val="44"/>
          <w:szCs w:val="44"/>
        </w:rPr>
      </w:pPr>
      <w:r>
        <w:rPr>
          <w:rFonts w:hint="eastAsia" w:ascii="宋体" w:hAnsi="宋体" w:eastAsia="宋体" w:cs="宋体"/>
          <w:color w:val="auto"/>
          <w:kern w:val="0"/>
          <w:sz w:val="44"/>
          <w:szCs w:val="44"/>
          <w:lang w:val="en-US" w:eastAsia="zh-CN" w:bidi="ar-SA"/>
        </w:rPr>
        <w:t>第二部分</w:t>
      </w:r>
      <w:bookmarkStart w:id="13" w:name="_Toc351203494"/>
      <w:bookmarkStart w:id="14" w:name="_Toc27114"/>
      <w:bookmarkStart w:id="15" w:name="_Toc12654"/>
      <w:bookmarkStart w:id="16" w:name="_Toc25930"/>
      <w:bookmarkStart w:id="17" w:name="_Toc19964"/>
      <w:r>
        <w:rPr>
          <w:rFonts w:hint="eastAsia" w:ascii="宋体" w:hAnsi="宋体" w:eastAsia="宋体" w:cs="宋体"/>
          <w:color w:val="auto"/>
          <w:kern w:val="0"/>
          <w:sz w:val="44"/>
          <w:szCs w:val="44"/>
          <w:lang w:val="en-US" w:eastAsia="zh-CN" w:bidi="ar-SA"/>
        </w:rPr>
        <w:t xml:space="preserve">  </w:t>
      </w:r>
      <w:r>
        <w:rPr>
          <w:rStyle w:val="11"/>
          <w:rFonts w:hint="eastAsia" w:ascii="宋体" w:hAnsi="宋体" w:eastAsia="宋体" w:cs="宋体"/>
          <w:color w:val="auto"/>
          <w:sz w:val="44"/>
          <w:szCs w:val="44"/>
        </w:rPr>
        <w:t>通用合同条款</w:t>
      </w:r>
      <w:bookmarkEnd w:id="13"/>
      <w:bookmarkEnd w:id="14"/>
      <w:bookmarkStart w:id="18" w:name="_Toc337558727"/>
    </w:p>
    <w:p w14:paraId="00241B8D">
      <w:pPr>
        <w:pStyle w:val="7"/>
        <w:rPr>
          <w:rFonts w:hint="eastAsia"/>
        </w:rPr>
      </w:pPr>
    </w:p>
    <w:p w14:paraId="418F298D">
      <w:pPr>
        <w:pStyle w:val="7"/>
        <w:numPr>
          <w:ilvl w:val="0"/>
          <w:numId w:val="0"/>
        </w:numPr>
        <w:rPr>
          <w:rFonts w:hint="eastAsia"/>
        </w:rPr>
      </w:pPr>
    </w:p>
    <w:bookmarkEnd w:id="15"/>
    <w:bookmarkEnd w:id="16"/>
    <w:bookmarkEnd w:id="17"/>
    <w:bookmarkEnd w:id="18"/>
    <w:p w14:paraId="19F07B2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kern w:val="0"/>
          <w:szCs w:val="21"/>
          <w:highlight w:val="none"/>
          <w:u w:val="none"/>
          <w:lang w:val="zh-CN"/>
        </w:rPr>
      </w:pPr>
      <w:bookmarkStart w:id="19" w:name="_Toc351203632"/>
      <w:r>
        <w:rPr>
          <w:rFonts w:hint="eastAsia" w:ascii="宋体" w:hAnsi="宋体" w:eastAsia="宋体" w:cs="宋体"/>
          <w:color w:val="auto"/>
          <w:sz w:val="21"/>
          <w:szCs w:val="21"/>
        </w:rPr>
        <w:t>采用中华人民共和国住房和城乡建设部制定的《建设工程施工合同》2017版第二部分的《通用合同条款》。</w:t>
      </w:r>
      <w:r>
        <w:rPr>
          <w:rFonts w:hint="eastAsia" w:ascii="宋体" w:hAnsi="宋体" w:eastAsia="宋体" w:cs="宋体"/>
          <w:color w:val="auto"/>
          <w:sz w:val="40"/>
          <w:szCs w:val="44"/>
        </w:rPr>
        <w:br w:type="page"/>
      </w:r>
      <w:bookmarkEnd w:id="19"/>
    </w:p>
    <w:p w14:paraId="6A357775">
      <w:pPr>
        <w:numPr>
          <w:ilvl w:val="0"/>
          <w:numId w:val="0"/>
        </w:numPr>
        <w:spacing w:line="560" w:lineRule="exact"/>
        <w:jc w:val="center"/>
        <w:outlineLvl w:val="0"/>
        <w:rPr>
          <w:rFonts w:hint="eastAsia" w:ascii="宋体" w:hAnsi="宋体" w:eastAsia="宋体" w:cs="宋体"/>
          <w:color w:val="auto"/>
          <w:kern w:val="0"/>
          <w:sz w:val="44"/>
          <w:szCs w:val="44"/>
          <w:lang w:val="en-US" w:eastAsia="zh-CN" w:bidi="ar-SA"/>
        </w:rPr>
      </w:pPr>
      <w:bookmarkStart w:id="20" w:name="_Toc59810403"/>
      <w:bookmarkStart w:id="21" w:name="_Toc1331"/>
      <w:bookmarkStart w:id="22" w:name="_Toc136350383"/>
      <w:bookmarkStart w:id="23" w:name="_Toc33183706"/>
      <w:r>
        <w:rPr>
          <w:rFonts w:hint="eastAsia" w:ascii="宋体" w:hAnsi="宋体" w:eastAsia="宋体" w:cs="宋体"/>
          <w:color w:val="auto"/>
          <w:kern w:val="0"/>
          <w:sz w:val="44"/>
          <w:szCs w:val="44"/>
          <w:lang w:val="en-US" w:eastAsia="zh-CN" w:bidi="ar-SA"/>
        </w:rPr>
        <w:t xml:space="preserve">第二部分 </w:t>
      </w:r>
      <w:r>
        <w:rPr>
          <w:rFonts w:hint="eastAsia" w:ascii="宋体" w:hAnsi="宋体" w:eastAsia="宋体" w:cs="宋体"/>
          <w:color w:val="auto"/>
          <w:kern w:val="0"/>
          <w:sz w:val="44"/>
          <w:szCs w:val="44"/>
          <w:lang w:val="zh-CN" w:eastAsia="zh-CN" w:bidi="ar-SA"/>
        </w:rPr>
        <w:t>专用</w:t>
      </w:r>
      <w:r>
        <w:rPr>
          <w:rFonts w:hint="eastAsia" w:ascii="宋体" w:hAnsi="宋体" w:eastAsia="宋体" w:cs="宋体"/>
          <w:color w:val="auto"/>
          <w:kern w:val="0"/>
          <w:sz w:val="44"/>
          <w:szCs w:val="44"/>
          <w:lang w:val="en-US" w:eastAsia="zh-CN" w:bidi="ar-SA"/>
        </w:rPr>
        <w:t>合同条款</w:t>
      </w:r>
      <w:bookmarkEnd w:id="20"/>
      <w:bookmarkEnd w:id="21"/>
      <w:bookmarkEnd w:id="22"/>
      <w:bookmarkEnd w:id="23"/>
    </w:p>
    <w:p w14:paraId="584E4D9D">
      <w:pPr>
        <w:pStyle w:val="4"/>
        <w:pageBreakBefore w:val="0"/>
        <w:kinsoku/>
        <w:overflowPunct/>
        <w:topLinePunct w:val="0"/>
        <w:bidi w:val="0"/>
        <w:spacing w:line="360" w:lineRule="auto"/>
        <w:rPr>
          <w:rFonts w:ascii="宋体" w:hAnsi="宋体" w:cs="宋体"/>
          <w:sz w:val="21"/>
          <w:szCs w:val="21"/>
          <w:highlight w:val="none"/>
        </w:rPr>
      </w:pPr>
      <w:bookmarkStart w:id="24" w:name="_Toc33183707"/>
      <w:bookmarkStart w:id="25" w:name="_Toc222031029"/>
      <w:bookmarkStart w:id="26" w:name="_Toc222033878"/>
      <w:bookmarkStart w:id="27" w:name="_Toc59810404"/>
      <w:bookmarkStart w:id="28" w:name="_Toc222029527"/>
      <w:bookmarkStart w:id="29" w:name="_Toc229305387"/>
      <w:bookmarkStart w:id="30" w:name="_Toc222032696"/>
      <w:bookmarkStart w:id="31" w:name="_Toc136350384"/>
      <w:bookmarkStart w:id="32" w:name="_Toc14158"/>
      <w:bookmarkStart w:id="33" w:name="_Toc221951111"/>
      <w:r>
        <w:rPr>
          <w:rFonts w:hint="eastAsia" w:ascii="宋体" w:hAnsi="宋体" w:cs="宋体"/>
          <w:sz w:val="21"/>
          <w:szCs w:val="21"/>
          <w:highlight w:val="none"/>
        </w:rPr>
        <w:t>1.一般约定</w:t>
      </w:r>
      <w:bookmarkEnd w:id="24"/>
      <w:bookmarkEnd w:id="25"/>
      <w:bookmarkEnd w:id="26"/>
      <w:bookmarkEnd w:id="27"/>
      <w:bookmarkEnd w:id="28"/>
      <w:bookmarkEnd w:id="29"/>
      <w:bookmarkEnd w:id="30"/>
      <w:bookmarkEnd w:id="31"/>
      <w:bookmarkEnd w:id="32"/>
      <w:bookmarkEnd w:id="33"/>
    </w:p>
    <w:p w14:paraId="461786FE">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4" w:name="_Toc33183708"/>
      <w:bookmarkStart w:id="35" w:name="_Toc221951112"/>
      <w:r>
        <w:rPr>
          <w:rFonts w:hint="eastAsia" w:ascii="宋体" w:hAnsi="宋体" w:cs="宋体"/>
          <w:szCs w:val="21"/>
          <w:highlight w:val="none"/>
        </w:rPr>
        <w:t>1.1  词语定义</w:t>
      </w:r>
      <w:bookmarkEnd w:id="34"/>
      <w:bookmarkEnd w:id="35"/>
    </w:p>
    <w:p w14:paraId="6D54D26C">
      <w:pPr>
        <w:pageBreakBefore w:val="0"/>
        <w:kinsoku/>
        <w:overflowPunct/>
        <w:topLinePunct w:val="0"/>
        <w:bidi w:val="0"/>
        <w:snapToGrid w:val="0"/>
        <w:spacing w:line="360" w:lineRule="auto"/>
        <w:ind w:firstLine="420" w:firstLineChars="200"/>
        <w:rPr>
          <w:rFonts w:ascii="宋体" w:hAnsi="宋体" w:cs="宋体"/>
          <w:kern w:val="0"/>
          <w:szCs w:val="21"/>
          <w:highlight w:val="none"/>
        </w:rPr>
      </w:pPr>
      <w:bookmarkStart w:id="36" w:name="_Toc221951113"/>
      <w:r>
        <w:rPr>
          <w:rFonts w:hint="eastAsia" w:ascii="宋体" w:hAnsi="宋体" w:cs="宋体"/>
          <w:kern w:val="0"/>
          <w:szCs w:val="21"/>
          <w:highlight w:val="none"/>
        </w:rPr>
        <w:t>1.1.1 合同</w:t>
      </w:r>
    </w:p>
    <w:p w14:paraId="232FABC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1.1.1.6 技术标准和要求：</w:t>
      </w:r>
      <w:r>
        <w:rPr>
          <w:rFonts w:hint="eastAsia" w:ascii="宋体" w:hAnsi="宋体" w:cs="宋体"/>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p>
    <w:p w14:paraId="67A8DA8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1.1.1.8 已标价工程量清单：</w:t>
      </w:r>
      <w:r>
        <w:rPr>
          <w:rFonts w:hint="eastAsia" w:ascii="宋体" w:hAnsi="宋体" w:cs="宋体"/>
          <w:kern w:val="0"/>
          <w:szCs w:val="21"/>
          <w:highlight w:val="none"/>
          <w:u w:val="single"/>
        </w:rPr>
        <w:t>指构成合同文件组成部分的已标明</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价格、经算术性错误修正及其他错误修正（如有）且承包人已确认的最终的工程量清单。</w:t>
      </w:r>
    </w:p>
    <w:p w14:paraId="7AF54886">
      <w:pPr>
        <w:pageBreakBefore w:val="0"/>
        <w:kinsoku/>
        <w:overflowPunct/>
        <w:topLinePunct w:val="0"/>
        <w:bidi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rPr>
        <w:t>1.1.1.9 其他合同文件：</w:t>
      </w:r>
      <w:r>
        <w:rPr>
          <w:rFonts w:hint="eastAsia" w:ascii="宋体" w:hAnsi="宋体" w:cs="宋体"/>
          <w:kern w:val="0"/>
          <w:szCs w:val="21"/>
          <w:highlight w:val="none"/>
          <w:u w:val="single"/>
        </w:rPr>
        <w:t>按照合同协议书〔第六条〕约定执行。</w:t>
      </w:r>
    </w:p>
    <w:p w14:paraId="1B4739C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本项补充1.1.1.10～1.1.1.15目：</w:t>
      </w:r>
    </w:p>
    <w:p w14:paraId="100BB2D0">
      <w:pPr>
        <w:pageBreakBefore w:val="0"/>
        <w:kinsoku/>
        <w:overflowPunct/>
        <w:topLinePunct w:val="0"/>
        <w:bidi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1.1.1.10招标文件：</w:t>
      </w:r>
      <w:r>
        <w:rPr>
          <w:rFonts w:hint="eastAsia" w:ascii="宋体" w:hAnsi="宋体"/>
          <w:kern w:val="0"/>
          <w:szCs w:val="21"/>
          <w:highlight w:val="none"/>
          <w:u w:val="single"/>
        </w:rPr>
        <w:t>指本工程的招标文件、图纸、其他技术资料及招标人发出的对招标文件所作的澄清、修改、修改等资料</w:t>
      </w:r>
      <w:r>
        <w:rPr>
          <w:rFonts w:hint="eastAsia" w:ascii="宋体" w:hAnsi="宋体"/>
          <w:kern w:val="0"/>
          <w:szCs w:val="21"/>
          <w:highlight w:val="none"/>
        </w:rPr>
        <w:t>。</w:t>
      </w:r>
    </w:p>
    <w:p w14:paraId="119897F5">
      <w:pPr>
        <w:pageBreakBefore w:val="0"/>
        <w:kinsoku/>
        <w:overflowPunct/>
        <w:topLinePunct w:val="0"/>
        <w:bidi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1.1.1.11 工作：</w:t>
      </w:r>
      <w:r>
        <w:rPr>
          <w:rFonts w:hint="eastAsia" w:ascii="宋体" w:hAnsi="宋体"/>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highlight w:val="none"/>
        </w:rPr>
        <w:t>。</w:t>
      </w:r>
    </w:p>
    <w:p w14:paraId="12B5F52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1.1.1.12 重大设计变更：</w:t>
      </w:r>
      <w:r>
        <w:rPr>
          <w:rFonts w:hint="eastAsia" w:ascii="宋体" w:hAnsi="宋体"/>
          <w:kern w:val="0"/>
          <w:szCs w:val="21"/>
          <w:highlight w:val="none"/>
          <w:u w:val="single"/>
        </w:rPr>
        <w:t>中小型工程以《重庆市水利工程建设项目设计变更及投资概算调整管理办法》（渝水基</w:t>
      </w:r>
      <w:r>
        <w:rPr>
          <w:rFonts w:hint="eastAsia" w:ascii="宋体" w:hAnsi="宋体"/>
          <w:kern w:val="0"/>
          <w:szCs w:val="21"/>
          <w:highlight w:val="none"/>
          <w:u w:val="single"/>
          <w:lang w:eastAsia="zh-CN"/>
        </w:rPr>
        <w:t>〔</w:t>
      </w:r>
      <w:r>
        <w:rPr>
          <w:rFonts w:hint="eastAsia" w:ascii="宋体" w:hAnsi="宋体"/>
          <w:kern w:val="0"/>
          <w:szCs w:val="21"/>
          <w:highlight w:val="none"/>
          <w:u w:val="single"/>
        </w:rPr>
        <w:t>2007</w:t>
      </w:r>
      <w:r>
        <w:rPr>
          <w:rFonts w:hint="eastAsia" w:ascii="宋体" w:hAnsi="宋体"/>
          <w:kern w:val="0"/>
          <w:szCs w:val="21"/>
          <w:highlight w:val="none"/>
          <w:u w:val="single"/>
          <w:lang w:eastAsia="zh-CN"/>
        </w:rPr>
        <w:t>〕</w:t>
      </w:r>
      <w:r>
        <w:rPr>
          <w:rFonts w:hint="eastAsia" w:ascii="宋体" w:hAnsi="宋体"/>
          <w:kern w:val="0"/>
          <w:szCs w:val="21"/>
          <w:highlight w:val="none"/>
          <w:u w:val="single"/>
        </w:rPr>
        <w:t>20号文）为准，大型工程以“关于印发《水利工程设计变更管理暂行办法》的通知”（水规计</w:t>
      </w:r>
      <w:r>
        <w:rPr>
          <w:rFonts w:hint="eastAsia" w:ascii="宋体" w:hAnsi="宋体"/>
          <w:kern w:val="0"/>
          <w:szCs w:val="21"/>
          <w:highlight w:val="none"/>
          <w:u w:val="single"/>
          <w:lang w:eastAsia="zh-CN"/>
        </w:rPr>
        <w:t>〔</w:t>
      </w:r>
      <w:r>
        <w:rPr>
          <w:rFonts w:hint="eastAsia" w:ascii="宋体" w:hAnsi="宋体"/>
          <w:kern w:val="0"/>
          <w:szCs w:val="21"/>
          <w:highlight w:val="none"/>
          <w:u w:val="single"/>
        </w:rPr>
        <w:t>2012</w:t>
      </w:r>
      <w:r>
        <w:rPr>
          <w:rFonts w:hint="eastAsia" w:ascii="宋体" w:hAnsi="宋体"/>
          <w:kern w:val="0"/>
          <w:szCs w:val="21"/>
          <w:highlight w:val="none"/>
          <w:u w:val="single"/>
          <w:lang w:eastAsia="zh-CN"/>
        </w:rPr>
        <w:t>〕</w:t>
      </w:r>
      <w:r>
        <w:rPr>
          <w:rFonts w:hint="eastAsia" w:ascii="宋体" w:hAnsi="宋体"/>
          <w:kern w:val="0"/>
          <w:szCs w:val="21"/>
          <w:highlight w:val="none"/>
          <w:u w:val="single"/>
        </w:rPr>
        <w:t>93号文）为准。</w:t>
      </w:r>
    </w:p>
    <w:p w14:paraId="558AC14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1.1.1.13 公章：专指法人单位名称章。</w:t>
      </w:r>
    </w:p>
    <w:p w14:paraId="50E79C68">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1.1.1.14 到岗：指承包人按照到岗履职承诺安排满足办理施工许可手续相关要求的项目主要管理人员实际到施工现场就职履约的行为。</w:t>
      </w:r>
    </w:p>
    <w:p w14:paraId="3F0DF480">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szCs w:val="21"/>
          <w:highlight w:val="none"/>
        </w:rPr>
        <w:t>1.1.1.15 项目法人：指具有民事权利能力和民事行为能力，依法独立享有民事权利和承担民事义务，以建设项目为目的，从事项目管理的机构、单位或组织。</w:t>
      </w:r>
    </w:p>
    <w:p w14:paraId="3848A4D9">
      <w:pPr>
        <w:pageBreakBefore w:val="0"/>
        <w:kinsoku/>
        <w:overflowPunct/>
        <w:topLinePunct w:val="0"/>
        <w:bidi w:val="0"/>
        <w:spacing w:line="360" w:lineRule="auto"/>
        <w:rPr>
          <w:rFonts w:ascii="宋体" w:hAnsi="宋体" w:cs="宋体"/>
          <w:szCs w:val="21"/>
          <w:highlight w:val="none"/>
        </w:rPr>
      </w:pPr>
      <w:r>
        <w:rPr>
          <w:rFonts w:hint="eastAsia" w:ascii="宋体" w:hAnsi="宋体" w:cs="宋体"/>
          <w:szCs w:val="21"/>
          <w:highlight w:val="none"/>
        </w:rPr>
        <w:t>1.1.2  合同当事人和人员</w:t>
      </w:r>
      <w:bookmarkEnd w:id="36"/>
    </w:p>
    <w:p w14:paraId="7E742EED">
      <w:pPr>
        <w:pageBreakBefore w:val="0"/>
        <w:kinsoku/>
        <w:overflowPunct/>
        <w:topLinePunct w:val="0"/>
        <w:bidi w:val="0"/>
        <w:spacing w:line="360" w:lineRule="auto"/>
        <w:ind w:firstLine="420" w:firstLineChars="200"/>
        <w:rPr>
          <w:rFonts w:ascii="宋体" w:hAnsi="宋体" w:cs="宋体"/>
          <w:szCs w:val="21"/>
          <w:highlight w:val="none"/>
        </w:rPr>
      </w:pPr>
      <w:bookmarkStart w:id="37" w:name="_Toc221951114"/>
      <w:bookmarkStart w:id="38" w:name="_Toc221951125"/>
      <w:r>
        <w:rPr>
          <w:rFonts w:hint="eastAsia" w:ascii="宋体" w:hAnsi="宋体" w:cs="宋体"/>
          <w:szCs w:val="21"/>
          <w:highlight w:val="none"/>
        </w:rPr>
        <w:t>1.1.2.2  发包人：</w:t>
      </w:r>
      <w:r>
        <w:rPr>
          <w:rFonts w:hint="eastAsia" w:ascii="宋体" w:hAnsi="宋体" w:cs="宋体"/>
          <w:szCs w:val="21"/>
          <w:highlight w:val="none"/>
          <w:u w:val="single"/>
        </w:rPr>
        <w:t xml:space="preserve">     </w:t>
      </w:r>
      <w:r>
        <w:rPr>
          <w:rFonts w:hint="eastAsia" w:ascii="宋体" w:hAnsi="宋体" w:cs="宋体"/>
          <w:color w:val="auto"/>
          <w:sz w:val="21"/>
          <w:szCs w:val="21"/>
          <w:highlight w:val="none"/>
          <w:u w:val="single"/>
          <w:lang w:eastAsia="zh-CN"/>
        </w:rPr>
        <w:t>重庆市南川区泽禹供水有限责任公司</w:t>
      </w:r>
      <w:r>
        <w:rPr>
          <w:rFonts w:hint="eastAsia" w:ascii="宋体" w:hAnsi="宋体" w:cs="宋体"/>
          <w:spacing w:val="-5"/>
          <w:sz w:val="21"/>
          <w:szCs w:val="21"/>
          <w:highlight w:val="none"/>
          <w:u w:val="single"/>
          <w:lang w:val="en-US" w:eastAsia="zh-CN"/>
        </w:rPr>
        <w:t xml:space="preserve"> </w:t>
      </w:r>
      <w:r>
        <w:rPr>
          <w:rFonts w:hint="eastAsia" w:ascii="宋体" w:hAnsi="宋体" w:cs="宋体"/>
          <w:szCs w:val="21"/>
          <w:highlight w:val="none"/>
          <w:u w:val="single"/>
        </w:rPr>
        <w:t xml:space="preserve">    </w:t>
      </w:r>
      <w:bookmarkEnd w:id="37"/>
      <w:r>
        <w:rPr>
          <w:rFonts w:hint="eastAsia" w:ascii="宋体" w:hAnsi="宋体" w:cs="宋体"/>
          <w:szCs w:val="21"/>
          <w:highlight w:val="none"/>
        </w:rPr>
        <w:t>；</w:t>
      </w:r>
    </w:p>
    <w:p w14:paraId="26FBDA40">
      <w:pPr>
        <w:pageBreakBefore w:val="0"/>
        <w:kinsoku/>
        <w:overflowPunct/>
        <w:topLinePunct w:val="0"/>
        <w:bidi w:val="0"/>
        <w:spacing w:line="360" w:lineRule="auto"/>
        <w:ind w:firstLine="840" w:firstLineChars="400"/>
        <w:jc w:val="left"/>
        <w:rPr>
          <w:highlight w:val="none"/>
        </w:rPr>
      </w:pPr>
      <w:r>
        <w:rPr>
          <w:rFonts w:hint="eastAsia" w:ascii="宋体" w:hAnsi="宋体"/>
          <w:szCs w:val="21"/>
          <w:highlight w:val="none"/>
        </w:rPr>
        <w:t>联系人及联系方式：</w:t>
      </w:r>
      <w:r>
        <w:rPr>
          <w:rFonts w:ascii="宋体" w:hAnsi="宋体"/>
          <w:szCs w:val="21"/>
          <w:u w:val="single"/>
        </w:rPr>
        <w:t></w:t>
      </w:r>
      <w:r>
        <w:rPr>
          <w:rFonts w:hint="eastAsia" w:ascii="宋体" w:hAnsi="宋体" w:cs="宋体"/>
          <w:color w:val="auto"/>
          <w:kern w:val="0"/>
          <w:szCs w:val="21"/>
          <w:u w:val="single"/>
          <w:lang w:eastAsia="zh-CN"/>
        </w:rPr>
        <w:t>严青林</w:t>
      </w:r>
      <w:r>
        <w:rPr>
          <w:rFonts w:hint="eastAsia" w:ascii="宋体" w:hAnsi="宋体" w:cs="宋体"/>
          <w:color w:val="auto"/>
          <w:kern w:val="0"/>
          <w:szCs w:val="21"/>
          <w:u w:val="single"/>
        </w:rPr>
        <w:t xml:space="preserve"> </w:t>
      </w:r>
      <w:r>
        <w:rPr>
          <w:rFonts w:hint="eastAsia" w:ascii="宋体" w:hAnsi="宋体"/>
          <w:szCs w:val="21"/>
          <w:u w:val="single"/>
          <w:lang w:val="en-US" w:eastAsia="zh-CN"/>
        </w:rPr>
        <w:t xml:space="preserve"> </w:t>
      </w:r>
      <w:r>
        <w:rPr>
          <w:rFonts w:hint="eastAsia" w:ascii="宋体" w:hAnsi="宋体" w:cs="宋体"/>
          <w:color w:val="auto"/>
          <w:kern w:val="0"/>
          <w:szCs w:val="21"/>
          <w:u w:val="single"/>
          <w:lang w:val="en-US" w:eastAsia="zh-CN"/>
        </w:rPr>
        <w:t>13896501333</w:t>
      </w:r>
      <w:r>
        <w:rPr>
          <w:rFonts w:hint="eastAsia" w:ascii="宋体" w:hAnsi="宋体"/>
          <w:szCs w:val="21"/>
          <w:highlight w:val="none"/>
        </w:rPr>
        <w:t>。</w:t>
      </w:r>
    </w:p>
    <w:p w14:paraId="23C9F76A">
      <w:pPr>
        <w:pageBreakBefore w:val="0"/>
        <w:kinsoku/>
        <w:overflowPunct/>
        <w:topLinePunct w:val="0"/>
        <w:bidi w:val="0"/>
        <w:spacing w:line="360" w:lineRule="auto"/>
        <w:ind w:firstLine="420" w:firstLineChars="200"/>
        <w:rPr>
          <w:rFonts w:ascii="宋体" w:hAnsi="宋体" w:cs="宋体"/>
          <w:szCs w:val="21"/>
          <w:highlight w:val="none"/>
        </w:rPr>
      </w:pPr>
      <w:bookmarkStart w:id="39" w:name="_Toc221951115"/>
      <w:r>
        <w:rPr>
          <w:rFonts w:hint="eastAsia" w:ascii="宋体" w:hAnsi="宋体" w:cs="宋体"/>
          <w:szCs w:val="21"/>
          <w:highlight w:val="none"/>
        </w:rPr>
        <w:t>1.1.2.3  承包人：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napToGrid w:val="0"/>
          <w:kern w:val="0"/>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50BEAC7">
      <w:pPr>
        <w:pageBreakBefore w:val="0"/>
        <w:kinsoku/>
        <w:overflowPunct/>
        <w:topLinePunct w:val="0"/>
        <w:bidi w:val="0"/>
        <w:spacing w:line="360" w:lineRule="auto"/>
        <w:ind w:firstLine="840" w:firstLineChars="400"/>
        <w:jc w:val="left"/>
        <w:rPr>
          <w:rFonts w:ascii="宋体" w:hAnsi="宋体"/>
          <w:szCs w:val="21"/>
          <w:highlight w:val="none"/>
        </w:rPr>
      </w:pPr>
      <w:r>
        <w:rPr>
          <w:rFonts w:hint="eastAsia" w:ascii="宋体" w:hAnsi="宋体"/>
          <w:szCs w:val="21"/>
          <w:highlight w:val="none"/>
        </w:rPr>
        <w:t>资质类别和等级：</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u w:val="single"/>
        </w:rPr>
        <w:t></w:t>
      </w:r>
      <w:r>
        <w:rPr>
          <w:rFonts w:hint="eastAsia" w:ascii="宋体" w:hAnsi="宋体"/>
          <w:szCs w:val="21"/>
          <w:highlight w:val="none"/>
        </w:rPr>
        <w:t>；</w:t>
      </w:r>
    </w:p>
    <w:p w14:paraId="748E2623">
      <w:pPr>
        <w:pageBreakBefore w:val="0"/>
        <w:kinsoku/>
        <w:overflowPunct/>
        <w:topLinePunct w:val="0"/>
        <w:bidi w:val="0"/>
        <w:spacing w:line="360" w:lineRule="auto"/>
        <w:ind w:firstLine="840" w:firstLineChars="400"/>
        <w:jc w:val="left"/>
        <w:rPr>
          <w:rFonts w:ascii="宋体" w:hAnsi="宋体" w:cs="宋体"/>
          <w:szCs w:val="21"/>
          <w:highlight w:val="none"/>
        </w:rPr>
      </w:pPr>
      <w:r>
        <w:rPr>
          <w:rFonts w:hint="eastAsia" w:ascii="宋体" w:hAnsi="宋体"/>
          <w:szCs w:val="21"/>
          <w:highlight w:val="none"/>
        </w:rPr>
        <w:t>联系人及联系方式：</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rPr>
        <w:t>。</w:t>
      </w:r>
      <w:bookmarkEnd w:id="39"/>
    </w:p>
    <w:p w14:paraId="2794F5F3">
      <w:pPr>
        <w:pageBreakBefore w:val="0"/>
        <w:kinsoku/>
        <w:overflowPunct/>
        <w:topLinePunct w:val="0"/>
        <w:bidi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1.1.2.</w:t>
      </w:r>
      <w:r>
        <w:rPr>
          <w:rFonts w:hint="eastAsia" w:ascii="宋体" w:hAnsi="宋体" w:cs="宋体"/>
          <w:szCs w:val="21"/>
          <w:highlight w:val="none"/>
          <w:lang w:val="en-US" w:eastAsia="zh-CN"/>
        </w:rPr>
        <w:t>4</w:t>
      </w:r>
      <w:r>
        <w:rPr>
          <w:rFonts w:hint="eastAsia" w:ascii="宋体" w:hAnsi="宋体" w:cs="宋体"/>
          <w:szCs w:val="21"/>
          <w:highlight w:val="none"/>
        </w:rPr>
        <w:t xml:space="preserve"> 监理人：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(填入监理人名称)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5B1852A6">
      <w:pPr>
        <w:pageBreakBefore w:val="0"/>
        <w:kinsoku/>
        <w:overflowPunct/>
        <w:topLinePunct w:val="0"/>
        <w:bidi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3330FE91">
      <w:pPr>
        <w:pageBreakBefore w:val="0"/>
        <w:kinsoku/>
        <w:overflowPunct/>
        <w:topLinePunct w:val="0"/>
        <w:bidi w:val="0"/>
        <w:spacing w:line="360" w:lineRule="auto"/>
        <w:ind w:firstLine="840" w:firstLineChars="400"/>
        <w:rPr>
          <w:rFonts w:hint="eastAsia" w:ascii="宋体" w:hAnsi="宋体" w:cs="宋体"/>
          <w:szCs w:val="21"/>
          <w:highlight w:val="none"/>
          <w:u w:val="none"/>
        </w:rPr>
      </w:pPr>
      <w:r>
        <w:rPr>
          <w:rFonts w:hint="eastAsia" w:ascii="宋体" w:hAnsi="宋体" w:cs="宋体"/>
          <w:szCs w:val="21"/>
          <w:highlight w:val="none"/>
        </w:rPr>
        <w:t>联系人及联系方式：</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w:t>
      </w:r>
    </w:p>
    <w:p w14:paraId="3BFE2C57">
      <w:pPr>
        <w:pageBreakBefore w:val="0"/>
        <w:kinsoku/>
        <w:overflowPunct/>
        <w:topLinePunct w:val="0"/>
        <w:bidi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日期</w:t>
      </w:r>
      <w:bookmarkEnd w:id="38"/>
    </w:p>
    <w:p w14:paraId="276B1A24">
      <w:pPr>
        <w:pageBreakBefore w:val="0"/>
        <w:kinsoku/>
        <w:overflowPunct/>
        <w:topLinePunct w:val="0"/>
        <w:bidi w:val="0"/>
        <w:spacing w:line="360" w:lineRule="auto"/>
        <w:ind w:firstLine="420" w:firstLineChars="200"/>
        <w:rPr>
          <w:rFonts w:ascii="宋体" w:hAnsi="宋体" w:cs="宋体"/>
          <w:szCs w:val="21"/>
          <w:highlight w:val="none"/>
        </w:rPr>
      </w:pPr>
      <w:bookmarkStart w:id="40" w:name="_Toc221951126"/>
      <w:r>
        <w:rPr>
          <w:rFonts w:hint="eastAsia" w:ascii="宋体" w:hAnsi="宋体" w:cs="宋体"/>
          <w:szCs w:val="21"/>
          <w:highlight w:val="none"/>
        </w:rPr>
        <w:t>1.1.4.5  缺陷责任期：</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24个月     </w:t>
      </w:r>
      <w:r>
        <w:rPr>
          <w:rFonts w:hint="eastAsia" w:ascii="宋体" w:hAnsi="宋体" w:cs="宋体"/>
          <w:szCs w:val="21"/>
          <w:highlight w:val="none"/>
        </w:rPr>
        <w:t>。</w:t>
      </w:r>
      <w:bookmarkEnd w:id="40"/>
    </w:p>
    <w:p w14:paraId="3182394A">
      <w:pPr>
        <w:pageBreakBefore w:val="0"/>
        <w:kinsoku/>
        <w:overflowPunct/>
        <w:topLinePunct w:val="0"/>
        <w:bidi w:val="0"/>
        <w:spacing w:line="360" w:lineRule="auto"/>
        <w:ind w:firstLine="840" w:firstLineChars="400"/>
        <w:rPr>
          <w:rFonts w:ascii="宋体" w:hAnsi="宋体" w:cs="宋体"/>
          <w:szCs w:val="21"/>
          <w:highlight w:val="none"/>
        </w:rPr>
      </w:pPr>
      <w:r>
        <w:rPr>
          <w:rFonts w:hint="eastAsia" w:ascii="宋体" w:hAnsi="宋体" w:cs="宋体"/>
          <w:szCs w:val="21"/>
          <w:highlight w:val="none"/>
        </w:rPr>
        <w:t>工程质量保修期：</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24个月    </w:t>
      </w:r>
      <w:r>
        <w:rPr>
          <w:rFonts w:hint="eastAsia" w:ascii="宋体" w:hAnsi="宋体" w:cs="宋体"/>
          <w:szCs w:val="21"/>
          <w:highlight w:val="none"/>
        </w:rPr>
        <w:t>。</w:t>
      </w:r>
    </w:p>
    <w:p w14:paraId="46B75BA6">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41" w:name="_Toc33183709"/>
      <w:bookmarkStart w:id="42" w:name="_Toc221951127"/>
      <w:r>
        <w:rPr>
          <w:rFonts w:hint="eastAsia" w:ascii="宋体" w:hAnsi="宋体" w:cs="宋体"/>
          <w:szCs w:val="21"/>
          <w:highlight w:val="none"/>
        </w:rPr>
        <w:t>1.4  合同文件的优先顺序</w:t>
      </w:r>
      <w:bookmarkEnd w:id="41"/>
      <w:bookmarkEnd w:id="42"/>
    </w:p>
    <w:p w14:paraId="0B321196">
      <w:pPr>
        <w:pageBreakBefore w:val="0"/>
        <w:kinsoku/>
        <w:overflowPunct/>
        <w:topLinePunct w:val="0"/>
        <w:bidi w:val="0"/>
        <w:spacing w:line="360" w:lineRule="auto"/>
        <w:ind w:firstLine="420" w:firstLineChars="200"/>
        <w:jc w:val="left"/>
        <w:rPr>
          <w:rFonts w:ascii="宋体" w:hAnsi="宋体"/>
          <w:szCs w:val="21"/>
          <w:highlight w:val="none"/>
        </w:rPr>
      </w:pPr>
      <w:bookmarkStart w:id="43" w:name="_Toc221951128"/>
      <w:r>
        <w:rPr>
          <w:rFonts w:hint="eastAsia" w:ascii="宋体" w:hAnsi="宋体"/>
          <w:szCs w:val="21"/>
          <w:highlight w:val="none"/>
        </w:rPr>
        <w:t>合同文件组成及优先顺序为：</w:t>
      </w:r>
      <w:r>
        <w:rPr>
          <w:rFonts w:hint="eastAsia" w:ascii="宋体" w:hAnsi="宋体"/>
          <w:szCs w:val="21"/>
          <w:highlight w:val="none"/>
          <w:u w:val="single"/>
        </w:rPr>
        <w:t>按照合同协议书</w:t>
      </w:r>
      <w:r>
        <w:rPr>
          <w:rFonts w:hint="eastAsia" w:ascii="宋体" w:hAnsi="宋体"/>
          <w:bCs/>
          <w:szCs w:val="21"/>
          <w:highlight w:val="none"/>
          <w:u w:val="single"/>
        </w:rPr>
        <w:t>〔</w:t>
      </w:r>
      <w:r>
        <w:rPr>
          <w:rFonts w:hint="eastAsia" w:ascii="宋体" w:hAnsi="宋体"/>
          <w:szCs w:val="21"/>
          <w:highlight w:val="none"/>
          <w:u w:val="single"/>
        </w:rPr>
        <w:t>第六条</w:t>
      </w:r>
      <w:r>
        <w:rPr>
          <w:rFonts w:hint="eastAsia" w:ascii="宋体" w:hAnsi="宋体"/>
          <w:bCs/>
          <w:szCs w:val="21"/>
          <w:highlight w:val="none"/>
          <w:u w:val="single"/>
        </w:rPr>
        <w:t>〕</w:t>
      </w:r>
      <w:r>
        <w:rPr>
          <w:rFonts w:hint="eastAsia" w:ascii="宋体" w:hAnsi="宋体"/>
          <w:szCs w:val="21"/>
          <w:highlight w:val="none"/>
          <w:u w:val="single"/>
        </w:rPr>
        <w:t>列明的文件顺序执行</w:t>
      </w:r>
      <w:r>
        <w:rPr>
          <w:rFonts w:hint="eastAsia" w:ascii="宋体" w:hAnsi="宋体"/>
          <w:szCs w:val="21"/>
          <w:highlight w:val="none"/>
        </w:rPr>
        <w:t>。</w:t>
      </w:r>
    </w:p>
    <w:bookmarkEnd w:id="43"/>
    <w:p w14:paraId="009D84F6">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44" w:name="_Toc33183710"/>
      <w:r>
        <w:rPr>
          <w:rFonts w:hint="eastAsia" w:ascii="宋体" w:hAnsi="宋体" w:cs="宋体"/>
          <w:szCs w:val="21"/>
          <w:highlight w:val="none"/>
        </w:rPr>
        <w:t>1.6 图纸和承包人文件</w:t>
      </w:r>
      <w:bookmarkEnd w:id="44"/>
    </w:p>
    <w:p w14:paraId="239EEC3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1.6.1 图纸的提供</w:t>
      </w:r>
    </w:p>
    <w:p w14:paraId="7086B9BC">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发包人向承包人提供图纸的期限：</w:t>
      </w:r>
      <w:r>
        <w:rPr>
          <w:rFonts w:hint="eastAsia" w:ascii="宋体" w:hAnsi="宋体" w:cs="宋体"/>
          <w:kern w:val="0"/>
          <w:szCs w:val="21"/>
          <w:highlight w:val="none"/>
          <w:u w:val="single"/>
        </w:rPr>
        <w:t>通用合同条款第11.1款〔开工通知〕载明的开工日期前   天</w:t>
      </w:r>
      <w:r>
        <w:rPr>
          <w:rFonts w:hint="eastAsia" w:ascii="宋体" w:hAnsi="宋体" w:cs="宋体"/>
          <w:kern w:val="0"/>
          <w:szCs w:val="21"/>
          <w:highlight w:val="none"/>
        </w:rPr>
        <w:t>；</w:t>
      </w:r>
    </w:p>
    <w:p w14:paraId="79470373">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发包人向承包人提供图纸的数量：</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1</w:t>
      </w:r>
      <w:r>
        <w:rPr>
          <w:rFonts w:hint="eastAsia" w:ascii="宋体" w:hAnsi="宋体" w:cs="宋体"/>
          <w:kern w:val="0"/>
          <w:szCs w:val="21"/>
          <w:highlight w:val="none"/>
          <w:u w:val="single"/>
        </w:rPr>
        <w:t>套</w:t>
      </w:r>
      <w:r>
        <w:rPr>
          <w:rFonts w:hint="eastAsia" w:ascii="宋体" w:hAnsi="宋体" w:cs="宋体"/>
          <w:kern w:val="0"/>
          <w:szCs w:val="21"/>
          <w:highlight w:val="none"/>
        </w:rPr>
        <w:t>；</w:t>
      </w:r>
    </w:p>
    <w:p w14:paraId="1AD8D7BD">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发包人向承包人提供图纸的内容：</w:t>
      </w:r>
      <w:r>
        <w:rPr>
          <w:rFonts w:hint="eastAsia" w:ascii="宋体" w:hAnsi="宋体" w:cs="宋体"/>
          <w:kern w:val="0"/>
          <w:szCs w:val="21"/>
          <w:highlight w:val="none"/>
          <w:u w:val="single"/>
        </w:rPr>
        <w:t>工程承包范围内满足工程进度要求的设计文件</w:t>
      </w:r>
      <w:r>
        <w:rPr>
          <w:rFonts w:hint="eastAsia" w:ascii="宋体" w:hAnsi="宋体" w:cs="宋体"/>
          <w:kern w:val="0"/>
          <w:szCs w:val="21"/>
          <w:highlight w:val="none"/>
        </w:rPr>
        <w:t>；</w:t>
      </w:r>
    </w:p>
    <w:p w14:paraId="3C2FCC6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发包人组织承包人、监理人和设计人进行图纸会审和设计交底、安全交底的时间：</w:t>
      </w:r>
      <w:r>
        <w:rPr>
          <w:rFonts w:hint="eastAsia" w:ascii="宋体" w:hAnsi="宋体" w:cs="宋体"/>
          <w:kern w:val="0"/>
          <w:szCs w:val="21"/>
          <w:highlight w:val="none"/>
          <w:u w:val="single"/>
        </w:rPr>
        <w:t>提供满足工程进度要求的设计文件后 3 天内</w:t>
      </w:r>
      <w:r>
        <w:rPr>
          <w:rFonts w:hint="eastAsia" w:ascii="宋体" w:hAnsi="宋体" w:cs="宋体"/>
          <w:kern w:val="0"/>
          <w:szCs w:val="21"/>
          <w:highlight w:val="none"/>
        </w:rPr>
        <w:t>。</w:t>
      </w:r>
      <w:r>
        <w:rPr>
          <w:rFonts w:hint="eastAsia" w:ascii="宋体" w:hAnsi="宋体" w:cs="宋体"/>
          <w:kern w:val="0"/>
          <w:szCs w:val="21"/>
          <w:highlight w:val="none"/>
          <w:u w:val="single"/>
        </w:rPr>
        <w:t>承包人可以书面方式通过监理人向发包人申请进行紧急的设计交底，发包人认为确有必要且条件许可时，应尽快组织实施承包人申请的设计交底</w:t>
      </w:r>
      <w:r>
        <w:rPr>
          <w:rFonts w:hint="eastAsia" w:ascii="宋体" w:hAnsi="宋体" w:cs="宋体"/>
          <w:kern w:val="0"/>
          <w:szCs w:val="21"/>
          <w:highlight w:val="none"/>
        </w:rPr>
        <w:t>。</w:t>
      </w:r>
    </w:p>
    <w:p w14:paraId="0E9C541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1.6.2 承包人提供的文件</w:t>
      </w:r>
    </w:p>
    <w:p w14:paraId="53E94F00">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承包人提供文件的数量：</w:t>
      </w:r>
      <w:r>
        <w:rPr>
          <w:rFonts w:hint="eastAsia" w:ascii="宋体" w:hAnsi="宋体" w:cs="宋体"/>
          <w:kern w:val="0"/>
          <w:szCs w:val="21"/>
          <w:highlight w:val="none"/>
          <w:u w:val="single"/>
        </w:rPr>
        <w:t xml:space="preserve"> 四套 </w:t>
      </w:r>
      <w:r>
        <w:rPr>
          <w:rFonts w:hint="eastAsia" w:ascii="宋体" w:hAnsi="宋体" w:cs="宋体"/>
          <w:kern w:val="0"/>
          <w:szCs w:val="21"/>
          <w:highlight w:val="none"/>
        </w:rPr>
        <w:t>。需要由承包人提供的书面文件，包括但不限于：</w:t>
      </w:r>
      <w:r>
        <w:rPr>
          <w:rFonts w:hint="eastAsia" w:ascii="宋体" w:hAnsi="宋体" w:cs="宋体"/>
          <w:kern w:val="0"/>
          <w:szCs w:val="21"/>
          <w:highlight w:val="none"/>
          <w:u w:val="single"/>
        </w:rPr>
        <w:t>施工组织设计、专项施工方案、危险性较大的单项工程（如有）、安全应急方案、进度计划、报表及计划、合同工程完工资料（或工程竣工资料）及施工过程中因工程变更需要报送的施工方案、施工过程中涉及工程价款变更的相关资料、完整的完工结算资料等</w:t>
      </w:r>
      <w:r>
        <w:rPr>
          <w:rFonts w:hint="eastAsia" w:ascii="宋体" w:hAnsi="宋体" w:cs="宋体"/>
          <w:kern w:val="0"/>
          <w:szCs w:val="21"/>
          <w:highlight w:val="none"/>
        </w:rPr>
        <w:t>。</w:t>
      </w:r>
    </w:p>
    <w:p w14:paraId="0A3BB54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承包人提供文件的期限：</w:t>
      </w:r>
    </w:p>
    <w:p w14:paraId="2CBA5F6F">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方案应在专项方案实施7日前通过审查（含专家论证）。施工组织设计和专项方案经监理人审批同意后执行。承包人应接受监理人、发包人对其提交的施工组织设计和专项方案中不合理的工期安排及技术措施、方案的修改意见，并修改完善后重新报批，直至获得批准</w:t>
      </w:r>
      <w:r>
        <w:rPr>
          <w:rFonts w:hint="eastAsia" w:ascii="宋体" w:hAnsi="宋体" w:cs="宋体"/>
          <w:kern w:val="0"/>
          <w:szCs w:val="21"/>
          <w:highlight w:val="none"/>
        </w:rPr>
        <w:t>。</w:t>
      </w:r>
    </w:p>
    <w:p w14:paraId="6A465D91">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u w:val="single"/>
        </w:rPr>
        <w:t>每月 20日前报送上月工程进度完成报表</w:t>
      </w:r>
      <w:r>
        <w:rPr>
          <w:rFonts w:hint="eastAsia" w:ascii="宋体" w:hAnsi="宋体" w:cs="宋体"/>
          <w:kern w:val="0"/>
          <w:szCs w:val="21"/>
          <w:highlight w:val="none"/>
        </w:rPr>
        <w:t>。</w:t>
      </w:r>
    </w:p>
    <w:p w14:paraId="25AF02BA">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kern w:val="0"/>
          <w:szCs w:val="21"/>
          <w:highlight w:val="none"/>
          <w:u w:val="single"/>
        </w:rPr>
        <w:t>合同另有约定的,按照其约定</w:t>
      </w:r>
      <w:r>
        <w:rPr>
          <w:rFonts w:hint="eastAsia" w:ascii="宋体" w:hAnsi="宋体" w:cs="宋体"/>
          <w:kern w:val="0"/>
          <w:szCs w:val="21"/>
          <w:highlight w:val="none"/>
        </w:rPr>
        <w:t>。</w:t>
      </w:r>
    </w:p>
    <w:p w14:paraId="786FC8BE">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承包人提供的文件的形式：</w:t>
      </w:r>
      <w:r>
        <w:rPr>
          <w:rFonts w:hint="eastAsia" w:ascii="宋体" w:hAnsi="宋体" w:cs="宋体"/>
          <w:kern w:val="0"/>
          <w:szCs w:val="21"/>
          <w:highlight w:val="none"/>
          <w:u w:val="single"/>
        </w:rPr>
        <w:t xml:space="preserve">  书面提供  </w:t>
      </w:r>
      <w:r>
        <w:rPr>
          <w:rFonts w:hint="eastAsia" w:ascii="宋体" w:hAnsi="宋体" w:cs="宋体"/>
          <w:kern w:val="0"/>
          <w:szCs w:val="21"/>
          <w:highlight w:val="none"/>
        </w:rPr>
        <w:t>。</w:t>
      </w:r>
      <w:r>
        <w:rPr>
          <w:rFonts w:hint="eastAsia" w:ascii="宋体" w:hAnsi="宋体"/>
          <w:szCs w:val="21"/>
          <w:highlight w:val="none"/>
        </w:rPr>
        <w:t>监理人审批承包人文件的期限：</w:t>
      </w:r>
      <w:r>
        <w:rPr>
          <w:rFonts w:hint="eastAsia" w:ascii="宋体" w:hAnsi="宋体"/>
          <w:szCs w:val="21"/>
          <w:highlight w:val="none"/>
          <w:u w:val="single"/>
        </w:rPr>
        <w:t>收到施工组织设计和工程总体进度计划及当年年度施工进度计划后7天内；合同另有约定的，从其约定</w:t>
      </w:r>
      <w:r>
        <w:rPr>
          <w:rFonts w:hint="eastAsia" w:ascii="宋体" w:hAnsi="宋体"/>
          <w:szCs w:val="21"/>
          <w:highlight w:val="none"/>
        </w:rPr>
        <w:t>。</w:t>
      </w:r>
    </w:p>
    <w:p w14:paraId="41D50F2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承包人提供的文件的费用：</w:t>
      </w:r>
      <w:r>
        <w:rPr>
          <w:rFonts w:hint="eastAsia" w:ascii="宋体" w:hAnsi="宋体" w:cs="宋体"/>
          <w:kern w:val="0"/>
          <w:szCs w:val="21"/>
          <w:highlight w:val="none"/>
          <w:u w:val="single"/>
        </w:rPr>
        <w:t>由承包人承担</w:t>
      </w:r>
      <w:r>
        <w:rPr>
          <w:rFonts w:hint="eastAsia" w:ascii="宋体" w:hAnsi="宋体" w:cs="宋体"/>
          <w:kern w:val="0"/>
          <w:szCs w:val="21"/>
          <w:highlight w:val="none"/>
        </w:rPr>
        <w:t>。</w:t>
      </w:r>
    </w:p>
    <w:p w14:paraId="6303AF3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发包人审批承包人文件的期限：</w:t>
      </w:r>
      <w:r>
        <w:rPr>
          <w:rFonts w:hint="eastAsia" w:ascii="宋体" w:hAnsi="宋体" w:cs="宋体"/>
          <w:kern w:val="0"/>
          <w:szCs w:val="21"/>
          <w:highlight w:val="none"/>
          <w:u w:val="single"/>
        </w:rPr>
        <w:t>收到后14天内；合同另有约定的，从其约定</w:t>
      </w:r>
      <w:r>
        <w:rPr>
          <w:rFonts w:hint="eastAsia" w:ascii="宋体" w:hAnsi="宋体" w:cs="宋体"/>
          <w:kern w:val="0"/>
          <w:szCs w:val="21"/>
          <w:highlight w:val="none"/>
        </w:rPr>
        <w:t>。</w:t>
      </w:r>
    </w:p>
    <w:p w14:paraId="371D3888">
      <w:pPr>
        <w:pageBreakBefore w:val="0"/>
        <w:kinsoku/>
        <w:overflowPunct/>
        <w:topLinePunct w:val="0"/>
        <w:bidi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监理人、发包人的修改意见和审批，不免除或减轻承包人对该工作、工程、材料、工程设备等应承担的责任和义务。</w:t>
      </w:r>
    </w:p>
    <w:p w14:paraId="792DCD8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1.6.4 图纸的错误</w:t>
      </w:r>
    </w:p>
    <w:p w14:paraId="06FFA9D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4F80E28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承包人不得利用图纸的差错、遗漏或缺陷，从中获得不正当的利益。</w:t>
      </w:r>
    </w:p>
    <w:p w14:paraId="1B5EFB16">
      <w:pPr>
        <w:pStyle w:val="2"/>
        <w:pageBreakBefore w:val="0"/>
        <w:kinsoku/>
        <w:overflowPunct/>
        <w:topLinePunct w:val="0"/>
        <w:bidi w:val="0"/>
        <w:spacing w:line="360" w:lineRule="auto"/>
        <w:ind w:firstLine="420" w:firstLineChars="200"/>
        <w:rPr>
          <w:rFonts w:ascii="宋体" w:hAnsi="宋体" w:cs="宋体"/>
          <w:szCs w:val="21"/>
          <w:highlight w:val="none"/>
        </w:rPr>
      </w:pPr>
      <w:bookmarkStart w:id="45" w:name="_Toc221951129"/>
      <w:r>
        <w:rPr>
          <w:rFonts w:hint="eastAsia" w:ascii="宋体" w:hAnsi="宋体" w:cs="宋体"/>
          <w:szCs w:val="21"/>
          <w:highlight w:val="none"/>
        </w:rPr>
        <w:t>1.7  联络</w:t>
      </w:r>
      <w:bookmarkEnd w:id="45"/>
    </w:p>
    <w:p w14:paraId="12EE2935">
      <w:pPr>
        <w:pageBreakBefore w:val="0"/>
        <w:kinsoku/>
        <w:overflowPunct/>
        <w:topLinePunct w:val="0"/>
        <w:bidi w:val="0"/>
        <w:snapToGrid w:val="0"/>
        <w:spacing w:line="360" w:lineRule="auto"/>
        <w:ind w:firstLine="420" w:firstLineChars="200"/>
        <w:rPr>
          <w:rFonts w:ascii="宋体" w:hAnsi="宋体" w:cs="宋体"/>
          <w:kern w:val="0"/>
          <w:szCs w:val="21"/>
          <w:highlight w:val="none"/>
        </w:rPr>
      </w:pPr>
      <w:bookmarkStart w:id="46" w:name="_Toc221951130"/>
      <w:r>
        <w:rPr>
          <w:rFonts w:hint="eastAsia" w:ascii="宋体" w:hAnsi="宋体" w:cs="宋体"/>
          <w:kern w:val="0"/>
          <w:szCs w:val="21"/>
          <w:highlight w:val="none"/>
        </w:rPr>
        <w:t>1.7.1 发包人和承包人应当在</w:t>
      </w:r>
      <w:r>
        <w:rPr>
          <w:rFonts w:hint="eastAsia" w:ascii="宋体" w:hAnsi="宋体" w:cs="宋体"/>
          <w:kern w:val="0"/>
          <w:szCs w:val="21"/>
          <w:highlight w:val="none"/>
          <w:u w:val="single"/>
        </w:rPr>
        <w:t>1</w:t>
      </w:r>
      <w:r>
        <w:rPr>
          <w:rFonts w:hint="eastAsia" w:ascii="宋体" w:hAnsi="宋体" w:cs="宋体"/>
          <w:kern w:val="0"/>
          <w:szCs w:val="21"/>
          <w:highlight w:val="none"/>
        </w:rPr>
        <w:t>天内将与合同有关的通知、批准、证明、证书、指示、指令、要求、请求、同意、意见、确定和决定等书面函件送达对方当事人，并办理书面签收手续。</w:t>
      </w:r>
    </w:p>
    <w:bookmarkEnd w:id="46"/>
    <w:p w14:paraId="167862F5">
      <w:pPr>
        <w:pageBreakBefore w:val="0"/>
        <w:tabs>
          <w:tab w:val="left" w:pos="7513"/>
        </w:tabs>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kern w:val="0"/>
          <w:szCs w:val="21"/>
          <w:highlight w:val="none"/>
        </w:rPr>
        <w:t>1.7.2 发包人接收文件的地点:</w:t>
      </w:r>
      <w:r>
        <w:rPr>
          <w:rFonts w:hint="eastAsia" w:ascii="宋体" w:hAnsi="宋体" w:cs="宋体"/>
          <w:color w:val="auto"/>
          <w:kern w:val="0"/>
          <w:szCs w:val="21"/>
          <w:u w:val="single"/>
          <w:lang w:eastAsia="zh-CN"/>
        </w:rPr>
        <w:t>重庆市南川区西城街道金安大厦</w:t>
      </w:r>
      <w:r>
        <w:rPr>
          <w:rFonts w:hint="eastAsia" w:ascii="宋体" w:hAnsi="宋体" w:cs="宋体"/>
          <w:color w:val="auto"/>
          <w:kern w:val="0"/>
          <w:szCs w:val="21"/>
          <w:u w:val="single"/>
          <w:lang w:val="en-US" w:eastAsia="zh-CN"/>
        </w:rPr>
        <w:t>B栋13楼工程部</w:t>
      </w:r>
      <w:r>
        <w:rPr>
          <w:rFonts w:hint="eastAsia" w:ascii="宋体" w:hAnsi="宋体" w:cs="宋体"/>
          <w:color w:val="auto"/>
          <w:kern w:val="0"/>
          <w:szCs w:val="21"/>
          <w:highlight w:val="none"/>
        </w:rPr>
        <w:t>；</w:t>
      </w:r>
    </w:p>
    <w:p w14:paraId="383696B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ascii="宋体" w:hAnsi="宋体"/>
          <w:kern w:val="0"/>
          <w:szCs w:val="21"/>
          <w:u w:val="single"/>
        </w:rPr>
        <w:t xml:space="preserve"> </w:t>
      </w:r>
      <w:r>
        <w:rPr>
          <w:rFonts w:hint="eastAsia" w:ascii="宋体" w:hAnsi="宋体" w:cs="宋体"/>
          <w:color w:val="auto"/>
          <w:kern w:val="0"/>
          <w:szCs w:val="21"/>
          <w:u w:val="single"/>
          <w:lang w:eastAsia="zh-CN"/>
        </w:rPr>
        <w:t>黄小凤</w:t>
      </w:r>
      <w:r>
        <w:rPr>
          <w:rFonts w:hint="eastAsia" w:ascii="宋体" w:hAnsi="宋体" w:cs="宋体"/>
          <w:color w:val="auto"/>
          <w:kern w:val="0"/>
          <w:szCs w:val="21"/>
          <w:u w:val="single"/>
          <w:lang w:val="en-US" w:eastAsia="zh-CN"/>
        </w:rPr>
        <w:t xml:space="preserve">  18623077345</w:t>
      </w:r>
      <w:r>
        <w:rPr>
          <w:rFonts w:ascii="宋体" w:hAnsi="宋体"/>
          <w:kern w:val="0"/>
          <w:szCs w:val="21"/>
          <w:u w:val="single"/>
        </w:rPr>
        <w:t xml:space="preserve"> </w:t>
      </w:r>
      <w:r>
        <w:rPr>
          <w:rFonts w:hint="eastAsia" w:ascii="宋体" w:hAnsi="宋体" w:cs="宋体"/>
          <w:color w:val="auto"/>
          <w:kern w:val="0"/>
          <w:szCs w:val="21"/>
          <w:highlight w:val="none"/>
        </w:rPr>
        <w:t>；</w:t>
      </w:r>
    </w:p>
    <w:p w14:paraId="4A4EF662">
      <w:pPr>
        <w:pageBreakBefore w:val="0"/>
        <w:tabs>
          <w:tab w:val="left" w:pos="7513"/>
        </w:tabs>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承包人接收文件的地点:</w:t>
      </w:r>
      <w:r>
        <w:rPr>
          <w:rFonts w:hint="eastAsia" w:ascii="宋体" w:hAnsi="宋体" w:cs="宋体"/>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EE2297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承包人指定的接收人为：</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6F3C0EED">
      <w:pPr>
        <w:pageBreakBefore w:val="0"/>
        <w:tabs>
          <w:tab w:val="left" w:pos="7371"/>
        </w:tabs>
        <w:kinsoku/>
        <w:overflowPunct/>
        <w:topLinePunct w:val="0"/>
        <w:bidi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监理人接收文件的地点：</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4CB938C5">
      <w:pPr>
        <w:pageBreakBefore w:val="0"/>
        <w:tabs>
          <w:tab w:val="left" w:pos="7371"/>
        </w:tabs>
        <w:kinsoku/>
        <w:overflowPunct/>
        <w:topLinePunct w:val="0"/>
        <w:bidi w:val="0"/>
        <w:snapToGrid w:val="0"/>
        <w:spacing w:line="360" w:lineRule="auto"/>
        <w:ind w:firstLine="420" w:firstLineChars="200"/>
        <w:rPr>
          <w:rFonts w:hint="default" w:ascii="宋体" w:hAnsi="宋体" w:eastAsia="宋体" w:cs="宋体"/>
          <w:szCs w:val="21"/>
          <w:highlight w:val="none"/>
          <w:u w:val="none"/>
          <w:lang w:val="en-US" w:eastAsia="zh-CN"/>
        </w:rPr>
      </w:pPr>
      <w:r>
        <w:rPr>
          <w:rFonts w:hint="eastAsia" w:ascii="宋体" w:hAnsi="宋体" w:cs="宋体"/>
          <w:kern w:val="0"/>
          <w:szCs w:val="21"/>
          <w:highlight w:val="none"/>
        </w:rPr>
        <w:t>监理人指定的接收人为：</w:t>
      </w:r>
      <w:r>
        <w:rPr>
          <w:rFonts w:hint="eastAsia" w:ascii="宋体" w:hAnsi="宋体" w:cs="宋体"/>
          <w:kern w:val="0"/>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w:t>
      </w:r>
    </w:p>
    <w:p w14:paraId="5A2C2485">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1.9 严禁贿赂</w:t>
      </w:r>
    </w:p>
    <w:p w14:paraId="5657B13C">
      <w:pPr>
        <w:pageBreakBefore w:val="0"/>
        <w:kinsoku/>
        <w:overflowPunct/>
        <w:topLinePunct w:val="0"/>
        <w:bidi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本款补充如下：</w:t>
      </w:r>
    </w:p>
    <w:p w14:paraId="1F6903D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在合同执行过程中，发包人和承包人应严格履行附件7《重庆市水利工程建设廉政合同》。</w:t>
      </w:r>
    </w:p>
    <w:p w14:paraId="57E721D7">
      <w:pPr>
        <w:pageBreakBefore w:val="0"/>
        <w:kinsoku/>
        <w:overflowPunct/>
        <w:topLinePunct w:val="0"/>
        <w:bidi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本条补充1.13、1.14款如下：</w:t>
      </w:r>
    </w:p>
    <w:p w14:paraId="108D1F8C">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1.13 知识产权</w:t>
      </w:r>
    </w:p>
    <w:p w14:paraId="7A558BC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1.13.1 关于发包人提供给承包人的图纸、发包人为实施工程自行编制或委托编制的技术规范以及反映发包人关于合同要求或其他类似性质的文件的著作权的归属：</w:t>
      </w:r>
      <w:r>
        <w:rPr>
          <w:rFonts w:hint="eastAsia" w:ascii="宋体" w:hAnsi="宋体" w:cs="宋体"/>
          <w:kern w:val="0"/>
          <w:szCs w:val="21"/>
          <w:highlight w:val="none"/>
          <w:u w:val="single"/>
        </w:rPr>
        <w:t>属于发包人。</w:t>
      </w:r>
    </w:p>
    <w:p w14:paraId="5FE4632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关于发包人提供的上述文件的使用限制的要求：</w:t>
      </w:r>
      <w:r>
        <w:rPr>
          <w:rFonts w:hint="eastAsia" w:ascii="宋体" w:hAnsi="宋体" w:cs="宋体"/>
          <w:kern w:val="0"/>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6435A04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1.13.2 承包人为实施工程所编制的文件，除署名权以外的著作权属于发包人，承包人可因实施工程的运行、调试、维修、改造等目的而复制、使用此类文件，但不能用于与合同无关的其他事项。</w:t>
      </w:r>
    </w:p>
    <w:p w14:paraId="422179F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1.13.3 合同当事人保证在履行合同过程中不侵犯对方及第三方的知识产权。</w:t>
      </w:r>
    </w:p>
    <w:p w14:paraId="25D78343">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47" w:name="_Toc532377330"/>
      <w:r>
        <w:rPr>
          <w:rFonts w:hint="eastAsia" w:ascii="宋体" w:hAnsi="宋体" w:cs="宋体"/>
          <w:szCs w:val="21"/>
          <w:highlight w:val="none"/>
        </w:rPr>
        <w:t>1.14工程量清单错误的修正</w:t>
      </w:r>
      <w:bookmarkEnd w:id="47"/>
    </w:p>
    <w:p w14:paraId="372C380B">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出现工程量清单错误时，责任和权利划分：</w:t>
      </w:r>
      <w:r>
        <w:rPr>
          <w:rFonts w:hint="eastAsia" w:ascii="宋体" w:hAnsi="宋体"/>
          <w:szCs w:val="21"/>
          <w:highlight w:val="none"/>
          <w:u w:val="single"/>
        </w:rPr>
        <w:t xml:space="preserve"> 由承包人承担   </w:t>
      </w:r>
      <w:r>
        <w:rPr>
          <w:rFonts w:hint="eastAsia" w:ascii="宋体" w:hAnsi="宋体"/>
          <w:szCs w:val="21"/>
          <w:highlight w:val="none"/>
        </w:rPr>
        <w:t>。</w:t>
      </w:r>
    </w:p>
    <w:p w14:paraId="613A5A92">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出现工程量清单错误时，是否调整合同价格：</w:t>
      </w:r>
      <w:r>
        <w:rPr>
          <w:rFonts w:hint="eastAsia" w:ascii="宋体" w:hAnsi="宋体"/>
          <w:szCs w:val="21"/>
          <w:highlight w:val="none"/>
          <w:u w:val="single"/>
        </w:rPr>
        <w:t xml:space="preserve">  除相关部门审批同意的设计变更外，施工方按照施工图纸及实际工程量施工，不作增加投资的内容；施工图有设计的，但清单漏项、少量的建设内容，必须按图施工，不作增加投资的内容      </w:t>
      </w:r>
      <w:r>
        <w:rPr>
          <w:rFonts w:hint="eastAsia" w:ascii="宋体" w:hAnsi="宋体"/>
          <w:kern w:val="0"/>
          <w:szCs w:val="21"/>
          <w:highlight w:val="none"/>
        </w:rPr>
        <w:t>。</w:t>
      </w:r>
    </w:p>
    <w:p w14:paraId="56DDF667">
      <w:pPr>
        <w:pageBreakBefore w:val="0"/>
        <w:kinsoku/>
        <w:overflowPunct/>
        <w:topLinePunct w:val="0"/>
        <w:bidi w:val="0"/>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 xml:space="preserve">允许调整合同价格的工程量偏差范围： </w:t>
      </w:r>
      <w:r>
        <w:rPr>
          <w:rFonts w:hint="eastAsia" w:ascii="宋体" w:hAnsi="宋体" w:eastAsia="宋体"/>
          <w:szCs w:val="21"/>
          <w:highlight w:val="none"/>
          <w:lang w:eastAsia="zh-CN"/>
        </w:rPr>
        <w:t>不调整</w:t>
      </w:r>
      <w:r>
        <w:rPr>
          <w:rFonts w:hint="eastAsia" w:ascii="宋体" w:hAnsi="宋体" w:eastAsia="宋体"/>
          <w:szCs w:val="21"/>
          <w:highlight w:val="none"/>
        </w:rPr>
        <w:t xml:space="preserve"> 。</w:t>
      </w:r>
    </w:p>
    <w:p w14:paraId="0F082660">
      <w:pPr>
        <w:pageBreakBefore w:val="0"/>
        <w:kinsoku/>
        <w:overflowPunct/>
        <w:topLinePunct w:val="0"/>
        <w:bidi w:val="0"/>
        <w:spacing w:line="360" w:lineRule="auto"/>
        <w:ind w:firstLine="422" w:firstLineChars="200"/>
        <w:jc w:val="left"/>
        <w:rPr>
          <w:rFonts w:hint="eastAsia" w:ascii="宋体" w:hAnsi="宋体" w:eastAsia="宋体"/>
          <w:b/>
          <w:bCs/>
          <w:szCs w:val="21"/>
          <w:highlight w:val="none"/>
        </w:rPr>
      </w:pPr>
      <w:bookmarkStart w:id="48" w:name="_Toc221951131"/>
      <w:bookmarkStart w:id="49" w:name="_Toc4023"/>
      <w:bookmarkStart w:id="50" w:name="_Toc136350385"/>
      <w:bookmarkStart w:id="51" w:name="_Toc222033879"/>
      <w:bookmarkStart w:id="52" w:name="_Toc222031030"/>
      <w:bookmarkStart w:id="53" w:name="_Toc222032697"/>
      <w:bookmarkStart w:id="54" w:name="_Toc229305388"/>
      <w:bookmarkStart w:id="55" w:name="_Toc222029528"/>
      <w:bookmarkStart w:id="56" w:name="_Toc33183711"/>
      <w:bookmarkStart w:id="57" w:name="_Toc59810405"/>
      <w:r>
        <w:rPr>
          <w:rFonts w:hint="eastAsia" w:ascii="宋体" w:hAnsi="宋体" w:eastAsia="宋体"/>
          <w:b/>
          <w:bCs/>
          <w:szCs w:val="21"/>
          <w:highlight w:val="none"/>
          <w:lang w:val="en-US" w:eastAsia="zh-CN"/>
        </w:rPr>
        <w:t>2.</w:t>
      </w:r>
      <w:r>
        <w:rPr>
          <w:rFonts w:hint="eastAsia" w:ascii="宋体" w:hAnsi="宋体" w:eastAsia="宋体"/>
          <w:b/>
          <w:bCs/>
          <w:szCs w:val="21"/>
          <w:highlight w:val="none"/>
        </w:rPr>
        <w:t>发包人义务</w:t>
      </w:r>
      <w:bookmarkEnd w:id="48"/>
      <w:bookmarkEnd w:id="49"/>
      <w:bookmarkEnd w:id="50"/>
      <w:bookmarkEnd w:id="51"/>
      <w:bookmarkEnd w:id="52"/>
      <w:bookmarkEnd w:id="53"/>
      <w:bookmarkEnd w:id="54"/>
      <w:bookmarkEnd w:id="55"/>
      <w:bookmarkEnd w:id="56"/>
      <w:bookmarkEnd w:id="57"/>
      <w:bookmarkStart w:id="58" w:name="_Toc221951132"/>
      <w:bookmarkStart w:id="59" w:name="_Toc33183712"/>
    </w:p>
    <w:p w14:paraId="28F398A4">
      <w:pPr>
        <w:pageBreakBefore w:val="0"/>
        <w:kinsoku/>
        <w:overflowPunct/>
        <w:topLinePunct w:val="0"/>
        <w:bidi w:val="0"/>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2.3  提供施工场地</w:t>
      </w:r>
      <w:bookmarkEnd w:id="58"/>
      <w:bookmarkEnd w:id="59"/>
    </w:p>
    <w:p w14:paraId="5CFE18A8">
      <w:pPr>
        <w:pageBreakBefore w:val="0"/>
        <w:kinsoku/>
        <w:overflowPunct/>
        <w:topLinePunct w:val="0"/>
        <w:bidi w:val="0"/>
        <w:adjustRightInd w:val="0"/>
        <w:snapToGrid w:val="0"/>
        <w:spacing w:line="360" w:lineRule="auto"/>
        <w:ind w:firstLine="420" w:firstLineChars="200"/>
        <w:rPr>
          <w:rFonts w:ascii="宋体" w:hAnsi="宋体" w:cs="宋体"/>
          <w:b/>
          <w:bCs/>
          <w:szCs w:val="21"/>
          <w:highlight w:val="none"/>
        </w:rPr>
      </w:pPr>
      <w:bookmarkStart w:id="60" w:name="_Toc221951133"/>
      <w:r>
        <w:rPr>
          <w:rFonts w:hint="eastAsia" w:ascii="宋体" w:hAnsi="宋体" w:cs="宋体"/>
          <w:szCs w:val="21"/>
          <w:highlight w:val="none"/>
        </w:rPr>
        <w:t>2.3.2发包人提供的施工场地范围为：</w:t>
      </w:r>
      <w:bookmarkEnd w:id="60"/>
      <w:r>
        <w:rPr>
          <w:rFonts w:hint="eastAsia" w:ascii="宋体" w:hAnsi="宋体" w:cs="宋体"/>
          <w:szCs w:val="21"/>
          <w:highlight w:val="none"/>
          <w:u w:val="single"/>
        </w:rPr>
        <w:t xml:space="preserve"> </w:t>
      </w:r>
      <w:r>
        <w:rPr>
          <w:rFonts w:ascii="宋体" w:hAnsi="宋体" w:eastAsia="宋体" w:cs="宋体"/>
          <w:spacing w:val="-2"/>
          <w:sz w:val="21"/>
          <w:szCs w:val="21"/>
          <w:highlight w:val="none"/>
          <w:u w:val="single" w:color="auto"/>
        </w:rPr>
        <w:t>本次招标活动所提供的施工设计图及附属所示范围的全部内容以及招标人提供</w:t>
      </w:r>
      <w:r>
        <w:rPr>
          <w:rFonts w:ascii="宋体" w:hAnsi="宋体" w:eastAsia="宋体" w:cs="宋体"/>
          <w:spacing w:val="-7"/>
          <w:sz w:val="21"/>
          <w:szCs w:val="21"/>
          <w:highlight w:val="none"/>
          <w:u w:val="single" w:color="auto"/>
        </w:rPr>
        <w:t>的</w:t>
      </w:r>
      <w:r>
        <w:rPr>
          <w:rFonts w:ascii="宋体" w:hAnsi="宋体" w:eastAsia="宋体" w:cs="宋体"/>
          <w:spacing w:val="-5"/>
          <w:sz w:val="21"/>
          <w:szCs w:val="21"/>
          <w:highlight w:val="none"/>
          <w:u w:val="single" w:color="auto"/>
        </w:rPr>
        <w:t>工程量清单、答疑资料、澄清资料、其他补遗资料等相关内容</w:t>
      </w:r>
      <w:r>
        <w:rPr>
          <w:rFonts w:ascii="宋体" w:hAnsi="宋体" w:eastAsia="宋体" w:cs="宋体"/>
          <w:spacing w:val="-1"/>
          <w:sz w:val="21"/>
          <w:szCs w:val="21"/>
          <w:highlight w:val="none"/>
          <w:u w:val="single" w:color="auto"/>
        </w:rPr>
        <w:t xml:space="preserve">  </w:t>
      </w:r>
      <w:r>
        <w:rPr>
          <w:rFonts w:hint="eastAsia" w:ascii="宋体" w:hAnsi="宋体" w:cs="宋体"/>
          <w:b/>
          <w:bCs/>
          <w:color w:val="auto"/>
          <w:szCs w:val="21"/>
          <w:highlight w:val="none"/>
        </w:rPr>
        <w:t>。</w:t>
      </w:r>
      <w:r>
        <w:rPr>
          <w:rFonts w:hint="eastAsia" w:ascii="宋体" w:hAnsi="宋体" w:cs="宋体"/>
          <w:kern w:val="0"/>
          <w:szCs w:val="21"/>
          <w:highlight w:val="none"/>
        </w:rPr>
        <w:t>施工场地的提供采用以下第</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2</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种方式：</w:t>
      </w:r>
      <w:r>
        <w:rPr>
          <w:rFonts w:hint="eastAsia" w:ascii="宋体" w:hAnsi="宋体" w:cs="宋体"/>
          <w:b/>
          <w:bCs/>
          <w:szCs w:val="21"/>
          <w:highlight w:val="none"/>
        </w:rPr>
        <w:t xml:space="preserve">  </w:t>
      </w:r>
    </w:p>
    <w:p w14:paraId="4ACE1067">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（1）一次提供全部施工场地：发包人于</w:t>
      </w:r>
      <w:r>
        <w:rPr>
          <w:rFonts w:hint="eastAsia" w:ascii="宋体" w:hAnsi="宋体" w:cs="宋体"/>
          <w:kern w:val="0"/>
          <w:szCs w:val="21"/>
          <w:highlight w:val="none"/>
          <w:u w:val="single"/>
        </w:rPr>
        <w:t>开工</w:t>
      </w:r>
      <w:r>
        <w:rPr>
          <w:rFonts w:hint="eastAsia" w:ascii="宋体" w:hAnsi="宋体" w:cs="宋体"/>
          <w:kern w:val="0"/>
          <w:szCs w:val="21"/>
          <w:highlight w:val="none"/>
        </w:rPr>
        <w:t>前向承包人提供合同工程用地范围内的施工场地。</w:t>
      </w:r>
    </w:p>
    <w:p w14:paraId="0BE9C10A">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（2）分次提供全部施工场地：</w:t>
      </w:r>
      <w:r>
        <w:rPr>
          <w:rFonts w:hint="eastAsia" w:ascii="宋体" w:hAnsi="宋体" w:cs="宋体"/>
          <w:kern w:val="0"/>
          <w:szCs w:val="21"/>
          <w:highlight w:val="none"/>
          <w:u w:val="single"/>
        </w:rPr>
        <w:t>发包人按约定的时间分次向承包人提供合同工程用地范围内的施工场地</w:t>
      </w:r>
      <w:r>
        <w:rPr>
          <w:rFonts w:hint="eastAsia" w:ascii="宋体" w:hAnsi="宋体" w:cs="宋体"/>
          <w:kern w:val="0"/>
          <w:szCs w:val="21"/>
          <w:highlight w:val="none"/>
        </w:rPr>
        <w:t>。</w:t>
      </w:r>
    </w:p>
    <w:p w14:paraId="7D9FD40F">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u w:val="single"/>
        </w:rPr>
        <w:t>承包人编制的施工组织计划已充分考虑了施工场地提供的因素</w:t>
      </w:r>
      <w:r>
        <w:rPr>
          <w:rFonts w:hint="eastAsia" w:ascii="宋体" w:hAnsi="宋体" w:cs="宋体"/>
          <w:kern w:val="0"/>
          <w:szCs w:val="21"/>
          <w:highlight w:val="none"/>
        </w:rPr>
        <w:t>。</w:t>
      </w:r>
    </w:p>
    <w:p w14:paraId="2F92D073">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szCs w:val="21"/>
          <w:highlight w:val="none"/>
        </w:rPr>
        <w:t>2.3.3承包人自行勘察的施工场地范围为：</w:t>
      </w:r>
      <w:r>
        <w:rPr>
          <w:rFonts w:ascii="宋体" w:hAnsi="宋体" w:eastAsia="宋体" w:cs="宋体"/>
          <w:spacing w:val="1"/>
          <w:sz w:val="21"/>
          <w:szCs w:val="21"/>
          <w:highlight w:val="none"/>
          <w:u w:val="single" w:color="auto"/>
        </w:rPr>
        <w:t>发包人按约定的时间分次向承包人提供合同工程用地范围内的施</w:t>
      </w:r>
      <w:r>
        <w:rPr>
          <w:rFonts w:ascii="宋体" w:hAnsi="宋体" w:eastAsia="宋体" w:cs="宋体"/>
          <w:spacing w:val="-4"/>
          <w:sz w:val="21"/>
          <w:szCs w:val="21"/>
          <w:highlight w:val="none"/>
          <w:u w:val="single" w:color="auto"/>
        </w:rPr>
        <w:t>工</w:t>
      </w:r>
      <w:r>
        <w:rPr>
          <w:rFonts w:ascii="宋体" w:hAnsi="宋体" w:eastAsia="宋体" w:cs="宋体"/>
          <w:spacing w:val="-2"/>
          <w:sz w:val="21"/>
          <w:szCs w:val="21"/>
          <w:highlight w:val="none"/>
          <w:u w:val="single" w:color="auto"/>
        </w:rPr>
        <w:t>场地</w:t>
      </w:r>
      <w:r>
        <w:rPr>
          <w:rFonts w:hint="eastAsia" w:ascii="宋体" w:hAnsi="宋体" w:cs="宋体"/>
          <w:color w:val="auto"/>
          <w:szCs w:val="21"/>
          <w:highlight w:val="none"/>
        </w:rPr>
        <w:t>。</w:t>
      </w:r>
    </w:p>
    <w:p w14:paraId="3409ACA6">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本项补充2.3.4、2.3.5项如下：：</w:t>
      </w:r>
    </w:p>
    <w:p w14:paraId="277F945F">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2.3.4关于发包人负责提供施工场地的要求：发包人负责办理施工场地的征用及与之有关的拆迁赔偿手续并承担相关费用。承包人在按10.1款规定提交施工进度计划的同时，应向监理人提交一份按施工先后次序所需的施工场地计划。监理人应在收到此计划后的</w:t>
      </w:r>
      <w:r>
        <w:rPr>
          <w:rFonts w:hint="eastAsia" w:ascii="宋体" w:hAnsi="宋体" w:cs="宋体"/>
          <w:kern w:val="0"/>
          <w:szCs w:val="21"/>
          <w:highlight w:val="none"/>
          <w:u w:val="single"/>
        </w:rPr>
        <w:t>7</w:t>
      </w:r>
      <w:r>
        <w:rPr>
          <w:rFonts w:hint="eastAsia" w:ascii="宋体" w:hAnsi="宋体" w:cs="宋体"/>
          <w:kern w:val="0"/>
          <w:szCs w:val="21"/>
          <w:highlight w:val="none"/>
        </w:rPr>
        <w:t>天内审核并转报发包人核备。发包人应在监理人发出本工程或分部工程开工通知之前，对承包人开工所需的施工场地办妥征用手续和相关拆迁赔偿手续，移交承包人使用，以使承包人能够及时开工；此后按承包人提交并经监理人同意的合同进度计划的安排，分期（也可以一次）将施工所需的其余施工场地办妥征用以及拆迁赔偿手续，移交承包人使用，以使承包人能够连续不间断地施工。由于承包人施工考虑不周或措施不当等原因而造成的超计划占地或拆迁等所发生的征用和赔偿费用，应由承包人承担。</w:t>
      </w:r>
    </w:p>
    <w:p w14:paraId="11F99922">
      <w:pPr>
        <w:pStyle w:val="2"/>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2.3.5关于发包人应负责提供其他施工所需要条件的要求：</w:t>
      </w:r>
      <w:r>
        <w:rPr>
          <w:rFonts w:hint="eastAsia" w:ascii="宋体" w:hAnsi="宋体" w:cs="宋体"/>
          <w:kern w:val="0"/>
          <w:szCs w:val="21"/>
          <w:highlight w:val="none"/>
          <w:u w:val="single"/>
        </w:rPr>
        <w:t xml:space="preserve">  无  </w:t>
      </w:r>
      <w:r>
        <w:rPr>
          <w:rFonts w:hint="eastAsia" w:ascii="宋体" w:hAnsi="宋体" w:cs="宋体"/>
          <w:kern w:val="0"/>
          <w:szCs w:val="21"/>
          <w:highlight w:val="none"/>
        </w:rPr>
        <w:t>。</w:t>
      </w:r>
    </w:p>
    <w:p w14:paraId="5B223DAB">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61" w:name="_Toc33183713"/>
      <w:bookmarkStart w:id="62" w:name="_Toc221951134"/>
      <w:r>
        <w:rPr>
          <w:rFonts w:hint="eastAsia" w:ascii="宋体" w:hAnsi="宋体" w:cs="宋体"/>
          <w:szCs w:val="21"/>
          <w:highlight w:val="none"/>
        </w:rPr>
        <w:t>2.8  其它义务</w:t>
      </w:r>
      <w:bookmarkEnd w:id="61"/>
      <w:bookmarkEnd w:id="62"/>
      <w:r>
        <w:rPr>
          <w:rFonts w:hint="eastAsia" w:ascii="宋体" w:hAnsi="宋体" w:cs="宋体"/>
          <w:szCs w:val="21"/>
          <w:highlight w:val="none"/>
        </w:rPr>
        <w:t xml:space="preserve">  </w:t>
      </w:r>
    </w:p>
    <w:p w14:paraId="284E6454">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本款补充2.8.1</w:t>
      </w:r>
      <w:r>
        <w:rPr>
          <w:rFonts w:hint="eastAsia" w:ascii="宋体" w:hAnsi="宋体" w:cs="宋体"/>
          <w:kern w:val="0"/>
          <w:szCs w:val="21"/>
          <w:highlight w:val="none"/>
        </w:rPr>
        <w:t>～</w:t>
      </w:r>
      <w:r>
        <w:rPr>
          <w:rFonts w:hint="eastAsia" w:ascii="宋体" w:hAnsi="宋体" w:cs="宋体"/>
          <w:szCs w:val="21"/>
          <w:highlight w:val="none"/>
        </w:rPr>
        <w:t>2.8.4项：</w:t>
      </w:r>
    </w:p>
    <w:p w14:paraId="293F992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2.8.1</w:t>
      </w:r>
      <w:r>
        <w:rPr>
          <w:rFonts w:hint="eastAsia" w:ascii="宋体" w:hAnsi="宋体" w:cs="宋体"/>
          <w:kern w:val="0"/>
          <w:szCs w:val="21"/>
          <w:highlight w:val="none"/>
        </w:rPr>
        <w:t>发包人代表</w:t>
      </w:r>
    </w:p>
    <w:p w14:paraId="0A0C680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发包人代表：</w:t>
      </w:r>
    </w:p>
    <w:p w14:paraId="775F3B31">
      <w:pPr>
        <w:spacing w:line="360" w:lineRule="auto"/>
        <w:ind w:firstLine="420" w:firstLineChars="200"/>
        <w:jc w:val="left"/>
        <w:rPr>
          <w:rFonts w:ascii="宋体" w:hAnsi="宋体"/>
          <w:szCs w:val="21"/>
        </w:rPr>
      </w:pPr>
      <w:r>
        <w:rPr>
          <w:rFonts w:hint="eastAsia" w:ascii="宋体" w:hAnsi="宋体"/>
          <w:szCs w:val="21"/>
        </w:rPr>
        <w:t>姓    名：</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lang w:eastAsia="zh-CN"/>
        </w:rPr>
        <w:t>严青林</w:t>
      </w:r>
      <w:r>
        <w:rPr>
          <w:rFonts w:hint="eastAsia" w:ascii="宋体" w:hAnsi="宋体" w:cs="宋体"/>
          <w:color w:val="auto"/>
          <w:kern w:val="0"/>
          <w:szCs w:val="21"/>
          <w:u w:val="single"/>
        </w:rPr>
        <w:t xml:space="preserve"> </w:t>
      </w:r>
      <w:r>
        <w:rPr>
          <w:rFonts w:ascii="宋体" w:hAnsi="宋体"/>
          <w:szCs w:val="21"/>
          <w:u w:val="single"/>
        </w:rPr>
        <w:t xml:space="preserve">          </w:t>
      </w:r>
      <w:r>
        <w:rPr>
          <w:rFonts w:hint="eastAsia" w:ascii="宋体" w:hAnsi="宋体"/>
          <w:szCs w:val="21"/>
        </w:rPr>
        <w:t>；</w:t>
      </w:r>
    </w:p>
    <w:p w14:paraId="30271D4E">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w:t>
      </w:r>
      <w:r>
        <w:rPr>
          <w:rFonts w:hint="eastAsia" w:ascii="宋体" w:hAnsi="宋体"/>
          <w:szCs w:val="21"/>
          <w:u w:val="single"/>
          <w:lang w:val="en-US" w:eastAsia="zh-CN"/>
        </w:rPr>
        <w:t xml:space="preserve">    </w:t>
      </w:r>
      <w:r>
        <w:rPr>
          <w:rFonts w:hint="eastAsia" w:ascii="宋体" w:hAnsi="宋体" w:cs="宋体"/>
          <w:color w:val="auto"/>
          <w:kern w:val="0"/>
          <w:szCs w:val="21"/>
          <w:u w:val="single"/>
          <w:lang w:val="en-US" w:eastAsia="zh-CN"/>
        </w:rPr>
        <w:t>13896501333</w:t>
      </w:r>
      <w:r>
        <w:rPr>
          <w:rFonts w:hint="eastAsia" w:ascii="宋体" w:hAnsi="宋体" w:cs="宋体"/>
          <w:color w:val="auto"/>
          <w:kern w:val="0"/>
          <w:szCs w:val="21"/>
          <w:u w:val="single"/>
        </w:rPr>
        <w:t xml:space="preserve"> </w:t>
      </w:r>
      <w:r>
        <w:rPr>
          <w:rFonts w:ascii="宋体" w:hAnsi="宋体"/>
          <w:szCs w:val="21"/>
          <w:u w:val="single"/>
        </w:rPr>
        <w:t xml:space="preserve">     </w:t>
      </w:r>
      <w:r>
        <w:rPr>
          <w:rFonts w:hint="eastAsia" w:ascii="宋体" w:hAnsi="宋体"/>
          <w:szCs w:val="21"/>
        </w:rPr>
        <w:t>；</w:t>
      </w:r>
    </w:p>
    <w:p w14:paraId="1CB24746">
      <w:pPr>
        <w:pageBreakBefore w:val="0"/>
        <w:kinsoku/>
        <w:overflowPunct/>
        <w:topLinePunct w:val="0"/>
        <w:bidi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联系地址：</w:t>
      </w:r>
      <w:r>
        <w:rPr>
          <w:rFonts w:hint="eastAsia" w:ascii="宋体" w:hAnsi="宋体" w:cs="宋体"/>
          <w:color w:val="auto"/>
          <w:kern w:val="0"/>
          <w:szCs w:val="21"/>
          <w:u w:val="single"/>
        </w:rPr>
        <w:t xml:space="preserve">  </w:t>
      </w:r>
      <w:r>
        <w:rPr>
          <w:rFonts w:ascii="宋体" w:hAnsi="宋体" w:eastAsia="宋体" w:cs="宋体"/>
          <w:spacing w:val="-5"/>
          <w:sz w:val="21"/>
          <w:szCs w:val="21"/>
          <w:u w:val="single"/>
        </w:rPr>
        <w:t>重庆市南川区泽禹供水有限责任公司</w:t>
      </w:r>
      <w:r>
        <w:rPr>
          <w:rFonts w:hint="eastAsia" w:ascii="宋体" w:hAnsi="宋体" w:eastAsia="宋体" w:cs="宋体"/>
          <w:spacing w:val="-5"/>
          <w:sz w:val="21"/>
          <w:szCs w:val="21"/>
          <w:u w:val="single"/>
          <w:lang w:val="en-US" w:eastAsia="zh-CN"/>
        </w:rPr>
        <w:t xml:space="preserve">  </w:t>
      </w:r>
      <w:r>
        <w:rPr>
          <w:rFonts w:hint="eastAsia" w:ascii="宋体" w:hAnsi="宋体" w:cs="宋体"/>
          <w:color w:val="auto"/>
          <w:kern w:val="0"/>
          <w:szCs w:val="21"/>
        </w:rPr>
        <w:t>；</w:t>
      </w:r>
    </w:p>
    <w:p w14:paraId="3845C82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rPr>
        <w:t>邮    编：</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408400</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160C646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发包人对发包人代表的授权范围如下：</w:t>
      </w:r>
      <w:r>
        <w:rPr>
          <w:rFonts w:hint="eastAsia" w:ascii="宋体" w:hAnsi="宋体" w:cs="宋体"/>
          <w:kern w:val="0"/>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kern w:val="0"/>
          <w:szCs w:val="21"/>
          <w:highlight w:val="none"/>
        </w:rPr>
        <w:t>。</w:t>
      </w:r>
    </w:p>
    <w:p w14:paraId="2D9F255F">
      <w:pPr>
        <w:keepNext/>
        <w:keepLines/>
        <w:pageBreakBefore w:val="0"/>
        <w:kinsoku/>
        <w:overflowPunct/>
        <w:topLinePunct w:val="0"/>
        <w:bidi w:val="0"/>
        <w:spacing w:line="360" w:lineRule="auto"/>
        <w:ind w:firstLine="420" w:firstLineChars="200"/>
        <w:outlineLvl w:val="4"/>
        <w:rPr>
          <w:rFonts w:ascii="宋体" w:hAnsi="宋体" w:cs="宋体"/>
          <w:kern w:val="0"/>
          <w:szCs w:val="21"/>
          <w:highlight w:val="none"/>
        </w:rPr>
      </w:pPr>
      <w:r>
        <w:rPr>
          <w:rFonts w:hint="eastAsia" w:ascii="宋体" w:hAnsi="宋体" w:cs="宋体"/>
          <w:kern w:val="0"/>
          <w:szCs w:val="21"/>
          <w:highlight w:val="none"/>
        </w:rPr>
        <w:t>2.8.2 资金来源证明及支付担保</w:t>
      </w:r>
    </w:p>
    <w:p w14:paraId="6B02839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发包人提供资金来源证明的期限要求：</w:t>
      </w:r>
      <w:r>
        <w:rPr>
          <w:rFonts w:hint="eastAsia" w:ascii="宋体" w:hAnsi="宋体" w:cs="宋体"/>
          <w:kern w:val="0"/>
          <w:szCs w:val="21"/>
          <w:highlight w:val="none"/>
          <w:u w:val="single"/>
        </w:rPr>
        <w:t>不采用</w:t>
      </w:r>
      <w:r>
        <w:rPr>
          <w:rFonts w:hint="eastAsia" w:ascii="宋体" w:hAnsi="宋体" w:cs="宋体"/>
          <w:kern w:val="0"/>
          <w:szCs w:val="21"/>
          <w:highlight w:val="none"/>
        </w:rPr>
        <w:t>。</w:t>
      </w:r>
    </w:p>
    <w:p w14:paraId="7473C5E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发包人是否提供支付担保：</w:t>
      </w:r>
      <w:r>
        <w:rPr>
          <w:rFonts w:hint="eastAsia" w:ascii="宋体" w:hAnsi="宋体" w:cs="宋体"/>
          <w:kern w:val="0"/>
          <w:szCs w:val="21"/>
          <w:highlight w:val="none"/>
          <w:u w:val="single"/>
        </w:rPr>
        <w:t>提供</w:t>
      </w:r>
      <w:r>
        <w:rPr>
          <w:rFonts w:hint="eastAsia" w:ascii="宋体" w:hAnsi="宋体" w:cs="宋体"/>
          <w:kern w:val="0"/>
          <w:szCs w:val="21"/>
          <w:highlight w:val="none"/>
        </w:rPr>
        <w:t>。</w:t>
      </w:r>
    </w:p>
    <w:p w14:paraId="70AFCA82">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2.8.3组织竣工验收</w:t>
      </w:r>
    </w:p>
    <w:p w14:paraId="1B120EE3">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发包人应按合同约定及时组织法人验收，配合政府验收。</w:t>
      </w:r>
    </w:p>
    <w:p w14:paraId="2680FA8E">
      <w:pPr>
        <w:pageBreakBefore w:val="0"/>
        <w:kinsoku/>
        <w:overflowPunct/>
        <w:topLinePunct w:val="0"/>
        <w:bidi w:val="0"/>
        <w:snapToGrid w:val="0"/>
        <w:spacing w:line="360" w:lineRule="auto"/>
        <w:ind w:firstLine="480"/>
        <w:rPr>
          <w:rFonts w:ascii="宋体" w:hAnsi="宋体" w:cs="宋体"/>
          <w:kern w:val="0"/>
          <w:szCs w:val="21"/>
          <w:highlight w:val="none"/>
        </w:rPr>
      </w:pPr>
      <w:r>
        <w:rPr>
          <w:rFonts w:hint="eastAsia" w:ascii="宋体" w:hAnsi="宋体" w:cs="宋体"/>
          <w:kern w:val="0"/>
          <w:szCs w:val="21"/>
          <w:highlight w:val="none"/>
        </w:rPr>
        <w:t>2.8.4其他义务</w:t>
      </w:r>
    </w:p>
    <w:p w14:paraId="3CEF52E6">
      <w:pPr>
        <w:pStyle w:val="2"/>
        <w:pageBreakBefore w:val="0"/>
        <w:kinsoku/>
        <w:overflowPunct/>
        <w:topLinePunct w:val="0"/>
        <w:bidi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（1）与承包人签订《重庆市水利工程建设安全生产合同》、《重庆市水利工程建设廉政合同》、《按期支付农民工工资合同》。</w:t>
      </w:r>
    </w:p>
    <w:p w14:paraId="22EED4FD">
      <w:pPr>
        <w:pStyle w:val="2"/>
        <w:pageBreakBefore w:val="0"/>
        <w:kinsoku/>
        <w:overflowPunct/>
        <w:topLinePunct w:val="0"/>
        <w:bidi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（2）施工场地征用、搬迁和移民安置由发包人负责。</w:t>
      </w:r>
    </w:p>
    <w:p w14:paraId="2D87BC20">
      <w:pPr>
        <w:pStyle w:val="2"/>
        <w:pageBreakBefore w:val="0"/>
        <w:kinsoku/>
        <w:overflowPunct/>
        <w:topLinePunct w:val="0"/>
        <w:bidi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3）由于发包人未能按照本项规定办妥永久征地征用手续，影响承包人及时使用施工场地造成的费用增加和（或）工期延误应由发包人承担。由于承包人未能按照本项规定提交施工场地计划，影响发包人办理施工场地征用手续造成的费用增加和（或）工期延误由承包人承担。</w:t>
      </w:r>
    </w:p>
    <w:p w14:paraId="68450C9B">
      <w:pPr>
        <w:pStyle w:val="4"/>
        <w:pageBreakBefore w:val="0"/>
        <w:kinsoku/>
        <w:overflowPunct/>
        <w:topLinePunct w:val="0"/>
        <w:bidi w:val="0"/>
        <w:spacing w:line="360" w:lineRule="auto"/>
        <w:rPr>
          <w:rFonts w:ascii="宋体" w:hAnsi="宋体" w:cs="宋体"/>
          <w:sz w:val="21"/>
          <w:szCs w:val="21"/>
          <w:highlight w:val="none"/>
        </w:rPr>
      </w:pPr>
      <w:bookmarkStart w:id="63" w:name="_Toc222032698"/>
      <w:bookmarkStart w:id="64" w:name="_Toc229305389"/>
      <w:bookmarkStart w:id="65" w:name="_Toc33183714"/>
      <w:bookmarkStart w:id="66" w:name="_Toc136350386"/>
      <w:bookmarkStart w:id="67" w:name="_Toc59810406"/>
      <w:bookmarkStart w:id="68" w:name="_Toc221951140"/>
      <w:bookmarkStart w:id="69" w:name="_Toc222033880"/>
      <w:bookmarkStart w:id="70" w:name="_Toc222031031"/>
      <w:bookmarkStart w:id="71" w:name="_Toc222029529"/>
      <w:bookmarkStart w:id="72" w:name="_Toc14140"/>
      <w:r>
        <w:rPr>
          <w:rFonts w:hint="eastAsia" w:ascii="宋体" w:hAnsi="宋体" w:cs="宋体"/>
          <w:sz w:val="21"/>
          <w:szCs w:val="21"/>
          <w:highlight w:val="none"/>
        </w:rPr>
        <w:t>3.监理人</w:t>
      </w:r>
      <w:bookmarkEnd w:id="63"/>
      <w:bookmarkEnd w:id="64"/>
      <w:bookmarkEnd w:id="65"/>
      <w:bookmarkEnd w:id="66"/>
      <w:bookmarkEnd w:id="67"/>
      <w:bookmarkEnd w:id="68"/>
      <w:bookmarkEnd w:id="69"/>
      <w:bookmarkEnd w:id="70"/>
      <w:bookmarkEnd w:id="71"/>
      <w:bookmarkEnd w:id="72"/>
    </w:p>
    <w:p w14:paraId="464A587C">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73" w:name="_Toc221951141"/>
      <w:bookmarkStart w:id="74" w:name="_Toc33183715"/>
      <w:r>
        <w:rPr>
          <w:rFonts w:hint="eastAsia" w:ascii="宋体" w:hAnsi="宋体" w:cs="宋体"/>
          <w:szCs w:val="21"/>
          <w:highlight w:val="none"/>
        </w:rPr>
        <w:t>3.1  监理人的职责和权力</w:t>
      </w:r>
      <w:bookmarkEnd w:id="73"/>
      <w:bookmarkEnd w:id="74"/>
    </w:p>
    <w:p w14:paraId="207AA6EC">
      <w:pPr>
        <w:pStyle w:val="2"/>
        <w:pageBreakBefore w:val="0"/>
        <w:kinsoku/>
        <w:overflowPunct/>
        <w:topLinePunct w:val="0"/>
        <w:bidi w:val="0"/>
        <w:spacing w:line="360" w:lineRule="auto"/>
        <w:ind w:firstLine="420" w:firstLineChars="200"/>
        <w:rPr>
          <w:rFonts w:ascii="宋体" w:hAnsi="宋体" w:cs="宋体"/>
          <w:kern w:val="0"/>
          <w:szCs w:val="21"/>
          <w:highlight w:val="none"/>
          <w:u w:val="single"/>
        </w:rPr>
      </w:pPr>
      <w:bookmarkStart w:id="75" w:name="_Toc221951142"/>
      <w:r>
        <w:rPr>
          <w:rFonts w:hint="eastAsia" w:ascii="宋体" w:hAnsi="宋体" w:cs="宋体"/>
          <w:kern w:val="0"/>
          <w:szCs w:val="21"/>
          <w:highlight w:val="none"/>
        </w:rPr>
        <w:t>3.1.1</w:t>
      </w:r>
      <w:bookmarkEnd w:id="75"/>
      <w:r>
        <w:rPr>
          <w:rFonts w:hint="eastAsia" w:ascii="宋体" w:hAnsi="宋体" w:cs="宋体"/>
          <w:kern w:val="0"/>
          <w:szCs w:val="21"/>
          <w:highlight w:val="none"/>
        </w:rPr>
        <w:t xml:space="preserve"> </w:t>
      </w:r>
      <w:bookmarkStart w:id="76" w:name="_Toc221951143"/>
      <w:r>
        <w:rPr>
          <w:rFonts w:hint="eastAsia" w:ascii="宋体" w:hAnsi="宋体" w:cs="宋体"/>
          <w:kern w:val="0"/>
          <w:szCs w:val="21"/>
          <w:highlight w:val="none"/>
        </w:rPr>
        <w:t>监理人须根据发包人事先批准的权力范围行使权力，发包人批准的权力范围：</w:t>
      </w:r>
      <w:bookmarkEnd w:id="76"/>
      <w:bookmarkStart w:id="77" w:name="_Toc221951144"/>
      <w:r>
        <w:rPr>
          <w:rFonts w:hint="eastAsia" w:ascii="宋体" w:hAnsi="宋体" w:cs="宋体"/>
          <w:color w:val="auto"/>
          <w:kern w:val="0"/>
          <w:szCs w:val="21"/>
          <w:highlight w:val="none"/>
          <w:u w:val="single"/>
        </w:rPr>
        <w:t>见发</w:t>
      </w:r>
      <w:r>
        <w:rPr>
          <w:rFonts w:hint="eastAsia" w:ascii="宋体" w:hAnsi="宋体" w:cs="宋体"/>
          <w:kern w:val="0"/>
          <w:szCs w:val="21"/>
          <w:highlight w:val="none"/>
          <w:u w:val="single"/>
        </w:rPr>
        <w:t>包人与监理人就本工程签订的监理合同；任何涉及费用确定和（或）工期调整，或者设计变更，或者变更估价，或者涉及经济责任的事项，监理工程师在发出指令或通知前，须征得发包人同意。</w:t>
      </w:r>
    </w:p>
    <w:p w14:paraId="7C9528B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关于监理人的监理内容：</w:t>
      </w:r>
      <w:r>
        <w:rPr>
          <w:rFonts w:hint="eastAsia" w:ascii="宋体" w:hAnsi="宋体" w:cs="宋体"/>
          <w:kern w:val="0"/>
          <w:szCs w:val="21"/>
          <w:highlight w:val="none"/>
          <w:u w:val="single"/>
        </w:rPr>
        <w:t>见发包人与监理人就本工程签订的监理合同</w:t>
      </w:r>
      <w:r>
        <w:rPr>
          <w:rFonts w:hint="eastAsia" w:ascii="宋体" w:hAnsi="宋体" w:cs="宋体"/>
          <w:kern w:val="0"/>
          <w:szCs w:val="21"/>
          <w:highlight w:val="none"/>
        </w:rPr>
        <w:t>。</w:t>
      </w:r>
    </w:p>
    <w:p w14:paraId="5631DAEC">
      <w:pPr>
        <w:pStyle w:val="2"/>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kern w:val="0"/>
          <w:szCs w:val="21"/>
          <w:highlight w:val="none"/>
        </w:rPr>
        <w:t>关于监理人在施工现场的办公场所、生活场所的提供和费用承担的约定：</w:t>
      </w:r>
      <w:r>
        <w:rPr>
          <w:rFonts w:hint="eastAsia" w:ascii="宋体" w:hAnsi="宋体" w:cs="宋体"/>
          <w:kern w:val="0"/>
          <w:szCs w:val="21"/>
          <w:highlight w:val="none"/>
          <w:u w:val="single"/>
        </w:rPr>
        <w:t xml:space="preserve"> </w:t>
      </w:r>
      <w:r>
        <w:rPr>
          <w:rFonts w:hint="eastAsia" w:ascii="宋体" w:hAnsi="宋体" w:eastAsia="宋体" w:cs="宋体"/>
          <w:color w:val="auto"/>
          <w:sz w:val="21"/>
          <w:szCs w:val="21"/>
          <w:highlight w:val="none"/>
          <w:u w:val="single" w:color="auto"/>
          <w:lang w:eastAsia="zh-CN"/>
        </w:rPr>
        <w:t>由承包人提供并承担费用</w:t>
      </w:r>
      <w:r>
        <w:rPr>
          <w:rFonts w:ascii="宋体" w:hAnsi="宋体" w:eastAsia="宋体" w:cs="宋体"/>
          <w:color w:val="auto"/>
          <w:sz w:val="21"/>
          <w:szCs w:val="21"/>
          <w:highlight w:val="none"/>
          <w:u w:val="single" w:color="auto"/>
        </w:rPr>
        <w:t xml:space="preserve">  </w:t>
      </w:r>
      <w:r>
        <w:rPr>
          <w:rFonts w:hint="eastAsia" w:ascii="宋体" w:hAnsi="宋体" w:cs="宋体"/>
          <w:color w:val="auto"/>
          <w:kern w:val="0"/>
          <w:szCs w:val="21"/>
          <w:highlight w:val="none"/>
        </w:rPr>
        <w:t>。</w:t>
      </w:r>
    </w:p>
    <w:bookmarkEnd w:id="77"/>
    <w:p w14:paraId="65E692CF">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3.2总监理工程师</w:t>
      </w:r>
    </w:p>
    <w:p w14:paraId="5D3760B5">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总监理工程师：</w:t>
      </w:r>
    </w:p>
    <w:p w14:paraId="7C021739">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姓    名：</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43B46CB8">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职    务：</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w:t>
      </w:r>
    </w:p>
    <w:p w14:paraId="0765D6C1">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监理工程师执业资格证书号：</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w:t>
      </w:r>
      <w:r>
        <w:rPr>
          <w:rFonts w:hint="eastAsia" w:ascii="宋体" w:hAnsi="宋体" w:cs="宋体"/>
          <w:kern w:val="0"/>
          <w:szCs w:val="21"/>
          <w:highlight w:val="none"/>
          <w:u w:val="none"/>
          <w:lang w:eastAsia="zh-CN"/>
        </w:rPr>
        <w:t>；</w:t>
      </w:r>
      <w:r>
        <w:rPr>
          <w:rFonts w:hint="eastAsia" w:ascii="宋体" w:hAnsi="宋体" w:cs="宋体"/>
          <w:kern w:val="0"/>
          <w:szCs w:val="21"/>
          <w:highlight w:val="none"/>
        </w:rPr>
        <w:t xml:space="preserve">         </w:t>
      </w:r>
    </w:p>
    <w:p w14:paraId="2E312100">
      <w:pPr>
        <w:pageBreakBefore w:val="0"/>
        <w:kinsoku/>
        <w:overflowPunct/>
        <w:topLinePunct w:val="0"/>
        <w:bidi w:val="0"/>
        <w:spacing w:line="360" w:lineRule="auto"/>
        <w:ind w:firstLine="210" w:firstLineChars="100"/>
        <w:jc w:val="left"/>
        <w:rPr>
          <w:rFonts w:ascii="宋体" w:hAnsi="宋体" w:cs="宋体"/>
          <w:kern w:val="0"/>
          <w:szCs w:val="21"/>
          <w:highlight w:val="none"/>
        </w:rPr>
      </w:pPr>
      <w:r>
        <w:rPr>
          <w:rFonts w:hint="eastAsia" w:ascii="宋体" w:hAnsi="宋体" w:cs="宋体"/>
          <w:kern w:val="0"/>
          <w:szCs w:val="21"/>
          <w:highlight w:val="none"/>
        </w:rPr>
        <w:t xml:space="preserve">  联系方式：</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none"/>
        </w:rPr>
        <w:t xml:space="preserve"> </w:t>
      </w:r>
      <w:r>
        <w:rPr>
          <w:rFonts w:hint="eastAsia" w:ascii="宋体" w:hAnsi="宋体" w:cs="宋体"/>
          <w:kern w:val="0"/>
          <w:szCs w:val="21"/>
          <w:highlight w:val="none"/>
          <w:u w:val="none"/>
          <w:lang w:eastAsia="zh-CN"/>
        </w:rPr>
        <w:t>；</w:t>
      </w:r>
      <w:r>
        <w:rPr>
          <w:rFonts w:hint="eastAsia" w:ascii="宋体" w:hAnsi="宋体" w:cs="宋体"/>
          <w:kern w:val="0"/>
          <w:szCs w:val="21"/>
          <w:highlight w:val="none"/>
          <w:u w:val="none"/>
        </w:rPr>
        <w:t xml:space="preserve">  </w:t>
      </w:r>
    </w:p>
    <w:p w14:paraId="27790939">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关于监理人的其他约定：</w:t>
      </w:r>
      <w:r>
        <w:rPr>
          <w:rFonts w:hint="eastAsia" w:ascii="宋体" w:hAnsi="宋体" w:cs="宋体"/>
          <w:kern w:val="0"/>
          <w:szCs w:val="21"/>
          <w:highlight w:val="none"/>
          <w:u w:val="single"/>
        </w:rPr>
        <w:t>见发包人与监理人就本工程签订的监理合同</w:t>
      </w:r>
      <w:r>
        <w:rPr>
          <w:rFonts w:hint="eastAsia" w:ascii="宋体" w:hAnsi="宋体" w:cs="宋体"/>
          <w:kern w:val="0"/>
          <w:szCs w:val="21"/>
          <w:highlight w:val="none"/>
        </w:rPr>
        <w:t>。</w:t>
      </w:r>
    </w:p>
    <w:p w14:paraId="649DFB21">
      <w:pPr>
        <w:keepNext/>
        <w:keepLines/>
        <w:pageBreakBefore w:val="0"/>
        <w:kinsoku/>
        <w:overflowPunct/>
        <w:topLinePunct w:val="0"/>
        <w:bidi w:val="0"/>
        <w:snapToGrid w:val="0"/>
        <w:spacing w:line="360" w:lineRule="auto"/>
        <w:ind w:firstLine="420" w:firstLineChars="200"/>
        <w:outlineLvl w:val="3"/>
        <w:rPr>
          <w:rFonts w:ascii="宋体" w:hAnsi="宋体" w:cs="宋体"/>
          <w:kern w:val="0"/>
          <w:szCs w:val="21"/>
          <w:highlight w:val="none"/>
        </w:rPr>
      </w:pPr>
      <w:r>
        <w:rPr>
          <w:rFonts w:hint="eastAsia" w:ascii="宋体" w:hAnsi="宋体" w:cs="宋体"/>
          <w:kern w:val="0"/>
          <w:szCs w:val="21"/>
          <w:highlight w:val="none"/>
        </w:rPr>
        <w:t>3.5 商定或确定</w:t>
      </w:r>
    </w:p>
    <w:p w14:paraId="4E0D3A6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在发包人和承包人不能通过协商达成一致意见时，发包人授权监理人对以下事项进行确定：</w:t>
      </w:r>
    </w:p>
    <w:p w14:paraId="3B288DC0">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。（2）</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44E1E597">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w:t>
      </w:r>
    </w:p>
    <w:p w14:paraId="367F913A">
      <w:pPr>
        <w:pStyle w:val="4"/>
        <w:pageBreakBefore w:val="0"/>
        <w:kinsoku/>
        <w:overflowPunct/>
        <w:topLinePunct w:val="0"/>
        <w:bidi w:val="0"/>
        <w:spacing w:line="360" w:lineRule="auto"/>
        <w:rPr>
          <w:rFonts w:ascii="宋体" w:hAnsi="宋体" w:cs="宋体"/>
          <w:sz w:val="21"/>
          <w:szCs w:val="21"/>
          <w:highlight w:val="none"/>
        </w:rPr>
      </w:pPr>
      <w:bookmarkStart w:id="78" w:name="_Toc30620"/>
      <w:bookmarkStart w:id="79" w:name="_Toc229305390"/>
      <w:bookmarkStart w:id="80" w:name="_Toc222032699"/>
      <w:bookmarkStart w:id="81" w:name="_Toc222029530"/>
      <w:bookmarkStart w:id="82" w:name="_Toc222033881"/>
      <w:bookmarkStart w:id="83" w:name="_Toc59810407"/>
      <w:bookmarkStart w:id="84" w:name="_Toc221951150"/>
      <w:bookmarkStart w:id="85" w:name="_Toc33183717"/>
      <w:bookmarkStart w:id="86" w:name="_Toc222031032"/>
      <w:bookmarkStart w:id="87" w:name="_Toc136350387"/>
      <w:r>
        <w:rPr>
          <w:rFonts w:hint="eastAsia" w:ascii="宋体" w:hAnsi="宋体" w:cs="宋体"/>
          <w:sz w:val="21"/>
          <w:szCs w:val="21"/>
          <w:highlight w:val="none"/>
        </w:rPr>
        <w:t>4.承包人</w:t>
      </w:r>
      <w:bookmarkEnd w:id="78"/>
      <w:bookmarkEnd w:id="79"/>
      <w:bookmarkEnd w:id="80"/>
      <w:bookmarkEnd w:id="81"/>
      <w:bookmarkEnd w:id="82"/>
      <w:bookmarkEnd w:id="83"/>
      <w:bookmarkEnd w:id="84"/>
      <w:bookmarkEnd w:id="85"/>
      <w:bookmarkEnd w:id="86"/>
      <w:bookmarkEnd w:id="87"/>
    </w:p>
    <w:p w14:paraId="71113A66">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88" w:name="_Toc33183718"/>
      <w:bookmarkStart w:id="89" w:name="_Toc221951151"/>
      <w:r>
        <w:rPr>
          <w:rFonts w:hint="eastAsia" w:ascii="宋体" w:hAnsi="宋体" w:cs="宋体"/>
          <w:szCs w:val="21"/>
          <w:highlight w:val="none"/>
        </w:rPr>
        <w:t>4.1  承包人的一般义务</w:t>
      </w:r>
      <w:bookmarkEnd w:id="88"/>
      <w:bookmarkEnd w:id="89"/>
    </w:p>
    <w:p w14:paraId="2F4A66D8">
      <w:pPr>
        <w:pageBreakBefore w:val="0"/>
        <w:kinsoku/>
        <w:overflowPunct/>
        <w:topLinePunct w:val="0"/>
        <w:bidi w:val="0"/>
        <w:snapToGrid w:val="0"/>
        <w:spacing w:line="360" w:lineRule="auto"/>
        <w:ind w:firstLine="420" w:firstLineChars="200"/>
        <w:rPr>
          <w:rFonts w:ascii="宋体" w:hAnsi="宋体" w:cs="宋体"/>
          <w:kern w:val="0"/>
          <w:szCs w:val="21"/>
          <w:highlight w:val="none"/>
        </w:rPr>
      </w:pPr>
      <w:bookmarkStart w:id="90" w:name="_Toc221951152"/>
      <w:r>
        <w:rPr>
          <w:rFonts w:hint="eastAsia" w:ascii="宋体" w:hAnsi="宋体" w:cs="宋体"/>
          <w:kern w:val="0"/>
          <w:szCs w:val="21"/>
          <w:highlight w:val="none"/>
        </w:rPr>
        <w:t>4.1.3完成各项承包工作</w:t>
      </w:r>
    </w:p>
    <w:p w14:paraId="075EEF8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(1)办理法律规定和合同约定应由承包人办理的许可和批准，并将办理结果书面报送发包人留存；协助发包人办理施工所需的相关证件及手续。  </w:t>
      </w:r>
    </w:p>
    <w:p w14:paraId="2287CA70">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59A8A11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(3)按法律规定和合同约定采取施工安全和环境保护措施，办理工伤保险，确保工程及人员、材料、设备和设施的安全。</w:t>
      </w:r>
    </w:p>
    <w:p w14:paraId="67B5A59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 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04D7128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w:t>
      </w:r>
      <w:r>
        <w:rPr>
          <w:rFonts w:hint="eastAsia" w:ascii="宋体" w:hAnsi="宋体" w:cs="宋体"/>
          <w:szCs w:val="21"/>
          <w:highlight w:val="none"/>
        </w:rPr>
        <w:t xml:space="preserve"> </w:t>
      </w:r>
      <w:r>
        <w:rPr>
          <w:rFonts w:hint="eastAsia" w:ascii="宋体" w:hAnsi="宋体" w:cs="宋体"/>
          <w:kern w:val="0"/>
          <w:szCs w:val="21"/>
          <w:highlight w:val="none"/>
        </w:rPr>
        <w:t>按照约定采取施工安全措施，确保工程及其人员、材料、设备和设施的安全，防止因工程施工造成的人身伤害和财产损失。</w:t>
      </w:r>
    </w:p>
    <w:p w14:paraId="30F6B10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w:t>
      </w:r>
      <w:r>
        <w:rPr>
          <w:rFonts w:hint="eastAsia" w:ascii="宋体" w:hAnsi="宋体" w:cs="宋体"/>
          <w:szCs w:val="21"/>
          <w:highlight w:val="none"/>
        </w:rPr>
        <w:t xml:space="preserve"> </w:t>
      </w:r>
      <w:r>
        <w:rPr>
          <w:rFonts w:hint="eastAsia" w:ascii="宋体" w:hAnsi="宋体" w:cs="宋体"/>
          <w:kern w:val="0"/>
          <w:szCs w:val="21"/>
          <w:highlight w:val="none"/>
        </w:rPr>
        <w:t>将发包人按合同约定支付的各项价款专用于合同工程，且应及时支付其雇用人员工资，并及时向分包人支付合同价款。</w:t>
      </w:r>
    </w:p>
    <w:p w14:paraId="332262E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w:t>
      </w:r>
      <w:r>
        <w:rPr>
          <w:rFonts w:hint="eastAsia" w:ascii="宋体" w:hAnsi="宋体" w:cs="宋体"/>
          <w:szCs w:val="21"/>
          <w:highlight w:val="none"/>
        </w:rPr>
        <w:t xml:space="preserve"> </w:t>
      </w:r>
      <w:r>
        <w:rPr>
          <w:rFonts w:hint="eastAsia" w:ascii="宋体" w:hAnsi="宋体" w:cs="宋体"/>
          <w:kern w:val="0"/>
          <w:szCs w:val="21"/>
          <w:highlight w:val="none"/>
        </w:rPr>
        <w:t>承包人提交的竣工资料的内容：</w:t>
      </w:r>
      <w:r>
        <w:rPr>
          <w:rFonts w:hint="eastAsia" w:ascii="宋体" w:hAnsi="宋体" w:cs="宋体"/>
          <w:kern w:val="0"/>
          <w:szCs w:val="21"/>
          <w:highlight w:val="none"/>
          <w:u w:val="single"/>
        </w:rPr>
        <w:t>按《重庆市水利工程建设项目竣工档案编制办法》（渝水【2011】39号）</w:t>
      </w:r>
      <w:r>
        <w:rPr>
          <w:rFonts w:hint="eastAsia" w:ascii="宋体" w:hAnsi="宋体" w:cs="宋体"/>
          <w:kern w:val="0"/>
          <w:szCs w:val="21"/>
          <w:highlight w:val="none"/>
          <w:u w:val="single"/>
          <w:lang w:eastAsia="zh-CN"/>
        </w:rPr>
        <w:t>和</w:t>
      </w:r>
      <w:r>
        <w:rPr>
          <w:rFonts w:hint="eastAsia" w:ascii="宋体" w:hAnsi="宋体" w:eastAsia="宋体" w:cs="宋体"/>
          <w:color w:val="000000"/>
          <w:kern w:val="0"/>
          <w:sz w:val="21"/>
          <w:szCs w:val="21"/>
          <w:highlight w:val="none"/>
          <w:u w:val="single"/>
          <w:lang w:val="en-US" w:eastAsia="zh-CN" w:bidi="ar"/>
        </w:rPr>
        <w:t>重庆市发改委《重点工程项目以工代赈工作指南（试行）》</w:t>
      </w:r>
      <w:r>
        <w:rPr>
          <w:rFonts w:hint="eastAsia" w:ascii="宋体" w:hAnsi="宋体" w:cs="宋体"/>
          <w:kern w:val="0"/>
          <w:szCs w:val="21"/>
          <w:highlight w:val="none"/>
          <w:u w:val="single"/>
        </w:rPr>
        <w:t>规定执行</w:t>
      </w:r>
      <w:r>
        <w:rPr>
          <w:rFonts w:hint="eastAsia" w:ascii="宋体" w:hAnsi="宋体" w:cs="宋体"/>
          <w:kern w:val="0"/>
          <w:szCs w:val="21"/>
          <w:highlight w:val="none"/>
        </w:rPr>
        <w:t>。</w:t>
      </w:r>
    </w:p>
    <w:p w14:paraId="0A07C95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承包人需要提交的竣工资料套数：</w:t>
      </w:r>
      <w:r>
        <w:rPr>
          <w:rFonts w:hint="eastAsia" w:ascii="宋体" w:hAnsi="宋体" w:cs="宋体"/>
          <w:kern w:val="0"/>
          <w:szCs w:val="21"/>
          <w:highlight w:val="none"/>
          <w:u w:val="single"/>
        </w:rPr>
        <w:t>完整竣工资料一式 四 套（含电子文档）</w:t>
      </w:r>
      <w:r>
        <w:rPr>
          <w:rFonts w:hint="eastAsia" w:ascii="宋体" w:hAnsi="宋体" w:cs="宋体"/>
          <w:kern w:val="0"/>
          <w:szCs w:val="21"/>
          <w:highlight w:val="none"/>
        </w:rPr>
        <w:t>。</w:t>
      </w:r>
    </w:p>
    <w:p w14:paraId="421B2CE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承包人提交的竣工资料的费用承担：</w:t>
      </w:r>
      <w:r>
        <w:rPr>
          <w:rFonts w:hint="eastAsia" w:ascii="宋体" w:hAnsi="宋体" w:cs="宋体"/>
          <w:kern w:val="0"/>
          <w:szCs w:val="21"/>
          <w:highlight w:val="none"/>
          <w:u w:val="single"/>
        </w:rPr>
        <w:t>由承包人承担</w:t>
      </w:r>
      <w:r>
        <w:rPr>
          <w:rFonts w:hint="eastAsia" w:ascii="宋体" w:hAnsi="宋体" w:cs="宋体"/>
          <w:kern w:val="0"/>
          <w:szCs w:val="21"/>
          <w:highlight w:val="none"/>
        </w:rPr>
        <w:t>。</w:t>
      </w:r>
    </w:p>
    <w:p w14:paraId="50F456B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承包人提交的竣工资料移交时间：</w:t>
      </w:r>
      <w:r>
        <w:rPr>
          <w:rFonts w:hint="eastAsia" w:ascii="宋体" w:hAnsi="宋体" w:cs="宋体"/>
          <w:kern w:val="0"/>
          <w:szCs w:val="21"/>
          <w:highlight w:val="none"/>
          <w:u w:val="single"/>
        </w:rPr>
        <w:t>工程完工验收合格后1个月内移交给发包人</w:t>
      </w:r>
      <w:r>
        <w:rPr>
          <w:rFonts w:hint="eastAsia" w:ascii="宋体" w:hAnsi="宋体" w:cs="宋体"/>
          <w:kern w:val="0"/>
          <w:szCs w:val="21"/>
          <w:highlight w:val="none"/>
        </w:rPr>
        <w:t>。</w:t>
      </w:r>
    </w:p>
    <w:p w14:paraId="38F922D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承包人提交的竣工资料形式要求：</w:t>
      </w:r>
      <w:r>
        <w:rPr>
          <w:rFonts w:hint="eastAsia" w:ascii="宋体" w:hAnsi="宋体" w:cs="宋体"/>
          <w:kern w:val="0"/>
          <w:szCs w:val="21"/>
          <w:highlight w:val="none"/>
          <w:u w:val="single"/>
        </w:rPr>
        <w:t>完整的书面文件及电子文档</w:t>
      </w:r>
      <w:r>
        <w:rPr>
          <w:rFonts w:hint="eastAsia" w:ascii="宋体" w:hAnsi="宋体" w:cs="宋体"/>
          <w:kern w:val="0"/>
          <w:szCs w:val="21"/>
          <w:highlight w:val="none"/>
        </w:rPr>
        <w:t>。</w:t>
      </w:r>
    </w:p>
    <w:p w14:paraId="3710ED9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4.1.4对施工作业和施工方法的完备性负责</w:t>
      </w:r>
    </w:p>
    <w:p w14:paraId="5BFC4A1E">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本项补充4.1.4.1目如下：</w:t>
      </w:r>
    </w:p>
    <w:p w14:paraId="1482AF1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4.1.4.1施工组织设计的提交和修改</w:t>
      </w:r>
    </w:p>
    <w:p w14:paraId="5A815F4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（1）承包人提交详细施工组织设计的期限的约定：</w:t>
      </w:r>
      <w:r>
        <w:rPr>
          <w:rFonts w:hint="eastAsia" w:ascii="宋体" w:hAnsi="宋体" w:cs="宋体"/>
          <w:kern w:val="0"/>
          <w:szCs w:val="21"/>
          <w:highlight w:val="none"/>
          <w:u w:val="single"/>
        </w:rPr>
        <w:t>合同签订后14天内，但最迟不得晚于开工通知载明的开工日期前7天</w:t>
      </w:r>
      <w:r>
        <w:rPr>
          <w:rFonts w:hint="eastAsia" w:ascii="宋体" w:hAnsi="宋体" w:cs="宋体"/>
          <w:kern w:val="0"/>
          <w:szCs w:val="21"/>
          <w:highlight w:val="none"/>
        </w:rPr>
        <w:t>。</w:t>
      </w:r>
    </w:p>
    <w:p w14:paraId="7CA349CF">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kern w:val="0"/>
          <w:szCs w:val="21"/>
          <w:highlight w:val="none"/>
        </w:rPr>
        <w:t>（2）承包人编制施工组织设计的内容：</w:t>
      </w:r>
      <w:r>
        <w:rPr>
          <w:rFonts w:hint="eastAsia" w:ascii="宋体" w:hAnsi="宋体" w:eastAsia="宋体" w:cs="宋体"/>
          <w:spacing w:val="2"/>
          <w:sz w:val="21"/>
          <w:szCs w:val="21"/>
          <w:highlight w:val="none"/>
          <w:u w:val="single" w:color="auto"/>
        </w:rPr>
        <w:t>应采用文字并结合图表形式说明施工方法:拟投入工 程的主要施工设备情况、拟配备工程的试验和检测仪器设备情况、劳动力计划等:结合工程特点提 出切实可行的工程质量、安全生产、文明施工、工程进度、技术组织措施</w:t>
      </w:r>
      <w:r>
        <w:rPr>
          <w:rFonts w:hint="eastAsia" w:ascii="宋体" w:hAnsi="宋体" w:eastAsia="宋体" w:cs="宋体"/>
          <w:spacing w:val="2"/>
          <w:sz w:val="21"/>
          <w:szCs w:val="21"/>
          <w:highlight w:val="none"/>
          <w:u w:val="single" w:color="auto"/>
          <w:lang w:eastAsia="zh-CN"/>
        </w:rPr>
        <w:t>，</w:t>
      </w:r>
      <w:r>
        <w:rPr>
          <w:rFonts w:hint="eastAsia" w:ascii="宋体" w:hAnsi="宋体" w:eastAsia="宋体" w:cs="宋体"/>
          <w:spacing w:val="2"/>
          <w:sz w:val="21"/>
          <w:szCs w:val="21"/>
          <w:highlight w:val="none"/>
          <w:u w:val="single" w:color="auto"/>
        </w:rPr>
        <w:t>同时应对关键工序、复 杂环节重点提出相应技术措施，如冬雨季施工技术、减少噪音、降低环境污染、地下管线及其他地上地下设施的保护加固措施等按发包人要求提供</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26522DEE">
      <w:pPr>
        <w:pageBreakBefore w:val="0"/>
        <w:kinsoku/>
        <w:overflowPunct/>
        <w:topLinePunct w:val="0"/>
        <w:bidi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rPr>
        <w:t>（3）发包人和监理人在收到详细的施工组织设计后确认或提出修改意见的期限：</w:t>
      </w:r>
      <w:r>
        <w:rPr>
          <w:rFonts w:hint="eastAsia" w:ascii="宋体" w:hAnsi="宋体" w:cs="宋体"/>
          <w:kern w:val="0"/>
          <w:szCs w:val="21"/>
          <w:highlight w:val="none"/>
          <w:u w:val="single"/>
        </w:rPr>
        <w:t>收到施工组织设计后 7天内</w:t>
      </w:r>
      <w:r>
        <w:rPr>
          <w:rFonts w:hint="eastAsia" w:ascii="宋体" w:hAnsi="宋体" w:cs="宋体"/>
          <w:kern w:val="0"/>
          <w:szCs w:val="21"/>
          <w:highlight w:val="none"/>
        </w:rPr>
        <w:t>。</w:t>
      </w:r>
    </w:p>
    <w:p w14:paraId="2DDBD86B">
      <w:pPr>
        <w:pStyle w:val="2"/>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highlight w:val="none"/>
        </w:rPr>
        <w:t>本款补充细化4.1.9、4.1.10项如下：</w:t>
      </w:r>
    </w:p>
    <w:p w14:paraId="20EB5324">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4.1.9工程的维护和照管</w:t>
      </w:r>
    </w:p>
    <w:p w14:paraId="58B954BB">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完工验收证书颁发前，承包人应负责照管和维护工程及将用于或安装在本工程中的材料、设备。完工验收证书颁发时尚有部分未完工工程的，承包人还应负责该未完工工程、材料、设备的照管和维护工作，直至完工后移交给发包人为止。</w:t>
      </w:r>
    </w:p>
    <w:p w14:paraId="66C52C8F">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在承包人负责照管与维护期间，如果本工程或材料、设备等发生损失或损害，除不可抗力原因之外，承包人均应自费弥补，并达到合同要求。承包人还应对按第23项（索赔）规定而实施作业过程中由承包人造成的对工程的任何损失或损害负责。</w:t>
      </w:r>
    </w:p>
    <w:p w14:paraId="3E909AC6">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4.1.10其他义务</w:t>
      </w:r>
    </w:p>
    <w:p w14:paraId="5B3C9EB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（1）在开始施工之前，承包人应核查、复测本工程的各种基准标志。承包人应及时将上述基准标志中存在的错误、不完整或其他缺陷通知发包人，以便发包人核实后重新确认。</w:t>
      </w:r>
    </w:p>
    <w:p w14:paraId="25457E1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u w:val="single"/>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7D66E231">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741EB27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（4）承包人应服从发包人要求的管理模式、工作方式和工作要求，同时接受监理人、跟审单位（如有）的管理和全程监督，配合项目结、决算的办理。</w:t>
      </w:r>
    </w:p>
    <w:p w14:paraId="47F0638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 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重庆市水利建设市场主体信用信息平台。工资支付表应如实记录支付单位、支付时间、支付对象、支付数额、支付对象的身份证号和签名等信息。民工花名册和工资支付表应报监理人备查。</w:t>
      </w:r>
    </w:p>
    <w:p w14:paraId="1D33828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155246A0">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3F9379E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（8）承包人应履行的其他义务：</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874B4B0">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  履约担保</w:t>
      </w:r>
    </w:p>
    <w:p w14:paraId="50FE3F60">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本款补充4.2.1～4.2.2项如下：</w:t>
      </w:r>
    </w:p>
    <w:p w14:paraId="2E11823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4.2.1 承包人是否提供履约担保：</w:t>
      </w:r>
      <w:r>
        <w:rPr>
          <w:rFonts w:hint="eastAsia" w:ascii="宋体" w:hAnsi="宋体" w:cs="宋体"/>
          <w:kern w:val="0"/>
          <w:szCs w:val="21"/>
          <w:highlight w:val="none"/>
          <w:u w:val="single"/>
        </w:rPr>
        <w:t>提供</w:t>
      </w:r>
      <w:r>
        <w:rPr>
          <w:rFonts w:hint="eastAsia" w:ascii="宋体" w:hAnsi="宋体" w:cs="宋体"/>
          <w:kern w:val="0"/>
          <w:szCs w:val="21"/>
          <w:highlight w:val="none"/>
        </w:rPr>
        <w:t>。</w:t>
      </w:r>
    </w:p>
    <w:p w14:paraId="63981832">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4.2.2承包人提供履约担保的形式、金额及期限：</w:t>
      </w:r>
    </w:p>
    <w:p w14:paraId="26BC7DF8">
      <w:pPr>
        <w:pageBreakBefore w:val="0"/>
        <w:kinsoku/>
        <w:overflowPunct/>
        <w:topLinePunct w:val="0"/>
        <w:bidi w:val="0"/>
        <w:snapToGrid w:val="0"/>
        <w:spacing w:line="360" w:lineRule="auto"/>
        <w:ind w:firstLine="420" w:firstLineChars="200"/>
        <w:rPr>
          <w:rFonts w:ascii="宋体" w:hAnsi="宋体"/>
          <w:color w:val="auto"/>
          <w:kern w:val="0"/>
          <w:szCs w:val="21"/>
          <w:highlight w:val="none"/>
          <w:u w:val="single"/>
        </w:rPr>
      </w:pPr>
      <w:r>
        <w:rPr>
          <w:rFonts w:hint="eastAsia" w:ascii="宋体" w:hAnsi="宋体" w:cs="宋体"/>
          <w:kern w:val="0"/>
          <w:szCs w:val="21"/>
          <w:highlight w:val="none"/>
        </w:rPr>
        <w:t>（1）履约担保的形式：</w:t>
      </w:r>
      <w:r>
        <w:rPr>
          <w:rFonts w:hint="eastAsia" w:ascii="宋体" w:hAnsi="宋体"/>
          <w:color w:val="auto"/>
          <w:kern w:val="0"/>
          <w:szCs w:val="21"/>
          <w:highlight w:val="none"/>
        </w:rPr>
        <w:t>现金或保函或现金+保函的组合；</w:t>
      </w:r>
      <w:r>
        <w:rPr>
          <w:rFonts w:hint="eastAsia" w:ascii="宋体" w:hAnsi="宋体" w:cs="宋体"/>
          <w:color w:val="auto"/>
          <w:kern w:val="0"/>
          <w:szCs w:val="21"/>
          <w:highlight w:val="none"/>
        </w:rPr>
        <w:t>采用保函形式的，保函必须为不可撤销且见索即付</w:t>
      </w:r>
      <w:r>
        <w:rPr>
          <w:rFonts w:hint="eastAsia" w:ascii="宋体" w:hAnsi="宋体"/>
          <w:color w:val="auto"/>
          <w:kern w:val="0"/>
          <w:szCs w:val="21"/>
          <w:highlight w:val="none"/>
        </w:rPr>
        <w:t>。</w:t>
      </w:r>
    </w:p>
    <w:p w14:paraId="45967E64">
      <w:pPr>
        <w:pageBreakBefore w:val="0"/>
        <w:tabs>
          <w:tab w:val="left" w:pos="1134"/>
        </w:tabs>
        <w:kinsoku/>
        <w:overflowPunct/>
        <w:topLinePunct w:val="0"/>
        <w:bidi w:val="0"/>
        <w:spacing w:line="360" w:lineRule="auto"/>
        <w:ind w:firstLine="420" w:firstLineChars="200"/>
        <w:jc w:val="left"/>
        <w:rPr>
          <w:rFonts w:ascii="宋体" w:hAnsi="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rPr>
        <w:t>）履约担保的金额：</w:t>
      </w:r>
      <w:r>
        <w:rPr>
          <w:rFonts w:hint="eastAsia" w:ascii="宋体" w:hAnsi="宋体" w:cs="宋体"/>
          <w:kern w:val="0"/>
          <w:szCs w:val="21"/>
          <w:highlight w:val="none"/>
          <w:u w:val="single"/>
        </w:rPr>
        <w:t xml:space="preserve"> </w:t>
      </w:r>
      <w:r>
        <w:rPr>
          <w:rFonts w:hint="eastAsia" w:ascii="宋体" w:hAnsi="宋体"/>
          <w:kern w:val="0"/>
          <w:szCs w:val="21"/>
          <w:highlight w:val="none"/>
          <w:u w:val="single"/>
        </w:rPr>
        <w:t>中标合同金额的1</w:t>
      </w:r>
      <w:r>
        <w:rPr>
          <w:rFonts w:ascii="宋体" w:hAnsi="宋体"/>
          <w:kern w:val="0"/>
          <w:szCs w:val="21"/>
          <w:highlight w:val="none"/>
          <w:u w:val="single"/>
        </w:rPr>
        <w:t>0%</w:t>
      </w:r>
      <w:r>
        <w:rPr>
          <w:rFonts w:hint="eastAsia" w:ascii="宋体" w:hAnsi="宋体" w:cs="宋体"/>
          <w:kern w:val="0"/>
          <w:szCs w:val="21"/>
          <w:highlight w:val="none"/>
          <w:u w:val="single"/>
        </w:rPr>
        <w:t xml:space="preserve">  </w:t>
      </w:r>
      <w:r>
        <w:rPr>
          <w:rFonts w:hint="eastAsia" w:ascii="宋体" w:hAnsi="宋体"/>
          <w:szCs w:val="21"/>
          <w:highlight w:val="none"/>
        </w:rPr>
        <w:t>。</w:t>
      </w:r>
    </w:p>
    <w:p w14:paraId="2DFA83B5">
      <w:pPr>
        <w:pageBreakBefore w:val="0"/>
        <w:tabs>
          <w:tab w:val="left" w:pos="1134"/>
        </w:tabs>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）履约担保的提交时间：</w:t>
      </w:r>
      <w:r>
        <w:rPr>
          <w:rFonts w:hint="eastAsia" w:ascii="宋体" w:hAnsi="宋体" w:cs="宋体"/>
          <w:kern w:val="0"/>
          <w:szCs w:val="21"/>
          <w:highlight w:val="none"/>
          <w:u w:val="single"/>
        </w:rPr>
        <w:t>在合同签订前，承包人按担保金额向发包人提交履约担保。</w:t>
      </w:r>
    </w:p>
    <w:p w14:paraId="162F74A4">
      <w:pPr>
        <w:pageBreakBefore w:val="0"/>
        <w:tabs>
          <w:tab w:val="left" w:pos="1134"/>
        </w:tabs>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rPr>
        <w:t>）履约担保的期限：</w:t>
      </w:r>
      <w:r>
        <w:rPr>
          <w:rFonts w:hint="eastAsia" w:ascii="宋体" w:hAnsi="宋体" w:cs="宋体"/>
          <w:kern w:val="0"/>
          <w:szCs w:val="21"/>
          <w:highlight w:val="none"/>
          <w:u w:val="single"/>
        </w:rPr>
        <w:t>自提交履约担保之日起至发包人颁发合同工程完工证书止</w:t>
      </w:r>
      <w:r>
        <w:rPr>
          <w:rFonts w:hint="eastAsia" w:ascii="宋体" w:hAnsi="宋体" w:cs="宋体"/>
          <w:kern w:val="0"/>
          <w:szCs w:val="21"/>
          <w:highlight w:val="none"/>
        </w:rPr>
        <w:t>。</w:t>
      </w:r>
    </w:p>
    <w:p w14:paraId="173B6476">
      <w:pPr>
        <w:pStyle w:val="2"/>
        <w:pageBreakBefore w:val="0"/>
        <w:kinsoku/>
        <w:overflowPunct/>
        <w:topLinePunct w:val="0"/>
        <w:bidi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）履约担保的退还时间：</w:t>
      </w:r>
      <w:r>
        <w:rPr>
          <w:rFonts w:hint="eastAsia" w:ascii="宋体" w:hAnsi="宋体" w:cs="宋体"/>
          <w:kern w:val="0"/>
          <w:szCs w:val="21"/>
          <w:highlight w:val="none"/>
          <w:u w:val="single"/>
        </w:rPr>
        <w:t>采用现金担保的，合同工程完工证书颁发后</w:t>
      </w:r>
      <w:r>
        <w:rPr>
          <w:rFonts w:ascii="宋体" w:hAnsi="宋体" w:cs="宋体"/>
          <w:kern w:val="0"/>
          <w:szCs w:val="21"/>
          <w:highlight w:val="none"/>
          <w:u w:val="single"/>
        </w:rPr>
        <w:t>28天内退还</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采用履约保函的，合同工程完工证书颁发后</w:t>
      </w:r>
      <w:r>
        <w:rPr>
          <w:rFonts w:ascii="宋体" w:hAnsi="宋体" w:cs="宋体"/>
          <w:kern w:val="0"/>
          <w:szCs w:val="21"/>
          <w:highlight w:val="none"/>
          <w:u w:val="single"/>
        </w:rPr>
        <w:t xml:space="preserve">28天内退还  </w:t>
      </w:r>
      <w:r>
        <w:rPr>
          <w:rFonts w:hint="eastAsia" w:ascii="宋体" w:hAnsi="宋体" w:cs="宋体"/>
          <w:kern w:val="0"/>
          <w:szCs w:val="21"/>
          <w:highlight w:val="none"/>
          <w:u w:val="none"/>
        </w:rPr>
        <w:t>。</w:t>
      </w:r>
      <w:bookmarkEnd w:id="90"/>
      <w:bookmarkStart w:id="91" w:name="_Toc33183719"/>
      <w:bookmarkStart w:id="92" w:name="_Toc221951153"/>
    </w:p>
    <w:p w14:paraId="54B08E6D">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4.3  分包</w:t>
      </w:r>
      <w:bookmarkEnd w:id="91"/>
      <w:bookmarkEnd w:id="92"/>
    </w:p>
    <w:p w14:paraId="5DC0C6CD">
      <w:pPr>
        <w:pStyle w:val="2"/>
        <w:pageBreakBefore w:val="0"/>
        <w:kinsoku/>
        <w:overflowPunct/>
        <w:topLinePunct w:val="0"/>
        <w:bidi w:val="0"/>
        <w:spacing w:line="360" w:lineRule="auto"/>
        <w:ind w:firstLine="420" w:firstLineChars="200"/>
        <w:rPr>
          <w:highlight w:val="none"/>
        </w:rPr>
      </w:pPr>
      <w:r>
        <w:rPr>
          <w:rFonts w:hint="eastAsia" w:ascii="宋体" w:hAnsi="宋体" w:cs="宋体"/>
          <w:szCs w:val="21"/>
          <w:highlight w:val="none"/>
        </w:rPr>
        <w:t>本工程不允许分包</w:t>
      </w:r>
    </w:p>
    <w:p w14:paraId="6281ACC4">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4.5  承包人项目经理</w:t>
      </w:r>
    </w:p>
    <w:p w14:paraId="739A4A0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项目经理：</w:t>
      </w:r>
    </w:p>
    <w:p w14:paraId="77E4CC7E">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kern w:val="0"/>
          <w:szCs w:val="21"/>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w:t>
      </w:r>
    </w:p>
    <w:p w14:paraId="5AE148F1">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w:t>
      </w:r>
    </w:p>
    <w:p w14:paraId="5B68E046">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建造师执业资格等级：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274B5">
      <w:pPr>
        <w:pStyle w:val="6"/>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baseline"/>
        <w:rPr>
          <w:rFonts w:ascii="宋体" w:hAnsi="宋体" w:cs="宋体"/>
          <w:szCs w:val="21"/>
          <w:highlight w:val="none"/>
        </w:rPr>
      </w:pPr>
      <w:r>
        <w:rPr>
          <w:rFonts w:hint="eastAsia" w:ascii="宋体" w:hAnsi="宋体" w:cs="宋体"/>
          <w:szCs w:val="21"/>
          <w:highlight w:val="none"/>
        </w:rPr>
        <w:t>建造师注册证书号：</w:t>
      </w:r>
      <w:r>
        <w:rPr>
          <w:rFonts w:hint="eastAsia" w:ascii="宋体" w:hAnsi="宋体" w:cs="宋体"/>
          <w:szCs w:val="21"/>
          <w:highlight w:val="none"/>
          <w:u w:val="single"/>
          <w:lang w:val="en-US" w:eastAsia="zh-CN"/>
        </w:rPr>
        <w:t xml:space="preserve"> </w:t>
      </w:r>
      <w:r>
        <w:rPr>
          <w:rFonts w:hint="eastAsia" w:cs="宋体"/>
          <w:kern w:val="2"/>
          <w:sz w:val="21"/>
          <w:szCs w:val="21"/>
          <w:highlight w:val="none"/>
          <w:u w:val="single"/>
          <w:lang w:val="en-US" w:eastAsia="zh-CN" w:bidi="ar-SA"/>
        </w:rPr>
        <w:t xml:space="preserve"> </w:t>
      </w:r>
      <w:r>
        <w:rPr>
          <w:rFonts w:hint="eastAsia" w:ascii="宋体" w:hAnsi="宋体" w:cs="宋体"/>
          <w:szCs w:val="21"/>
          <w:highlight w:val="none"/>
        </w:rPr>
        <w:t>；</w:t>
      </w:r>
    </w:p>
    <w:p w14:paraId="6301584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cs="宋体"/>
          <w:szCs w:val="21"/>
          <w:highlight w:val="none"/>
        </w:rPr>
      </w:pPr>
      <w:r>
        <w:rPr>
          <w:rFonts w:hint="eastAsia" w:ascii="宋体" w:hAnsi="宋体" w:cs="宋体"/>
          <w:szCs w:val="21"/>
          <w:highlight w:val="none"/>
        </w:rPr>
        <w:t>建造师执业印章号：</w:t>
      </w:r>
      <w:r>
        <w:rPr>
          <w:rFonts w:hint="eastAsia" w:ascii="宋体" w:hAnsi="宋体" w:cs="宋体"/>
          <w:szCs w:val="21"/>
          <w:highlight w:val="none"/>
          <w:u w:val="single"/>
        </w:rPr>
        <w:t></w:t>
      </w:r>
      <w:r>
        <w:rPr>
          <w:rFonts w:hint="eastAsia" w:ascii="宋体" w:hAnsi="宋体" w:cs="宋体"/>
          <w:kern w:val="2"/>
          <w:sz w:val="21"/>
          <w:szCs w:val="21"/>
          <w:highlight w:val="none"/>
          <w:u w:val="single"/>
          <w:lang w:val="en-US" w:eastAsia="zh-CN" w:bidi="ar-SA"/>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4F0524D1">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安全生产考核合格证书号：</w:t>
      </w:r>
      <w:r>
        <w:rPr>
          <w:rFonts w:hint="eastAsia" w:ascii="宋体" w:hAnsi="宋体" w:cs="宋体"/>
          <w:szCs w:val="21"/>
          <w:highlight w:val="none"/>
          <w:u w:val="single"/>
        </w:rPr>
        <w:t></w:t>
      </w:r>
      <w:r>
        <w:rPr>
          <w:rFonts w:hint="eastAsia" w:ascii="宋体" w:hAnsi="宋体"/>
          <w:kern w:val="0"/>
          <w:szCs w:val="21"/>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w:t>
      </w:r>
    </w:p>
    <w:p w14:paraId="4C1B159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联系方式：</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633FC90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承包人对项目经理的授权范围如下：</w:t>
      </w:r>
      <w:r>
        <w:rPr>
          <w:rFonts w:hint="eastAsia" w:ascii="宋体" w:hAnsi="宋体" w:cs="宋体"/>
          <w:kern w:val="0"/>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s="宋体"/>
          <w:kern w:val="0"/>
          <w:szCs w:val="21"/>
          <w:highlight w:val="none"/>
        </w:rPr>
        <w:t>。</w:t>
      </w:r>
    </w:p>
    <w:p w14:paraId="61B30611">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关于项目经理每月在施工现场的时间要求：</w:t>
      </w:r>
      <w:r>
        <w:rPr>
          <w:rFonts w:hint="eastAsia" w:ascii="宋体" w:hAnsi="宋体" w:cs="宋体"/>
          <w:kern w:val="0"/>
          <w:szCs w:val="21"/>
          <w:highlight w:val="none"/>
          <w:u w:val="single"/>
        </w:rPr>
        <w:t>不少于22天，由监理人负责项目经理的考勤</w:t>
      </w:r>
      <w:r>
        <w:rPr>
          <w:rFonts w:hint="eastAsia" w:ascii="宋体" w:hAnsi="宋体" w:cs="宋体"/>
          <w:kern w:val="0"/>
          <w:szCs w:val="21"/>
          <w:highlight w:val="none"/>
        </w:rPr>
        <w:t>。</w:t>
      </w:r>
    </w:p>
    <w:p w14:paraId="6D51D03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u w:val="single"/>
        </w:rPr>
        <w:t>承包人应在合同签订前提交与项目经理签订的劳动合同及为项目经理缴纳社会保险的证明，承包人未在限期内提交的，项目经理无权履行职责，发包人有权要求更换项目经理</w:t>
      </w:r>
      <w:r>
        <w:rPr>
          <w:rFonts w:hint="eastAsia" w:ascii="宋体" w:hAnsi="宋体" w:cs="宋体"/>
          <w:kern w:val="0"/>
          <w:szCs w:val="21"/>
          <w:highlight w:val="none"/>
        </w:rPr>
        <w:t>。</w:t>
      </w:r>
    </w:p>
    <w:p w14:paraId="2AEE8051">
      <w:pPr>
        <w:pageBreakBefore w:val="0"/>
        <w:kinsoku/>
        <w:overflowPunct/>
        <w:topLinePunct w:val="0"/>
        <w:bidi w:val="0"/>
        <w:spacing w:line="360" w:lineRule="auto"/>
        <w:ind w:right="248" w:firstLine="420" w:firstLineChars="200"/>
        <w:rPr>
          <w:rFonts w:ascii="宋体" w:hAnsi="宋体" w:cs="宋体"/>
          <w:bCs/>
          <w:szCs w:val="21"/>
          <w:highlight w:val="none"/>
        </w:rPr>
      </w:pPr>
      <w:r>
        <w:rPr>
          <w:rFonts w:hint="eastAsia" w:ascii="宋体" w:hAnsi="宋体" w:cs="宋体"/>
          <w:bCs/>
          <w:szCs w:val="21"/>
          <w:highlight w:val="none"/>
        </w:rPr>
        <w:t>4.6承包人人员的管理</w:t>
      </w:r>
    </w:p>
    <w:p w14:paraId="748DDBF3">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bCs/>
          <w:szCs w:val="21"/>
          <w:highlight w:val="none"/>
        </w:rPr>
        <w:t>4.6.5</w:t>
      </w:r>
      <w:r>
        <w:rPr>
          <w:rFonts w:hint="eastAsia" w:ascii="宋体" w:hAnsi="宋体" w:cs="宋体"/>
          <w:kern w:val="0"/>
          <w:szCs w:val="21"/>
          <w:highlight w:val="none"/>
        </w:rPr>
        <w:t>技术负责人</w:t>
      </w:r>
    </w:p>
    <w:p w14:paraId="4CDF8F6B">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4686A7D0">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E0491B3">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职称等级：</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6B9EB21">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专    业：</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36C4CD19">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证书编号：</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06D1D774">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67B28E1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关于技术负责人每月在施工现场的时间要求：</w:t>
      </w:r>
      <w:r>
        <w:rPr>
          <w:rFonts w:hint="eastAsia" w:ascii="宋体" w:hAnsi="宋体" w:cs="宋体"/>
          <w:kern w:val="0"/>
          <w:szCs w:val="21"/>
          <w:highlight w:val="none"/>
          <w:u w:val="single"/>
        </w:rPr>
        <w:t>不少于22天，由监理人负责技术负责人的考勤</w:t>
      </w:r>
      <w:r>
        <w:rPr>
          <w:rFonts w:hint="eastAsia" w:ascii="宋体" w:hAnsi="宋体" w:cs="宋体"/>
          <w:kern w:val="0"/>
          <w:szCs w:val="21"/>
          <w:highlight w:val="none"/>
        </w:rPr>
        <w:t>。</w:t>
      </w:r>
    </w:p>
    <w:p w14:paraId="6688F630">
      <w:pPr>
        <w:pageBreakBefore w:val="0"/>
        <w:kinsoku/>
        <w:overflowPunct/>
        <w:topLinePunct w:val="0"/>
        <w:bidi w:val="0"/>
        <w:spacing w:line="360" w:lineRule="auto"/>
        <w:ind w:right="248" w:firstLine="420" w:firstLineChars="200"/>
        <w:rPr>
          <w:rFonts w:ascii="宋体" w:hAnsi="宋体" w:cs="宋体"/>
          <w:bCs/>
          <w:szCs w:val="21"/>
          <w:highlight w:val="none"/>
        </w:rPr>
      </w:pPr>
      <w:r>
        <w:rPr>
          <w:rFonts w:hint="eastAsia" w:ascii="宋体" w:hAnsi="宋体" w:cs="宋体"/>
          <w:kern w:val="0"/>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s="宋体"/>
          <w:kern w:val="0"/>
          <w:szCs w:val="21"/>
          <w:highlight w:val="none"/>
        </w:rPr>
        <w:t>。</w:t>
      </w:r>
    </w:p>
    <w:p w14:paraId="3CAB5FB4">
      <w:pPr>
        <w:pageBreakBefore w:val="0"/>
        <w:kinsoku/>
        <w:overflowPunct/>
        <w:topLinePunct w:val="0"/>
        <w:bidi w:val="0"/>
        <w:spacing w:before="1" w:line="360" w:lineRule="auto"/>
        <w:ind w:left="0" w:leftChars="0" w:firstLine="420" w:firstLineChars="200"/>
        <w:rPr>
          <w:rFonts w:ascii="宋体" w:hAnsi="宋体" w:cs="宋体"/>
          <w:kern w:val="0"/>
          <w:szCs w:val="21"/>
          <w:highlight w:val="none"/>
        </w:rPr>
      </w:pPr>
      <w:r>
        <w:rPr>
          <w:rFonts w:hint="eastAsia" w:ascii="宋体" w:hAnsi="宋体" w:cs="宋体"/>
          <w:bCs/>
          <w:szCs w:val="21"/>
          <w:highlight w:val="none"/>
        </w:rPr>
        <w:t>4.6.6</w:t>
      </w:r>
      <w:r>
        <w:rPr>
          <w:rFonts w:hint="eastAsia" w:ascii="宋体" w:hAnsi="宋体" w:cs="宋体"/>
          <w:kern w:val="0"/>
          <w:szCs w:val="21"/>
          <w:highlight w:val="none"/>
        </w:rPr>
        <w:t>承包人主要施工管理人员离开施工现场的批准要求：</w:t>
      </w:r>
      <w:r>
        <w:rPr>
          <w:rFonts w:hint="eastAsia" w:ascii="宋体" w:hAnsi="宋体" w:cs="宋体"/>
          <w:kern w:val="0"/>
          <w:szCs w:val="21"/>
          <w:highlight w:val="none"/>
          <w:u w:val="single"/>
        </w:rPr>
        <w:t xml:space="preserve"> </w:t>
      </w:r>
      <w:r>
        <w:rPr>
          <w:rFonts w:hint="eastAsia" w:ascii="宋体" w:hAnsi="宋体" w:eastAsia="宋体" w:cs="宋体"/>
          <w:spacing w:val="-3"/>
          <w:sz w:val="21"/>
          <w:szCs w:val="21"/>
          <w:highlight w:val="none"/>
          <w:u w:val="single" w:color="auto"/>
        </w:rPr>
        <w:t>承包人应提前</w:t>
      </w:r>
      <w:r>
        <w:rPr>
          <w:rFonts w:hint="eastAsia" w:ascii="宋体" w:hAnsi="宋体" w:eastAsia="宋体" w:cs="宋体"/>
          <w:spacing w:val="-3"/>
          <w:sz w:val="21"/>
          <w:szCs w:val="21"/>
          <w:highlight w:val="none"/>
          <w:u w:val="single" w:color="auto"/>
          <w:lang w:eastAsia="zh-CN"/>
        </w:rPr>
        <w:t>通知发包人和监理人，经发包人同意后方可离开</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w:t>
      </w:r>
    </w:p>
    <w:p w14:paraId="76496898">
      <w:pPr>
        <w:pageBreakBefore w:val="0"/>
        <w:kinsoku/>
        <w:overflowPunct/>
        <w:topLinePunct w:val="0"/>
        <w:bidi w:val="0"/>
        <w:snapToGrid w:val="0"/>
        <w:spacing w:line="360" w:lineRule="auto"/>
        <w:ind w:firstLine="480"/>
        <w:rPr>
          <w:rFonts w:ascii="宋体" w:hAnsi="宋体" w:cs="宋体"/>
          <w:bCs/>
          <w:szCs w:val="21"/>
          <w:highlight w:val="none"/>
        </w:rPr>
      </w:pPr>
      <w:r>
        <w:rPr>
          <w:rFonts w:hint="eastAsia" w:ascii="宋体" w:hAnsi="宋体" w:cs="宋体"/>
          <w:bCs/>
          <w:szCs w:val="21"/>
          <w:highlight w:val="none"/>
        </w:rPr>
        <w:t>4.7撤换承包人项目经理和其他人员</w:t>
      </w:r>
    </w:p>
    <w:p w14:paraId="2F57404A">
      <w:pPr>
        <w:pStyle w:val="2"/>
        <w:pageBreakBefore w:val="0"/>
        <w:kinsoku/>
        <w:overflowPunct/>
        <w:topLinePunct w:val="0"/>
        <w:bidi w:val="0"/>
        <w:spacing w:line="360" w:lineRule="auto"/>
        <w:ind w:firstLine="420" w:firstLineChars="200"/>
        <w:rPr>
          <w:highlight w:val="none"/>
        </w:rPr>
      </w:pPr>
      <w:r>
        <w:rPr>
          <w:rFonts w:hint="eastAsia" w:ascii="宋体" w:hAnsi="宋体" w:cs="宋体"/>
          <w:bCs/>
          <w:szCs w:val="21"/>
          <w:highlight w:val="none"/>
        </w:rPr>
        <w:t>本款补充4.7.1、4.7.2项如下：</w:t>
      </w:r>
    </w:p>
    <w:p w14:paraId="235CEEA0">
      <w:pPr>
        <w:pageBreakBefore w:val="0"/>
        <w:kinsoku/>
        <w:overflowPunct/>
        <w:topLinePunct w:val="0"/>
        <w:bidi w:val="0"/>
        <w:snapToGrid w:val="0"/>
        <w:spacing w:line="360" w:lineRule="auto"/>
        <w:ind w:firstLine="480"/>
        <w:rPr>
          <w:rFonts w:ascii="宋体" w:hAnsi="宋体" w:cs="宋体"/>
          <w:bCs/>
          <w:szCs w:val="21"/>
          <w:highlight w:val="none"/>
        </w:rPr>
      </w:pPr>
      <w:r>
        <w:rPr>
          <w:rFonts w:hint="eastAsia" w:ascii="宋体" w:hAnsi="宋体" w:cs="宋体"/>
          <w:bCs/>
          <w:szCs w:val="21"/>
          <w:highlight w:val="none"/>
        </w:rPr>
        <w:t>4.7.1撤换承包人项目经理</w:t>
      </w:r>
      <w:r>
        <w:rPr>
          <w:rFonts w:hint="eastAsia" w:ascii="宋体" w:hAnsi="宋体" w:cs="宋体"/>
          <w:kern w:val="0"/>
          <w:szCs w:val="21"/>
          <w:highlight w:val="none"/>
        </w:rPr>
        <w:t>（或）技术负责人</w:t>
      </w:r>
    </w:p>
    <w:p w14:paraId="1AB07F87">
      <w:pPr>
        <w:pageBreakBefore w:val="0"/>
        <w:kinsoku/>
        <w:overflowPunct/>
        <w:topLinePunct w:val="0"/>
        <w:bidi w:val="0"/>
        <w:snapToGrid w:val="0"/>
        <w:spacing w:line="360" w:lineRule="auto"/>
        <w:ind w:firstLine="480"/>
        <w:rPr>
          <w:rFonts w:ascii="宋体" w:hAnsi="宋体" w:cs="宋体"/>
          <w:kern w:val="0"/>
          <w:szCs w:val="21"/>
          <w:highlight w:val="none"/>
        </w:rPr>
      </w:pPr>
      <w:r>
        <w:rPr>
          <w:rFonts w:hint="eastAsia" w:ascii="宋体" w:hAnsi="宋体" w:cs="宋体"/>
          <w:kern w:val="0"/>
          <w:szCs w:val="21"/>
          <w:highlight w:val="none"/>
        </w:rPr>
        <w:t>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继任项目经理和（或）技术负责人继续履行合同约定的职责。</w:t>
      </w:r>
    </w:p>
    <w:p w14:paraId="2A656B5E">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若项目经理和</w:t>
      </w:r>
      <w:r>
        <w:rPr>
          <w:rFonts w:hint="eastAsia" w:ascii="宋体" w:hAnsi="宋体" w:cs="宋体"/>
          <w:kern w:val="0"/>
          <w:szCs w:val="21"/>
          <w:highlight w:val="none"/>
        </w:rPr>
        <w:t>（或）</w:t>
      </w:r>
      <w:r>
        <w:rPr>
          <w:rFonts w:hint="eastAsia" w:ascii="宋体" w:hAnsi="宋体" w:cs="宋体"/>
          <w:szCs w:val="21"/>
          <w:highlight w:val="none"/>
        </w:rPr>
        <w:t>技术负责人出现下列情形需更换的，承包人应在</w:t>
      </w:r>
      <w:r>
        <w:rPr>
          <w:rFonts w:hint="eastAsia" w:ascii="宋体" w:hAnsi="宋体" w:cs="宋体"/>
          <w:szCs w:val="21"/>
          <w:highlight w:val="none"/>
          <w:u w:val="single"/>
          <w:lang w:val="en-US" w:eastAsia="zh-CN"/>
        </w:rPr>
        <w:t>14</w:t>
      </w:r>
      <w:r>
        <w:rPr>
          <w:rFonts w:hint="eastAsia" w:ascii="宋体" w:hAnsi="宋体" w:cs="宋体"/>
          <w:szCs w:val="21"/>
          <w:highlight w:val="none"/>
        </w:rPr>
        <w:t>天前书面通知发包人和监理人，</w:t>
      </w:r>
      <w:r>
        <w:rPr>
          <w:rFonts w:hint="eastAsia" w:ascii="宋体" w:hAnsi="宋体"/>
          <w:szCs w:val="21"/>
          <w:highlight w:val="none"/>
        </w:rPr>
        <w:t>经发包人领导班子集体决策同意后予以批准，并将变更信息推送给行业主管部门：</w:t>
      </w:r>
    </w:p>
    <w:p w14:paraId="1F5643D6">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（1）死亡；</w:t>
      </w:r>
    </w:p>
    <w:p w14:paraId="1FF398FA">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（2）非承包人原因导致工期延长，而致使项目经理和技术负责人达到法定退休年龄且确需退休；</w:t>
      </w:r>
    </w:p>
    <w:p w14:paraId="76469C4E">
      <w:pPr>
        <w:pageBreakBefore w:val="0"/>
        <w:kinsoku/>
        <w:overflowPunct/>
        <w:topLinePunct w:val="0"/>
        <w:bidi w:val="0"/>
        <w:spacing w:line="360" w:lineRule="auto"/>
        <w:ind w:right="248" w:firstLine="420" w:firstLineChars="200"/>
        <w:rPr>
          <w:rFonts w:ascii="宋体" w:hAnsi="宋体" w:cs="宋体"/>
          <w:szCs w:val="21"/>
          <w:highlight w:val="none"/>
        </w:rPr>
      </w:pPr>
      <w:r>
        <w:rPr>
          <w:rFonts w:hint="eastAsia" w:ascii="宋体" w:hAnsi="宋体" w:cs="宋体"/>
          <w:szCs w:val="21"/>
          <w:highlight w:val="none"/>
        </w:rPr>
        <w:t>（3）按《职工非因工伤残或因病丧失劳动能力程度鉴定标准（试行）》规定鉴定为完全丧失劳动能力和大部分丧失劳动能力；</w:t>
      </w:r>
    </w:p>
    <w:p w14:paraId="2AA1D139">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（4）非承包人原因导致中标3个月不能开工；</w:t>
      </w:r>
    </w:p>
    <w:p w14:paraId="61790FF8">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（5）被公安或者司法机关限制人身自由；</w:t>
      </w:r>
    </w:p>
    <w:p w14:paraId="4CB89D90">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（6）被取消职称或者执业资格，不满足项目管理要求；</w:t>
      </w:r>
    </w:p>
    <w:p w14:paraId="0B36D067">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（7）</w:t>
      </w:r>
      <w:r>
        <w:rPr>
          <w:rFonts w:hint="eastAsia" w:ascii="宋体" w:hAnsi="宋体"/>
          <w:szCs w:val="21"/>
          <w:highlight w:val="none"/>
          <w:u w:val="single"/>
        </w:rPr>
        <w:t>非承包人原因导致确需变更的其它情形</w:t>
      </w:r>
      <w:r>
        <w:rPr>
          <w:rFonts w:hint="eastAsia" w:ascii="宋体" w:hAnsi="宋体"/>
          <w:szCs w:val="21"/>
          <w:highlight w:val="none"/>
        </w:rPr>
        <w:t>。</w:t>
      </w:r>
    </w:p>
    <w:p w14:paraId="5C7BCB1A">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4.7.2撤换承包人其他人员</w:t>
      </w:r>
    </w:p>
    <w:p w14:paraId="451F8584">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承包人应按招标人招标文件规定配备现场施工从业人员，具体人员配备如下：</w:t>
      </w:r>
      <w:r>
        <w:rPr>
          <w:rFonts w:hint="eastAsia" w:ascii="宋体" w:hAnsi="宋体"/>
          <w:szCs w:val="21"/>
          <w:highlight w:val="none"/>
          <w:u w:val="single"/>
        </w:rPr>
        <w:t xml:space="preserve"> 项目经理、施工员、安全员、材料员、造价员</w:t>
      </w:r>
      <w:r>
        <w:rPr>
          <w:rFonts w:hint="eastAsia" w:ascii="宋体" w:hAnsi="宋体"/>
          <w:szCs w:val="21"/>
          <w:highlight w:val="none"/>
          <w:u w:val="single"/>
          <w:lang w:eastAsia="zh-CN"/>
        </w:rPr>
        <w:t>、质量员</w:t>
      </w:r>
      <w:r>
        <w:rPr>
          <w:rFonts w:hint="eastAsia" w:ascii="宋体" w:hAnsi="宋体"/>
          <w:szCs w:val="21"/>
          <w:highlight w:val="none"/>
          <w:u w:val="single"/>
        </w:rPr>
        <w:t xml:space="preserve">等  </w:t>
      </w:r>
      <w:r>
        <w:rPr>
          <w:rFonts w:hint="eastAsia" w:ascii="宋体" w:hAnsi="宋体"/>
          <w:szCs w:val="21"/>
          <w:highlight w:val="none"/>
        </w:rPr>
        <w:t>。若国有资金投资项目其他主要人员变更的，参照《重庆市政府投资项目合同变更管理暂行办法》的规定。</w:t>
      </w:r>
    </w:p>
    <w:p w14:paraId="50F3222A">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szCs w:val="21"/>
          <w:highlight w:val="none"/>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78D7438C">
      <w:pPr>
        <w:pageBreakBefore w:val="0"/>
        <w:kinsoku/>
        <w:overflowPunct/>
        <w:topLinePunct w:val="0"/>
        <w:bidi w:val="0"/>
        <w:snapToGrid w:val="0"/>
        <w:spacing w:line="360" w:lineRule="auto"/>
        <w:ind w:firstLine="420" w:firstLineChars="200"/>
        <w:rPr>
          <w:rFonts w:ascii="宋体" w:hAnsi="宋体" w:cs="宋体"/>
          <w:bCs/>
          <w:szCs w:val="21"/>
          <w:highlight w:val="none"/>
        </w:rPr>
      </w:pPr>
      <w:r>
        <w:rPr>
          <w:rFonts w:hint="eastAsia" w:ascii="宋体" w:hAnsi="宋体" w:cs="宋体"/>
          <w:kern w:val="0"/>
          <w:szCs w:val="21"/>
          <w:highlight w:val="none"/>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szCs w:val="21"/>
          <w:highlight w:val="none"/>
        </w:rPr>
        <w:t>审核批准</w:t>
      </w:r>
      <w:r>
        <w:rPr>
          <w:rFonts w:hint="eastAsia" w:ascii="宋体" w:hAnsi="宋体" w:cs="宋体"/>
          <w:kern w:val="0"/>
          <w:szCs w:val="21"/>
          <w:highlight w:val="none"/>
        </w:rPr>
        <w:t>。</w:t>
      </w:r>
    </w:p>
    <w:p w14:paraId="0DF04C0F">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93" w:name="_Toc33183720"/>
      <w:bookmarkStart w:id="94" w:name="_Toc221951158"/>
      <w:r>
        <w:rPr>
          <w:rFonts w:hint="eastAsia" w:ascii="宋体" w:hAnsi="宋体" w:cs="宋体"/>
          <w:szCs w:val="21"/>
          <w:highlight w:val="none"/>
        </w:rPr>
        <w:t>4.11  不利物质条件</w:t>
      </w:r>
      <w:bookmarkEnd w:id="93"/>
      <w:bookmarkEnd w:id="94"/>
    </w:p>
    <w:p w14:paraId="13FF93A2">
      <w:pPr>
        <w:keepNext w:val="0"/>
        <w:keepLines w:val="0"/>
        <w:pageBreakBefore w:val="0"/>
        <w:widowControl w:val="0"/>
        <w:kinsoku/>
        <w:wordWrap/>
        <w:overflowPunct/>
        <w:topLinePunct w:val="0"/>
        <w:autoSpaceDE/>
        <w:autoSpaceDN/>
        <w:bidi w:val="0"/>
        <w:adjustRightInd/>
        <w:snapToGrid/>
        <w:spacing w:before="20" w:line="360" w:lineRule="auto"/>
        <w:ind w:left="0" w:leftChars="0" w:firstLine="420" w:firstLineChars="200"/>
        <w:textAlignment w:val="auto"/>
        <w:rPr>
          <w:rFonts w:ascii="宋体" w:hAnsi="宋体" w:cs="宋体"/>
          <w:szCs w:val="21"/>
          <w:highlight w:val="none"/>
        </w:rPr>
      </w:pPr>
      <w:bookmarkStart w:id="95" w:name="_Toc221951159"/>
      <w:r>
        <w:rPr>
          <w:rFonts w:hint="eastAsia" w:ascii="宋体" w:hAnsi="宋体" w:cs="宋体"/>
          <w:szCs w:val="21"/>
          <w:highlight w:val="none"/>
        </w:rPr>
        <w:t>4.11.1不利物质条件的范围：</w:t>
      </w:r>
      <w:r>
        <w:rPr>
          <w:rFonts w:hint="eastAsia" w:ascii="宋体" w:hAnsi="宋体" w:cs="宋体"/>
          <w:szCs w:val="21"/>
          <w:highlight w:val="none"/>
          <w:u w:val="single"/>
        </w:rPr>
        <w:t xml:space="preserve">  </w:t>
      </w:r>
      <w:bookmarkEnd w:id="95"/>
      <w:r>
        <w:rPr>
          <w:rFonts w:hint="eastAsia" w:ascii="宋体" w:hAnsi="宋体" w:eastAsia="宋体" w:cs="宋体"/>
          <w:spacing w:val="-3"/>
          <w:sz w:val="21"/>
          <w:szCs w:val="21"/>
          <w:highlight w:val="none"/>
          <w:u w:val="single" w:color="auto"/>
        </w:rPr>
        <w:t>按通用合同条款执行(疫情期间，承包人应根据国家法律法 规及地方防疫要求，做好疫情防控工作。若因承包人管理不当导致的任何责任及后果均由承包人承担。发包人将不定期进行检查，对承包人未按要求做好疫情防控工作的，发包人有权要求其整 改直至合格为止，由此产生的成本及工期延误由承包人承担</w:t>
      </w:r>
      <w:r>
        <w:rPr>
          <w:rFonts w:hint="eastAsia" w:ascii="宋体" w:hAnsi="宋体" w:cs="宋体"/>
          <w:spacing w:val="-3"/>
          <w:sz w:val="21"/>
          <w:szCs w:val="21"/>
          <w:highlight w:val="none"/>
          <w:u w:val="single" w:color="auto"/>
          <w:lang w:eastAsia="zh-CN"/>
        </w:rPr>
        <w:t>）</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w:t>
      </w:r>
    </w:p>
    <w:p w14:paraId="2381DF90">
      <w:pPr>
        <w:pStyle w:val="4"/>
        <w:pageBreakBefore w:val="0"/>
        <w:kinsoku/>
        <w:overflowPunct/>
        <w:topLinePunct w:val="0"/>
        <w:bidi w:val="0"/>
        <w:spacing w:line="360" w:lineRule="auto"/>
        <w:rPr>
          <w:rFonts w:ascii="宋体" w:hAnsi="宋体" w:cs="宋体"/>
          <w:sz w:val="21"/>
          <w:szCs w:val="21"/>
          <w:highlight w:val="none"/>
        </w:rPr>
      </w:pPr>
      <w:bookmarkStart w:id="96" w:name="_Toc221951160"/>
      <w:bookmarkStart w:id="97" w:name="_Toc33183721"/>
      <w:bookmarkStart w:id="98" w:name="_Toc222033882"/>
      <w:bookmarkStart w:id="99" w:name="_Toc30241"/>
      <w:bookmarkStart w:id="100" w:name="_Toc222029531"/>
      <w:bookmarkStart w:id="101" w:name="_Toc222031033"/>
      <w:bookmarkStart w:id="102" w:name="_Toc222032700"/>
      <w:bookmarkStart w:id="103" w:name="_Toc136350388"/>
      <w:bookmarkStart w:id="104" w:name="_Toc229305391"/>
      <w:bookmarkStart w:id="105" w:name="_Toc59810408"/>
      <w:r>
        <w:rPr>
          <w:rFonts w:hint="eastAsia" w:ascii="宋体" w:hAnsi="宋体" w:cs="宋体"/>
          <w:sz w:val="21"/>
          <w:szCs w:val="21"/>
          <w:highlight w:val="none"/>
        </w:rPr>
        <w:t>5.材料和工程设备</w:t>
      </w:r>
      <w:bookmarkEnd w:id="96"/>
      <w:bookmarkEnd w:id="97"/>
      <w:bookmarkEnd w:id="98"/>
      <w:bookmarkEnd w:id="99"/>
      <w:bookmarkEnd w:id="100"/>
      <w:bookmarkEnd w:id="101"/>
      <w:bookmarkEnd w:id="102"/>
      <w:bookmarkEnd w:id="103"/>
      <w:bookmarkEnd w:id="104"/>
      <w:bookmarkEnd w:id="105"/>
    </w:p>
    <w:p w14:paraId="0C058ECE">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06" w:name="_Toc33183722"/>
      <w:bookmarkStart w:id="107" w:name="_Toc221951163"/>
      <w:r>
        <w:rPr>
          <w:rFonts w:hint="eastAsia" w:ascii="宋体" w:hAnsi="宋体" w:cs="宋体"/>
          <w:szCs w:val="21"/>
          <w:highlight w:val="none"/>
        </w:rPr>
        <w:t>5.1承包人提供的材料和工程设备</w:t>
      </w:r>
      <w:bookmarkEnd w:id="106"/>
    </w:p>
    <w:p w14:paraId="7ABCAA09">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本款补充细化如下：</w:t>
      </w:r>
    </w:p>
    <w:p w14:paraId="3214E82E">
      <w:pPr>
        <w:pageBreakBefore w:val="0"/>
        <w:numPr>
          <w:ilvl w:val="0"/>
          <w:numId w:val="1"/>
        </w:numPr>
        <w:kinsoku/>
        <w:overflowPunct/>
        <w:topLinePunct w:val="0"/>
        <w:bidi w:val="0"/>
        <w:spacing w:line="360" w:lineRule="auto"/>
        <w:ind w:firstLine="420" w:firstLineChars="200"/>
        <w:jc w:val="left"/>
        <w:rPr>
          <w:rFonts w:hint="eastAsia" w:ascii="宋体" w:hAnsi="宋体" w:cs="宋体"/>
          <w:kern w:val="0"/>
          <w:szCs w:val="21"/>
          <w:highlight w:val="none"/>
          <w:u w:val="single"/>
        </w:rPr>
      </w:pPr>
      <w:r>
        <w:rPr>
          <w:rFonts w:hint="eastAsia" w:ascii="宋体" w:hAnsi="宋体" w:cs="宋体"/>
          <w:kern w:val="0"/>
          <w:szCs w:val="21"/>
          <w:highlight w:val="none"/>
        </w:rPr>
        <w:t>承包人负责采购、运输和保管的材料、工程设备：</w:t>
      </w:r>
      <w:r>
        <w:rPr>
          <w:rFonts w:hint="eastAsia" w:ascii="宋体" w:hAnsi="宋体" w:cs="宋体"/>
          <w:kern w:val="0"/>
          <w:szCs w:val="21"/>
          <w:highlight w:val="none"/>
          <w:u w:val="single"/>
        </w:rPr>
        <w:t>由</w:t>
      </w:r>
      <w:r>
        <w:rPr>
          <w:rFonts w:hint="eastAsia" w:ascii="宋体" w:hAnsi="宋体" w:cs="宋体"/>
          <w:kern w:val="0"/>
          <w:szCs w:val="21"/>
          <w:highlight w:val="none"/>
          <w:u w:val="single"/>
          <w:lang w:eastAsia="zh-CN"/>
        </w:rPr>
        <w:t>发</w:t>
      </w:r>
      <w:r>
        <w:rPr>
          <w:rFonts w:hint="eastAsia" w:ascii="宋体" w:hAnsi="宋体" w:cs="宋体"/>
          <w:kern w:val="0"/>
          <w:szCs w:val="21"/>
          <w:highlight w:val="none"/>
          <w:u w:val="single"/>
        </w:rPr>
        <w:t>包人</w:t>
      </w:r>
      <w:r>
        <w:rPr>
          <w:rFonts w:hint="eastAsia" w:ascii="宋体" w:hAnsi="宋体" w:cs="宋体"/>
          <w:kern w:val="0"/>
          <w:szCs w:val="21"/>
          <w:highlight w:val="none"/>
          <w:u w:val="single"/>
          <w:lang w:eastAsia="zh-CN"/>
        </w:rPr>
        <w:t>提供</w:t>
      </w:r>
      <w:r>
        <w:rPr>
          <w:rFonts w:hint="eastAsia" w:ascii="宋体" w:hAnsi="宋体" w:cs="宋体"/>
          <w:kern w:val="0"/>
          <w:szCs w:val="21"/>
          <w:highlight w:val="none"/>
          <w:u w:val="single"/>
        </w:rPr>
        <w:t>。</w:t>
      </w:r>
    </w:p>
    <w:p w14:paraId="0EC44C85">
      <w:pPr>
        <w:pageBreakBefore w:val="0"/>
        <w:numPr>
          <w:ilvl w:val="0"/>
          <w:numId w:val="0"/>
        </w:numPr>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（2）承包人报送监理人审批的时间：</w:t>
      </w:r>
      <w:r>
        <w:rPr>
          <w:rFonts w:hint="eastAsia" w:ascii="宋体" w:hAnsi="宋体" w:cs="宋体"/>
          <w:kern w:val="0"/>
          <w:szCs w:val="21"/>
          <w:highlight w:val="none"/>
          <w:u w:val="single"/>
        </w:rPr>
        <w:t>按发包人及监理单位的相关规定执行</w:t>
      </w:r>
      <w:r>
        <w:rPr>
          <w:rFonts w:hint="eastAsia" w:ascii="宋体" w:hAnsi="宋体" w:cs="宋体"/>
          <w:kern w:val="0"/>
          <w:szCs w:val="21"/>
          <w:highlight w:val="none"/>
        </w:rPr>
        <w:t>。</w:t>
      </w:r>
    </w:p>
    <w:p w14:paraId="4204AE7C">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cs="宋体"/>
          <w:kern w:val="0"/>
          <w:szCs w:val="21"/>
          <w:highlight w:val="none"/>
        </w:rPr>
        <w:t>（3）</w:t>
      </w:r>
      <w:r>
        <w:rPr>
          <w:rFonts w:hint="eastAsia" w:ascii="宋体" w:hAnsi="宋体"/>
          <w:szCs w:val="21"/>
          <w:highlight w:val="none"/>
        </w:rPr>
        <w:t>承包人选择的生产厂家或供应商满足下列条件：</w:t>
      </w:r>
    </w:p>
    <w:p w14:paraId="1A5082B5">
      <w:pPr>
        <w:pageBreakBefore w:val="0"/>
        <w:kinsoku/>
        <w:overflowPunct/>
        <w:topLinePunct w:val="0"/>
        <w:bidi w:val="0"/>
        <w:spacing w:line="360" w:lineRule="auto"/>
        <w:ind w:firstLine="840" w:firstLineChars="400"/>
        <w:jc w:val="left"/>
        <w:rPr>
          <w:rFonts w:ascii="宋体" w:hAnsi="宋体"/>
          <w:szCs w:val="21"/>
          <w:highlight w:val="none"/>
        </w:rPr>
      </w:pPr>
      <w:r>
        <w:rPr>
          <w:rFonts w:hint="eastAsia" w:ascii="宋体" w:hAnsi="宋体"/>
          <w:szCs w:val="21"/>
          <w:highlight w:val="none"/>
        </w:rPr>
        <w:t>A.承包人选择的混凝土供应商应满足下列条件：</w:t>
      </w:r>
      <w:r>
        <w:rPr>
          <w:rFonts w:hint="eastAsia" w:ascii="宋体" w:hAnsi="宋体"/>
          <w:szCs w:val="21"/>
          <w:highlight w:val="none"/>
          <w:u w:val="single"/>
        </w:rPr>
        <w:t>工程质量标准</w:t>
      </w:r>
      <w:r>
        <w:rPr>
          <w:rFonts w:hint="eastAsia" w:ascii="宋体" w:hAnsi="宋体"/>
          <w:szCs w:val="21"/>
          <w:highlight w:val="none"/>
        </w:rPr>
        <w:t>；</w:t>
      </w:r>
    </w:p>
    <w:p w14:paraId="77DC0D3F">
      <w:pPr>
        <w:pageBreakBefore w:val="0"/>
        <w:kinsoku/>
        <w:overflowPunct/>
        <w:topLinePunct w:val="0"/>
        <w:bidi w:val="0"/>
        <w:spacing w:line="360" w:lineRule="auto"/>
        <w:ind w:firstLine="840" w:firstLineChars="400"/>
        <w:jc w:val="left"/>
        <w:rPr>
          <w:rFonts w:ascii="宋体" w:hAnsi="宋体"/>
          <w:szCs w:val="21"/>
          <w:highlight w:val="none"/>
        </w:rPr>
      </w:pPr>
      <w:r>
        <w:rPr>
          <w:rFonts w:hint="eastAsia" w:ascii="宋体" w:hAnsi="宋体"/>
          <w:szCs w:val="21"/>
          <w:highlight w:val="none"/>
        </w:rPr>
        <w:t>B.承包人选择的钢材供应商应满足下列条件：</w:t>
      </w:r>
      <w:r>
        <w:rPr>
          <w:rFonts w:hint="eastAsia" w:ascii="宋体" w:hAnsi="宋体"/>
          <w:szCs w:val="21"/>
          <w:highlight w:val="none"/>
          <w:u w:val="single"/>
        </w:rPr>
        <w:t>工程质量标准</w:t>
      </w:r>
      <w:r>
        <w:rPr>
          <w:rFonts w:hint="eastAsia" w:ascii="宋体" w:hAnsi="宋体"/>
          <w:szCs w:val="21"/>
          <w:highlight w:val="none"/>
        </w:rPr>
        <w:t>；</w:t>
      </w:r>
    </w:p>
    <w:p w14:paraId="43AF6AEF">
      <w:pPr>
        <w:pageBreakBefore w:val="0"/>
        <w:kinsoku/>
        <w:overflowPunct/>
        <w:topLinePunct w:val="0"/>
        <w:bidi w:val="0"/>
        <w:spacing w:line="360" w:lineRule="auto"/>
        <w:ind w:firstLine="840" w:firstLineChars="400"/>
        <w:jc w:val="left"/>
        <w:rPr>
          <w:rFonts w:ascii="宋体" w:hAnsi="宋体"/>
          <w:szCs w:val="21"/>
          <w:highlight w:val="none"/>
        </w:rPr>
      </w:pPr>
      <w:r>
        <w:rPr>
          <w:rFonts w:hint="eastAsia" w:ascii="宋体" w:hAnsi="宋体"/>
          <w:szCs w:val="21"/>
          <w:highlight w:val="none"/>
        </w:rPr>
        <w:t>C.承包人选择的水泥供应商应满足下列条件</w:t>
      </w:r>
      <w:r>
        <w:rPr>
          <w:rFonts w:hint="eastAsia" w:ascii="宋体" w:hAnsi="宋体"/>
          <w:szCs w:val="21"/>
          <w:highlight w:val="none"/>
          <w:u w:val="single"/>
        </w:rPr>
        <w:t>工程质量标准</w:t>
      </w:r>
      <w:r>
        <w:rPr>
          <w:rFonts w:hint="eastAsia" w:ascii="宋体" w:hAnsi="宋体"/>
          <w:szCs w:val="21"/>
          <w:highlight w:val="none"/>
        </w:rPr>
        <w:t>；</w:t>
      </w:r>
    </w:p>
    <w:p w14:paraId="0D8E51FA">
      <w:pPr>
        <w:pageBreakBefore w:val="0"/>
        <w:kinsoku/>
        <w:overflowPunct/>
        <w:topLinePunct w:val="0"/>
        <w:bidi w:val="0"/>
        <w:spacing w:line="360" w:lineRule="auto"/>
        <w:ind w:firstLine="840" w:firstLineChars="400"/>
        <w:jc w:val="left"/>
        <w:rPr>
          <w:rFonts w:ascii="宋体" w:hAnsi="宋体"/>
          <w:szCs w:val="21"/>
          <w:highlight w:val="none"/>
        </w:rPr>
      </w:pPr>
      <w:r>
        <w:rPr>
          <w:rFonts w:hint="eastAsia" w:ascii="宋体" w:hAnsi="宋体"/>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7CE336CF">
      <w:pPr>
        <w:pageBreakBefore w:val="0"/>
        <w:kinsoku/>
        <w:overflowPunct/>
        <w:topLinePunct w:val="0"/>
        <w:bidi w:val="0"/>
        <w:spacing w:line="360" w:lineRule="auto"/>
        <w:ind w:firstLine="840" w:firstLineChars="400"/>
        <w:jc w:val="left"/>
        <w:rPr>
          <w:rFonts w:ascii="宋体" w:hAnsi="宋体"/>
          <w:szCs w:val="21"/>
          <w:highlight w:val="none"/>
        </w:rPr>
      </w:pPr>
      <w:r>
        <w:rPr>
          <w:rFonts w:hint="eastAsia" w:ascii="宋体" w:hAnsi="宋体"/>
          <w:szCs w:val="21"/>
          <w:highlight w:val="none"/>
        </w:rPr>
        <w:t>E.承包人采购的材料在使用前，应按发包人和监理人的要求进行检验或试验，不合格的不得使用。</w:t>
      </w:r>
    </w:p>
    <w:p w14:paraId="13FA5132">
      <w:pPr>
        <w:pageBreakBefore w:val="0"/>
        <w:kinsoku/>
        <w:overflowPunct/>
        <w:topLinePunct w:val="0"/>
        <w:bidi w:val="0"/>
        <w:spacing w:line="360" w:lineRule="auto"/>
        <w:ind w:firstLine="840" w:firstLineChars="400"/>
        <w:jc w:val="left"/>
        <w:rPr>
          <w:rFonts w:ascii="宋体" w:hAnsi="宋体" w:cs="宋体"/>
          <w:szCs w:val="21"/>
          <w:highlight w:val="none"/>
        </w:rPr>
      </w:pPr>
      <w:r>
        <w:rPr>
          <w:rFonts w:hint="eastAsia" w:ascii="宋体" w:hAnsi="宋体"/>
          <w:szCs w:val="21"/>
          <w:highlight w:val="none"/>
        </w:rPr>
        <w:t>F.</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 xml:space="preserve">    </w:t>
      </w:r>
      <w:r>
        <w:rPr>
          <w:rFonts w:hint="eastAsia" w:ascii="宋体" w:hAnsi="宋体"/>
          <w:szCs w:val="21"/>
          <w:highlight w:val="none"/>
        </w:rPr>
        <w:t>。</w:t>
      </w:r>
    </w:p>
    <w:p w14:paraId="252FC4BE">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08" w:name="_Toc33183723"/>
      <w:r>
        <w:rPr>
          <w:rFonts w:hint="eastAsia" w:ascii="宋体" w:hAnsi="宋体" w:cs="宋体"/>
          <w:szCs w:val="21"/>
          <w:highlight w:val="none"/>
        </w:rPr>
        <w:t>5.2  发包人提供的材料和工程设备</w:t>
      </w:r>
      <w:bookmarkEnd w:id="107"/>
      <w:bookmarkEnd w:id="108"/>
    </w:p>
    <w:p w14:paraId="009AF179">
      <w:pPr>
        <w:pageBreakBefore w:val="0"/>
        <w:kinsoku/>
        <w:overflowPunct/>
        <w:topLinePunct w:val="0"/>
        <w:bidi w:val="0"/>
        <w:spacing w:line="360" w:lineRule="auto"/>
        <w:ind w:right="248" w:firstLine="420" w:firstLineChars="200"/>
        <w:rPr>
          <w:rFonts w:ascii="宋体" w:hAnsi="宋体" w:cs="宋体"/>
          <w:szCs w:val="21"/>
          <w:highlight w:val="none"/>
        </w:rPr>
      </w:pPr>
      <w:r>
        <w:rPr>
          <w:rFonts w:hint="eastAsia" w:ascii="宋体" w:hAnsi="宋体" w:cs="宋体"/>
          <w:szCs w:val="21"/>
          <w:highlight w:val="none"/>
        </w:rPr>
        <w:t>5.2.1发包人提供的材料和工程设备见下表：</w:t>
      </w:r>
    </w:p>
    <w:p w14:paraId="35E7A0AD">
      <w:pPr>
        <w:pageBreakBefore w:val="0"/>
        <w:kinsoku/>
        <w:overflowPunct/>
        <w:topLinePunct w:val="0"/>
        <w:bidi w:val="0"/>
        <w:spacing w:line="360" w:lineRule="auto"/>
        <w:ind w:right="248"/>
        <w:jc w:val="center"/>
        <w:rPr>
          <w:rFonts w:hint="eastAsia" w:ascii="宋体" w:hAnsi="宋体" w:cs="宋体"/>
          <w:b/>
          <w:szCs w:val="21"/>
          <w:highlight w:val="none"/>
        </w:rPr>
      </w:pPr>
    </w:p>
    <w:p w14:paraId="3FEC023E">
      <w:pPr>
        <w:pageBreakBefore w:val="0"/>
        <w:kinsoku/>
        <w:overflowPunct/>
        <w:topLinePunct w:val="0"/>
        <w:bidi w:val="0"/>
        <w:spacing w:line="360" w:lineRule="auto"/>
        <w:ind w:right="248"/>
        <w:jc w:val="center"/>
        <w:rPr>
          <w:rFonts w:hint="eastAsia" w:ascii="宋体" w:hAnsi="宋体" w:cs="宋体"/>
          <w:b/>
          <w:szCs w:val="21"/>
          <w:highlight w:val="none"/>
        </w:rPr>
      </w:pPr>
    </w:p>
    <w:p w14:paraId="4DFF611F">
      <w:pPr>
        <w:pageBreakBefore w:val="0"/>
        <w:kinsoku/>
        <w:overflowPunct/>
        <w:topLinePunct w:val="0"/>
        <w:bidi w:val="0"/>
        <w:spacing w:line="360" w:lineRule="auto"/>
        <w:ind w:right="248"/>
        <w:jc w:val="center"/>
        <w:rPr>
          <w:rFonts w:hint="eastAsia" w:ascii="宋体" w:hAnsi="宋体" w:cs="宋体"/>
          <w:b/>
          <w:szCs w:val="21"/>
          <w:highlight w:val="none"/>
        </w:rPr>
      </w:pPr>
    </w:p>
    <w:p w14:paraId="56532A4D">
      <w:pPr>
        <w:pageBreakBefore w:val="0"/>
        <w:kinsoku/>
        <w:overflowPunct/>
        <w:topLinePunct w:val="0"/>
        <w:bidi w:val="0"/>
        <w:spacing w:line="360" w:lineRule="auto"/>
        <w:ind w:right="248"/>
        <w:jc w:val="center"/>
        <w:rPr>
          <w:rFonts w:ascii="宋体" w:hAnsi="宋体" w:cs="宋体"/>
          <w:szCs w:val="21"/>
          <w:highlight w:val="none"/>
        </w:rPr>
      </w:pPr>
      <w:r>
        <w:rPr>
          <w:rFonts w:hint="eastAsia" w:ascii="宋体" w:hAnsi="宋体" w:cs="宋体"/>
          <w:b/>
          <w:szCs w:val="21"/>
          <w:highlight w:val="none"/>
        </w:rPr>
        <w:t>发包人提供的主要材料表(</w:t>
      </w:r>
      <w:r>
        <w:rPr>
          <w:rFonts w:hint="eastAsia" w:ascii="宋体" w:hAnsi="宋体" w:cs="宋体"/>
          <w:szCs w:val="21"/>
          <w:highlight w:val="none"/>
        </w:rPr>
        <w:t>参考格式</w:t>
      </w:r>
      <w:r>
        <w:rPr>
          <w:rFonts w:hint="eastAsia" w:ascii="宋体" w:hAnsi="宋体" w:cs="宋体"/>
          <w:b/>
          <w:szCs w:val="21"/>
          <w:highlight w:val="none"/>
        </w:rPr>
        <w:t>)</w:t>
      </w: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578"/>
        <w:gridCol w:w="1578"/>
        <w:gridCol w:w="1156"/>
        <w:gridCol w:w="1002"/>
        <w:gridCol w:w="1392"/>
        <w:gridCol w:w="921"/>
      </w:tblGrid>
      <w:tr w14:paraId="5422A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noWrap w:val="0"/>
            <w:vAlign w:val="center"/>
          </w:tcPr>
          <w:p w14:paraId="77D9F147">
            <w:pPr>
              <w:pageBreakBefore w:val="0"/>
              <w:kinsoku/>
              <w:overflowPunct/>
              <w:topLinePunct w:val="0"/>
              <w:bidi w:val="0"/>
              <w:spacing w:line="360" w:lineRule="auto"/>
              <w:ind w:right="-3"/>
              <w:jc w:val="center"/>
              <w:rPr>
                <w:rFonts w:ascii="宋体" w:hAnsi="宋体" w:cs="宋体"/>
                <w:szCs w:val="21"/>
                <w:highlight w:val="none"/>
              </w:rPr>
            </w:pPr>
            <w:r>
              <w:rPr>
                <w:rFonts w:hint="eastAsia" w:ascii="宋体" w:hAnsi="宋体" w:cs="宋体"/>
                <w:szCs w:val="21"/>
                <w:highlight w:val="none"/>
              </w:rPr>
              <w:t>序号</w:t>
            </w:r>
          </w:p>
        </w:tc>
        <w:tc>
          <w:tcPr>
            <w:tcW w:w="926" w:type="pct"/>
            <w:noWrap w:val="0"/>
            <w:vAlign w:val="center"/>
          </w:tcPr>
          <w:p w14:paraId="15BD3CBB">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材料名称</w:t>
            </w:r>
          </w:p>
        </w:tc>
        <w:tc>
          <w:tcPr>
            <w:tcW w:w="926" w:type="pct"/>
            <w:noWrap w:val="0"/>
            <w:vAlign w:val="center"/>
          </w:tcPr>
          <w:p w14:paraId="326B6FDA">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材料规格</w:t>
            </w:r>
          </w:p>
        </w:tc>
        <w:tc>
          <w:tcPr>
            <w:tcW w:w="678" w:type="pct"/>
            <w:noWrap w:val="0"/>
            <w:vAlign w:val="center"/>
          </w:tcPr>
          <w:p w14:paraId="34818771">
            <w:pPr>
              <w:pageBreakBefore w:val="0"/>
              <w:kinsoku/>
              <w:overflowPunct/>
              <w:topLinePunct w:val="0"/>
              <w:bidi w:val="0"/>
              <w:spacing w:line="360" w:lineRule="auto"/>
              <w:ind w:right="-33"/>
              <w:jc w:val="center"/>
              <w:rPr>
                <w:rFonts w:ascii="宋体" w:hAnsi="宋体" w:cs="宋体"/>
                <w:szCs w:val="21"/>
                <w:highlight w:val="none"/>
              </w:rPr>
            </w:pPr>
            <w:r>
              <w:rPr>
                <w:rFonts w:hint="eastAsia" w:ascii="宋体" w:hAnsi="宋体" w:cs="宋体"/>
                <w:szCs w:val="21"/>
                <w:highlight w:val="none"/>
              </w:rPr>
              <w:t>数量</w:t>
            </w:r>
          </w:p>
        </w:tc>
        <w:tc>
          <w:tcPr>
            <w:tcW w:w="588" w:type="pct"/>
            <w:noWrap w:val="0"/>
            <w:vAlign w:val="center"/>
          </w:tcPr>
          <w:p w14:paraId="50CD4A71">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交货地点</w:t>
            </w:r>
          </w:p>
        </w:tc>
        <w:tc>
          <w:tcPr>
            <w:tcW w:w="817" w:type="pct"/>
            <w:noWrap w:val="0"/>
            <w:vAlign w:val="center"/>
          </w:tcPr>
          <w:p w14:paraId="67D308ED">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计划交货日期</w:t>
            </w:r>
          </w:p>
        </w:tc>
        <w:tc>
          <w:tcPr>
            <w:tcW w:w="540" w:type="pct"/>
            <w:noWrap w:val="0"/>
            <w:vAlign w:val="center"/>
          </w:tcPr>
          <w:p w14:paraId="567B7CF8">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备注</w:t>
            </w:r>
          </w:p>
        </w:tc>
      </w:tr>
      <w:tr w14:paraId="3CCC5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noWrap w:val="0"/>
            <w:vAlign w:val="center"/>
          </w:tcPr>
          <w:p w14:paraId="6D913EB9">
            <w:pPr>
              <w:pageBreakBefore w:val="0"/>
              <w:kinsoku/>
              <w:overflowPunct/>
              <w:topLinePunct w:val="0"/>
              <w:bidi w:val="0"/>
              <w:spacing w:line="360" w:lineRule="auto"/>
              <w:ind w:right="248"/>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926" w:type="pct"/>
            <w:noWrap w:val="0"/>
            <w:vAlign w:val="center"/>
          </w:tcPr>
          <w:p w14:paraId="56850684">
            <w:pPr>
              <w:pageBreakBefore w:val="0"/>
              <w:kinsoku/>
              <w:overflowPunct/>
              <w:topLinePunct w:val="0"/>
              <w:bidi w:val="0"/>
              <w:spacing w:line="360" w:lineRule="auto"/>
              <w:ind w:right="248"/>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926" w:type="pct"/>
            <w:noWrap w:val="0"/>
            <w:vAlign w:val="center"/>
          </w:tcPr>
          <w:p w14:paraId="4A28B26B">
            <w:pPr>
              <w:pageBreakBefore w:val="0"/>
              <w:kinsoku/>
              <w:overflowPunct/>
              <w:topLinePunct w:val="0"/>
              <w:bidi w:val="0"/>
              <w:spacing w:line="360" w:lineRule="auto"/>
              <w:ind w:right="248"/>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 xml:space="preserve"> </w:t>
            </w:r>
          </w:p>
        </w:tc>
        <w:tc>
          <w:tcPr>
            <w:tcW w:w="678" w:type="pct"/>
            <w:noWrap w:val="0"/>
            <w:vAlign w:val="center"/>
          </w:tcPr>
          <w:p w14:paraId="17AD62FD">
            <w:pPr>
              <w:pageBreakBefore w:val="0"/>
              <w:kinsoku/>
              <w:overflowPunct/>
              <w:topLinePunct w:val="0"/>
              <w:bidi w:val="0"/>
              <w:spacing w:line="360" w:lineRule="auto"/>
              <w:ind w:right="248"/>
              <w:jc w:val="center"/>
              <w:rPr>
                <w:rFonts w:hint="default" w:ascii="宋体" w:hAnsi="宋体" w:eastAsia="宋体" w:cs="宋体"/>
                <w:szCs w:val="21"/>
                <w:highlight w:val="none"/>
                <w:lang w:val="en-US" w:eastAsia="zh-CN"/>
              </w:rPr>
            </w:pPr>
          </w:p>
        </w:tc>
        <w:tc>
          <w:tcPr>
            <w:tcW w:w="588" w:type="pct"/>
            <w:noWrap w:val="0"/>
            <w:vAlign w:val="center"/>
          </w:tcPr>
          <w:p w14:paraId="189777A0">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38003CDE">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020F5F1A">
            <w:pPr>
              <w:pageBreakBefore w:val="0"/>
              <w:kinsoku/>
              <w:overflowPunct/>
              <w:topLinePunct w:val="0"/>
              <w:bidi w:val="0"/>
              <w:spacing w:line="360" w:lineRule="auto"/>
              <w:ind w:right="248"/>
              <w:jc w:val="center"/>
              <w:rPr>
                <w:rFonts w:ascii="宋体" w:hAnsi="宋体" w:cs="宋体"/>
                <w:szCs w:val="21"/>
                <w:highlight w:val="none"/>
              </w:rPr>
            </w:pPr>
          </w:p>
        </w:tc>
      </w:tr>
      <w:tr w14:paraId="2D2A7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vMerge w:val="restart"/>
            <w:noWrap w:val="0"/>
            <w:vAlign w:val="center"/>
          </w:tcPr>
          <w:p w14:paraId="2C87BD67">
            <w:pPr>
              <w:pageBreakBefore w:val="0"/>
              <w:kinsoku/>
              <w:overflowPunct/>
              <w:topLinePunct w:val="0"/>
              <w:bidi w:val="0"/>
              <w:spacing w:line="360" w:lineRule="auto"/>
              <w:ind w:right="248"/>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926" w:type="pct"/>
            <w:vMerge w:val="restart"/>
            <w:noWrap w:val="0"/>
            <w:vAlign w:val="center"/>
          </w:tcPr>
          <w:p w14:paraId="0082876D">
            <w:pPr>
              <w:pageBreakBefore w:val="0"/>
              <w:kinsoku/>
              <w:overflowPunct/>
              <w:topLinePunct w:val="0"/>
              <w:bidi w:val="0"/>
              <w:spacing w:line="360" w:lineRule="auto"/>
              <w:ind w:right="248"/>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926" w:type="pct"/>
            <w:noWrap w:val="0"/>
            <w:vAlign w:val="center"/>
          </w:tcPr>
          <w:p w14:paraId="1289AD4E">
            <w:pPr>
              <w:pageBreakBefore w:val="0"/>
              <w:kinsoku/>
              <w:overflowPunct/>
              <w:topLinePunct w:val="0"/>
              <w:bidi w:val="0"/>
              <w:spacing w:line="360" w:lineRule="auto"/>
              <w:ind w:right="248"/>
              <w:jc w:val="center"/>
              <w:rPr>
                <w:rFonts w:ascii="宋体" w:hAnsi="宋体" w:cs="宋体"/>
                <w:szCs w:val="21"/>
                <w:highlight w:val="none"/>
              </w:rPr>
            </w:pPr>
          </w:p>
        </w:tc>
        <w:tc>
          <w:tcPr>
            <w:tcW w:w="678" w:type="pct"/>
            <w:noWrap w:val="0"/>
            <w:vAlign w:val="center"/>
          </w:tcPr>
          <w:p w14:paraId="6058F35C">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2048715C">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6CF909EF">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42D7DCF6">
            <w:pPr>
              <w:pageBreakBefore w:val="0"/>
              <w:kinsoku/>
              <w:overflowPunct/>
              <w:topLinePunct w:val="0"/>
              <w:bidi w:val="0"/>
              <w:spacing w:line="360" w:lineRule="auto"/>
              <w:ind w:right="248"/>
              <w:jc w:val="center"/>
              <w:rPr>
                <w:rFonts w:ascii="宋体" w:hAnsi="宋体" w:cs="宋体"/>
                <w:szCs w:val="21"/>
                <w:highlight w:val="none"/>
              </w:rPr>
            </w:pPr>
          </w:p>
        </w:tc>
      </w:tr>
      <w:tr w14:paraId="131EE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vMerge w:val="continue"/>
            <w:noWrap w:val="0"/>
            <w:vAlign w:val="center"/>
          </w:tcPr>
          <w:p w14:paraId="1B1760E8">
            <w:pPr>
              <w:pageBreakBefore w:val="0"/>
              <w:kinsoku/>
              <w:overflowPunct/>
              <w:topLinePunct w:val="0"/>
              <w:bidi w:val="0"/>
              <w:spacing w:line="360" w:lineRule="auto"/>
              <w:ind w:right="248"/>
              <w:jc w:val="center"/>
              <w:rPr>
                <w:rFonts w:ascii="宋体" w:hAnsi="宋体" w:cs="宋体"/>
                <w:szCs w:val="21"/>
                <w:highlight w:val="none"/>
              </w:rPr>
            </w:pPr>
          </w:p>
        </w:tc>
        <w:tc>
          <w:tcPr>
            <w:tcW w:w="926" w:type="pct"/>
            <w:vMerge w:val="continue"/>
            <w:noWrap w:val="0"/>
            <w:vAlign w:val="center"/>
          </w:tcPr>
          <w:p w14:paraId="72AA42EA">
            <w:pPr>
              <w:pageBreakBefore w:val="0"/>
              <w:kinsoku/>
              <w:overflowPunct/>
              <w:topLinePunct w:val="0"/>
              <w:bidi w:val="0"/>
              <w:spacing w:line="360" w:lineRule="auto"/>
              <w:ind w:right="248"/>
              <w:jc w:val="center"/>
              <w:rPr>
                <w:rFonts w:hint="eastAsia" w:ascii="宋体" w:hAnsi="宋体" w:cs="宋体"/>
                <w:szCs w:val="21"/>
                <w:highlight w:val="none"/>
              </w:rPr>
            </w:pPr>
          </w:p>
        </w:tc>
        <w:tc>
          <w:tcPr>
            <w:tcW w:w="926" w:type="pct"/>
            <w:noWrap w:val="0"/>
            <w:vAlign w:val="center"/>
          </w:tcPr>
          <w:p w14:paraId="0256B019">
            <w:pPr>
              <w:pageBreakBefore w:val="0"/>
              <w:kinsoku/>
              <w:overflowPunct/>
              <w:topLinePunct w:val="0"/>
              <w:bidi w:val="0"/>
              <w:spacing w:line="360" w:lineRule="auto"/>
              <w:ind w:right="248"/>
              <w:jc w:val="center"/>
              <w:rPr>
                <w:rFonts w:hint="eastAsia" w:ascii="宋体" w:hAnsi="宋体" w:cs="宋体"/>
                <w:szCs w:val="21"/>
                <w:highlight w:val="none"/>
              </w:rPr>
            </w:pPr>
          </w:p>
        </w:tc>
        <w:tc>
          <w:tcPr>
            <w:tcW w:w="678" w:type="pct"/>
            <w:noWrap w:val="0"/>
            <w:vAlign w:val="center"/>
          </w:tcPr>
          <w:p w14:paraId="3FB1F117">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02098283">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4E5954B5">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0B76229D">
            <w:pPr>
              <w:pageBreakBefore w:val="0"/>
              <w:kinsoku/>
              <w:overflowPunct/>
              <w:topLinePunct w:val="0"/>
              <w:bidi w:val="0"/>
              <w:spacing w:line="360" w:lineRule="auto"/>
              <w:ind w:right="248"/>
              <w:jc w:val="center"/>
              <w:rPr>
                <w:rFonts w:ascii="宋体" w:hAnsi="宋体" w:cs="宋体"/>
                <w:szCs w:val="21"/>
                <w:highlight w:val="none"/>
              </w:rPr>
            </w:pPr>
          </w:p>
        </w:tc>
      </w:tr>
      <w:tr w14:paraId="3536C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vMerge w:val="continue"/>
            <w:noWrap w:val="0"/>
            <w:vAlign w:val="center"/>
          </w:tcPr>
          <w:p w14:paraId="781B5B42">
            <w:pPr>
              <w:pageBreakBefore w:val="0"/>
              <w:kinsoku/>
              <w:overflowPunct/>
              <w:topLinePunct w:val="0"/>
              <w:bidi w:val="0"/>
              <w:spacing w:line="360" w:lineRule="auto"/>
              <w:ind w:right="248"/>
              <w:jc w:val="center"/>
              <w:rPr>
                <w:rFonts w:ascii="宋体" w:hAnsi="宋体" w:cs="宋体"/>
                <w:szCs w:val="21"/>
                <w:highlight w:val="none"/>
              </w:rPr>
            </w:pPr>
          </w:p>
        </w:tc>
        <w:tc>
          <w:tcPr>
            <w:tcW w:w="926" w:type="pct"/>
            <w:vMerge w:val="continue"/>
            <w:noWrap w:val="0"/>
            <w:vAlign w:val="center"/>
          </w:tcPr>
          <w:p w14:paraId="636FA18B">
            <w:pPr>
              <w:pageBreakBefore w:val="0"/>
              <w:kinsoku/>
              <w:overflowPunct/>
              <w:topLinePunct w:val="0"/>
              <w:bidi w:val="0"/>
              <w:spacing w:line="360" w:lineRule="auto"/>
              <w:ind w:right="248"/>
              <w:jc w:val="center"/>
              <w:rPr>
                <w:rFonts w:hint="eastAsia" w:ascii="宋体" w:hAnsi="宋体" w:cs="宋体"/>
                <w:szCs w:val="21"/>
                <w:highlight w:val="none"/>
              </w:rPr>
            </w:pPr>
          </w:p>
        </w:tc>
        <w:tc>
          <w:tcPr>
            <w:tcW w:w="926" w:type="pct"/>
            <w:noWrap w:val="0"/>
            <w:vAlign w:val="center"/>
          </w:tcPr>
          <w:p w14:paraId="01D439FC">
            <w:pPr>
              <w:pageBreakBefore w:val="0"/>
              <w:kinsoku/>
              <w:overflowPunct/>
              <w:topLinePunct w:val="0"/>
              <w:bidi w:val="0"/>
              <w:spacing w:line="360" w:lineRule="auto"/>
              <w:ind w:right="248"/>
              <w:jc w:val="center"/>
              <w:rPr>
                <w:rFonts w:hint="eastAsia" w:ascii="宋体" w:hAnsi="宋体" w:cs="宋体"/>
                <w:szCs w:val="21"/>
                <w:highlight w:val="none"/>
              </w:rPr>
            </w:pPr>
          </w:p>
        </w:tc>
        <w:tc>
          <w:tcPr>
            <w:tcW w:w="678" w:type="pct"/>
            <w:noWrap w:val="0"/>
            <w:vAlign w:val="center"/>
          </w:tcPr>
          <w:p w14:paraId="01A5D681">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58505A0C">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23254ADF">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532226A3">
            <w:pPr>
              <w:pageBreakBefore w:val="0"/>
              <w:kinsoku/>
              <w:overflowPunct/>
              <w:topLinePunct w:val="0"/>
              <w:bidi w:val="0"/>
              <w:spacing w:line="360" w:lineRule="auto"/>
              <w:ind w:right="248"/>
              <w:jc w:val="center"/>
              <w:rPr>
                <w:rFonts w:ascii="宋体" w:hAnsi="宋体" w:cs="宋体"/>
                <w:szCs w:val="21"/>
                <w:highlight w:val="none"/>
              </w:rPr>
            </w:pPr>
          </w:p>
        </w:tc>
      </w:tr>
      <w:tr w14:paraId="4A8C4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vMerge w:val="continue"/>
            <w:noWrap w:val="0"/>
            <w:vAlign w:val="center"/>
          </w:tcPr>
          <w:p w14:paraId="5D1C3AA8">
            <w:pPr>
              <w:pageBreakBefore w:val="0"/>
              <w:kinsoku/>
              <w:overflowPunct/>
              <w:topLinePunct w:val="0"/>
              <w:bidi w:val="0"/>
              <w:spacing w:line="360" w:lineRule="auto"/>
              <w:ind w:right="248"/>
              <w:jc w:val="center"/>
              <w:rPr>
                <w:rFonts w:ascii="宋体" w:hAnsi="宋体" w:cs="宋体"/>
                <w:szCs w:val="21"/>
                <w:highlight w:val="none"/>
              </w:rPr>
            </w:pPr>
          </w:p>
        </w:tc>
        <w:tc>
          <w:tcPr>
            <w:tcW w:w="926" w:type="pct"/>
            <w:vMerge w:val="continue"/>
            <w:noWrap w:val="0"/>
            <w:vAlign w:val="center"/>
          </w:tcPr>
          <w:p w14:paraId="698BF122">
            <w:pPr>
              <w:pageBreakBefore w:val="0"/>
              <w:kinsoku/>
              <w:overflowPunct/>
              <w:topLinePunct w:val="0"/>
              <w:bidi w:val="0"/>
              <w:spacing w:line="360" w:lineRule="auto"/>
              <w:ind w:right="248"/>
              <w:jc w:val="center"/>
              <w:rPr>
                <w:rFonts w:hint="eastAsia" w:ascii="宋体" w:hAnsi="宋体" w:cs="宋体"/>
                <w:szCs w:val="21"/>
                <w:highlight w:val="none"/>
              </w:rPr>
            </w:pPr>
          </w:p>
        </w:tc>
        <w:tc>
          <w:tcPr>
            <w:tcW w:w="926" w:type="pct"/>
            <w:noWrap w:val="0"/>
            <w:vAlign w:val="center"/>
          </w:tcPr>
          <w:p w14:paraId="31088632">
            <w:pPr>
              <w:pageBreakBefore w:val="0"/>
              <w:kinsoku/>
              <w:overflowPunct/>
              <w:topLinePunct w:val="0"/>
              <w:bidi w:val="0"/>
              <w:spacing w:line="360" w:lineRule="auto"/>
              <w:ind w:right="248"/>
              <w:jc w:val="center"/>
              <w:rPr>
                <w:rFonts w:hint="eastAsia" w:ascii="宋体" w:hAnsi="宋体" w:cs="宋体"/>
                <w:szCs w:val="21"/>
                <w:highlight w:val="none"/>
              </w:rPr>
            </w:pPr>
          </w:p>
        </w:tc>
        <w:tc>
          <w:tcPr>
            <w:tcW w:w="678" w:type="pct"/>
            <w:noWrap w:val="0"/>
            <w:vAlign w:val="center"/>
          </w:tcPr>
          <w:p w14:paraId="128120B7">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17A63C11">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289BD20A">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48DF6F44">
            <w:pPr>
              <w:pageBreakBefore w:val="0"/>
              <w:kinsoku/>
              <w:overflowPunct/>
              <w:topLinePunct w:val="0"/>
              <w:bidi w:val="0"/>
              <w:spacing w:line="360" w:lineRule="auto"/>
              <w:ind w:right="248"/>
              <w:jc w:val="center"/>
              <w:rPr>
                <w:rFonts w:ascii="宋体" w:hAnsi="宋体" w:cs="宋体"/>
                <w:szCs w:val="21"/>
                <w:highlight w:val="none"/>
              </w:rPr>
            </w:pPr>
          </w:p>
        </w:tc>
      </w:tr>
      <w:tr w14:paraId="5E053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vMerge w:val="restart"/>
            <w:noWrap w:val="0"/>
            <w:vAlign w:val="center"/>
          </w:tcPr>
          <w:p w14:paraId="6127112F">
            <w:pPr>
              <w:pageBreakBefore w:val="0"/>
              <w:kinsoku/>
              <w:overflowPunct/>
              <w:topLinePunct w:val="0"/>
              <w:bidi w:val="0"/>
              <w:spacing w:line="360" w:lineRule="auto"/>
              <w:ind w:right="248"/>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926" w:type="pct"/>
            <w:vMerge w:val="restart"/>
            <w:noWrap w:val="0"/>
            <w:vAlign w:val="center"/>
          </w:tcPr>
          <w:p w14:paraId="3DF26D21">
            <w:pPr>
              <w:pageBreakBefore w:val="0"/>
              <w:kinsoku/>
              <w:overflowPunct/>
              <w:topLinePunct w:val="0"/>
              <w:bidi w:val="0"/>
              <w:spacing w:line="360" w:lineRule="auto"/>
              <w:ind w:right="248"/>
              <w:jc w:val="center"/>
              <w:rPr>
                <w:rFonts w:hint="eastAsia" w:ascii="宋体" w:hAnsi="宋体" w:cs="宋体"/>
                <w:szCs w:val="21"/>
                <w:highlight w:val="none"/>
              </w:rPr>
            </w:pPr>
          </w:p>
        </w:tc>
        <w:tc>
          <w:tcPr>
            <w:tcW w:w="926" w:type="pct"/>
            <w:noWrap w:val="0"/>
            <w:vAlign w:val="center"/>
          </w:tcPr>
          <w:p w14:paraId="4F21F5DC">
            <w:pPr>
              <w:pageBreakBefore w:val="0"/>
              <w:kinsoku/>
              <w:overflowPunct/>
              <w:topLinePunct w:val="0"/>
              <w:bidi w:val="0"/>
              <w:spacing w:line="360" w:lineRule="auto"/>
              <w:ind w:right="248"/>
              <w:jc w:val="center"/>
              <w:rPr>
                <w:rFonts w:hint="eastAsia" w:ascii="宋体" w:hAnsi="宋体" w:cs="宋体"/>
                <w:szCs w:val="21"/>
                <w:highlight w:val="none"/>
              </w:rPr>
            </w:pPr>
          </w:p>
        </w:tc>
        <w:tc>
          <w:tcPr>
            <w:tcW w:w="678" w:type="pct"/>
            <w:noWrap w:val="0"/>
            <w:vAlign w:val="center"/>
          </w:tcPr>
          <w:p w14:paraId="4B6E97E1">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6A3189D5">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48C0B565">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11C88730">
            <w:pPr>
              <w:pageBreakBefore w:val="0"/>
              <w:kinsoku/>
              <w:overflowPunct/>
              <w:topLinePunct w:val="0"/>
              <w:bidi w:val="0"/>
              <w:spacing w:line="360" w:lineRule="auto"/>
              <w:ind w:right="248"/>
              <w:jc w:val="center"/>
              <w:rPr>
                <w:rFonts w:ascii="宋体" w:hAnsi="宋体" w:cs="宋体"/>
                <w:szCs w:val="21"/>
                <w:highlight w:val="none"/>
              </w:rPr>
            </w:pPr>
          </w:p>
        </w:tc>
      </w:tr>
      <w:tr w14:paraId="266F7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2" w:type="pct"/>
            <w:vMerge w:val="continue"/>
            <w:noWrap w:val="0"/>
            <w:vAlign w:val="center"/>
          </w:tcPr>
          <w:p w14:paraId="61CCCD3C">
            <w:pPr>
              <w:pageBreakBefore w:val="0"/>
              <w:kinsoku/>
              <w:overflowPunct/>
              <w:topLinePunct w:val="0"/>
              <w:bidi w:val="0"/>
              <w:spacing w:line="360" w:lineRule="auto"/>
              <w:ind w:right="248"/>
              <w:jc w:val="center"/>
              <w:rPr>
                <w:rFonts w:ascii="宋体" w:hAnsi="宋体" w:cs="宋体"/>
                <w:szCs w:val="21"/>
                <w:highlight w:val="none"/>
              </w:rPr>
            </w:pPr>
          </w:p>
        </w:tc>
        <w:tc>
          <w:tcPr>
            <w:tcW w:w="926" w:type="pct"/>
            <w:vMerge w:val="continue"/>
            <w:noWrap w:val="0"/>
            <w:vAlign w:val="center"/>
          </w:tcPr>
          <w:p w14:paraId="32C994AE">
            <w:pPr>
              <w:pageBreakBefore w:val="0"/>
              <w:kinsoku/>
              <w:overflowPunct/>
              <w:topLinePunct w:val="0"/>
              <w:bidi w:val="0"/>
              <w:spacing w:line="360" w:lineRule="auto"/>
              <w:ind w:right="248"/>
              <w:jc w:val="center"/>
              <w:rPr>
                <w:rFonts w:hint="eastAsia" w:ascii="宋体" w:hAnsi="宋体" w:cs="宋体"/>
                <w:szCs w:val="21"/>
                <w:highlight w:val="none"/>
              </w:rPr>
            </w:pPr>
          </w:p>
        </w:tc>
        <w:tc>
          <w:tcPr>
            <w:tcW w:w="926" w:type="pct"/>
            <w:noWrap w:val="0"/>
            <w:vAlign w:val="center"/>
          </w:tcPr>
          <w:p w14:paraId="2B7C8D7A">
            <w:pPr>
              <w:pageBreakBefore w:val="0"/>
              <w:kinsoku/>
              <w:overflowPunct/>
              <w:topLinePunct w:val="0"/>
              <w:bidi w:val="0"/>
              <w:spacing w:line="360" w:lineRule="auto"/>
              <w:ind w:right="248"/>
              <w:jc w:val="center"/>
              <w:rPr>
                <w:rFonts w:hint="eastAsia" w:ascii="宋体" w:hAnsi="宋体" w:cs="宋体"/>
                <w:szCs w:val="21"/>
                <w:highlight w:val="none"/>
              </w:rPr>
            </w:pPr>
          </w:p>
        </w:tc>
        <w:tc>
          <w:tcPr>
            <w:tcW w:w="678" w:type="pct"/>
            <w:noWrap w:val="0"/>
            <w:vAlign w:val="center"/>
          </w:tcPr>
          <w:p w14:paraId="40C596B8">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1ED1CE2F">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53596287">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079CDAB5">
            <w:pPr>
              <w:pageBreakBefore w:val="0"/>
              <w:kinsoku/>
              <w:overflowPunct/>
              <w:topLinePunct w:val="0"/>
              <w:bidi w:val="0"/>
              <w:spacing w:line="360" w:lineRule="auto"/>
              <w:ind w:right="248"/>
              <w:jc w:val="center"/>
              <w:rPr>
                <w:rFonts w:ascii="宋体" w:hAnsi="宋体" w:cs="宋体"/>
                <w:szCs w:val="21"/>
                <w:highlight w:val="none"/>
              </w:rPr>
            </w:pPr>
          </w:p>
        </w:tc>
      </w:tr>
      <w:tr w14:paraId="5CB8A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vMerge w:val="continue"/>
            <w:noWrap w:val="0"/>
            <w:vAlign w:val="center"/>
          </w:tcPr>
          <w:p w14:paraId="1C3B63C3">
            <w:pPr>
              <w:pageBreakBefore w:val="0"/>
              <w:kinsoku/>
              <w:overflowPunct/>
              <w:topLinePunct w:val="0"/>
              <w:bidi w:val="0"/>
              <w:spacing w:line="360" w:lineRule="auto"/>
              <w:ind w:right="248"/>
              <w:jc w:val="center"/>
              <w:rPr>
                <w:rFonts w:ascii="宋体" w:hAnsi="宋体" w:cs="宋体"/>
                <w:szCs w:val="21"/>
                <w:highlight w:val="none"/>
              </w:rPr>
            </w:pPr>
          </w:p>
        </w:tc>
        <w:tc>
          <w:tcPr>
            <w:tcW w:w="926" w:type="pct"/>
            <w:vMerge w:val="continue"/>
            <w:noWrap w:val="0"/>
            <w:vAlign w:val="center"/>
          </w:tcPr>
          <w:p w14:paraId="027CDBC6">
            <w:pPr>
              <w:pageBreakBefore w:val="0"/>
              <w:kinsoku/>
              <w:overflowPunct/>
              <w:topLinePunct w:val="0"/>
              <w:bidi w:val="0"/>
              <w:spacing w:line="360" w:lineRule="auto"/>
              <w:ind w:right="248"/>
              <w:jc w:val="center"/>
              <w:rPr>
                <w:rFonts w:hint="eastAsia" w:ascii="宋体" w:hAnsi="宋体" w:cs="宋体"/>
                <w:szCs w:val="21"/>
                <w:highlight w:val="none"/>
              </w:rPr>
            </w:pPr>
          </w:p>
        </w:tc>
        <w:tc>
          <w:tcPr>
            <w:tcW w:w="926" w:type="pct"/>
            <w:noWrap w:val="0"/>
            <w:vAlign w:val="center"/>
          </w:tcPr>
          <w:p w14:paraId="6933546D">
            <w:pPr>
              <w:pageBreakBefore w:val="0"/>
              <w:kinsoku/>
              <w:overflowPunct/>
              <w:topLinePunct w:val="0"/>
              <w:bidi w:val="0"/>
              <w:spacing w:line="360" w:lineRule="auto"/>
              <w:ind w:right="248"/>
              <w:jc w:val="center"/>
              <w:rPr>
                <w:rFonts w:hint="eastAsia" w:ascii="宋体" w:hAnsi="宋体" w:cs="宋体"/>
                <w:szCs w:val="21"/>
                <w:highlight w:val="none"/>
              </w:rPr>
            </w:pPr>
          </w:p>
        </w:tc>
        <w:tc>
          <w:tcPr>
            <w:tcW w:w="678" w:type="pct"/>
            <w:noWrap w:val="0"/>
            <w:vAlign w:val="center"/>
          </w:tcPr>
          <w:p w14:paraId="539872C3">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1231ABC2">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061214B3">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049E8BC2">
            <w:pPr>
              <w:pageBreakBefore w:val="0"/>
              <w:kinsoku/>
              <w:overflowPunct/>
              <w:topLinePunct w:val="0"/>
              <w:bidi w:val="0"/>
              <w:spacing w:line="360" w:lineRule="auto"/>
              <w:ind w:right="248"/>
              <w:jc w:val="center"/>
              <w:rPr>
                <w:rFonts w:ascii="宋体" w:hAnsi="宋体" w:cs="宋体"/>
                <w:szCs w:val="21"/>
                <w:highlight w:val="none"/>
              </w:rPr>
            </w:pPr>
          </w:p>
        </w:tc>
      </w:tr>
      <w:tr w14:paraId="3A3A8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vMerge w:val="continue"/>
            <w:noWrap w:val="0"/>
            <w:vAlign w:val="center"/>
          </w:tcPr>
          <w:p w14:paraId="5A04DE01">
            <w:pPr>
              <w:pageBreakBefore w:val="0"/>
              <w:kinsoku/>
              <w:overflowPunct/>
              <w:topLinePunct w:val="0"/>
              <w:bidi w:val="0"/>
              <w:spacing w:line="360" w:lineRule="auto"/>
              <w:ind w:right="248"/>
              <w:jc w:val="center"/>
              <w:rPr>
                <w:rFonts w:ascii="宋体" w:hAnsi="宋体" w:cs="宋体"/>
                <w:szCs w:val="21"/>
                <w:highlight w:val="none"/>
              </w:rPr>
            </w:pPr>
          </w:p>
        </w:tc>
        <w:tc>
          <w:tcPr>
            <w:tcW w:w="926" w:type="pct"/>
            <w:vMerge w:val="continue"/>
            <w:noWrap w:val="0"/>
            <w:vAlign w:val="center"/>
          </w:tcPr>
          <w:p w14:paraId="402727D3">
            <w:pPr>
              <w:pageBreakBefore w:val="0"/>
              <w:kinsoku/>
              <w:overflowPunct/>
              <w:topLinePunct w:val="0"/>
              <w:bidi w:val="0"/>
              <w:spacing w:line="360" w:lineRule="auto"/>
              <w:ind w:right="248"/>
              <w:jc w:val="center"/>
              <w:rPr>
                <w:rFonts w:hint="eastAsia" w:ascii="宋体" w:hAnsi="宋体" w:cs="宋体"/>
                <w:szCs w:val="21"/>
                <w:highlight w:val="none"/>
              </w:rPr>
            </w:pPr>
          </w:p>
        </w:tc>
        <w:tc>
          <w:tcPr>
            <w:tcW w:w="926" w:type="pct"/>
            <w:noWrap w:val="0"/>
            <w:vAlign w:val="center"/>
          </w:tcPr>
          <w:p w14:paraId="789A6A76">
            <w:pPr>
              <w:pageBreakBefore w:val="0"/>
              <w:kinsoku/>
              <w:overflowPunct/>
              <w:topLinePunct w:val="0"/>
              <w:bidi w:val="0"/>
              <w:spacing w:line="360" w:lineRule="auto"/>
              <w:ind w:right="248"/>
              <w:jc w:val="center"/>
              <w:rPr>
                <w:rFonts w:hint="default" w:ascii="宋体" w:hAnsi="宋体" w:cs="宋体"/>
                <w:szCs w:val="21"/>
                <w:highlight w:val="none"/>
                <w:lang w:val="en-US"/>
              </w:rPr>
            </w:pPr>
          </w:p>
        </w:tc>
        <w:tc>
          <w:tcPr>
            <w:tcW w:w="678" w:type="pct"/>
            <w:noWrap w:val="0"/>
            <w:vAlign w:val="center"/>
          </w:tcPr>
          <w:p w14:paraId="1A2CD196">
            <w:pPr>
              <w:pageBreakBefore w:val="0"/>
              <w:kinsoku/>
              <w:overflowPunct/>
              <w:topLinePunct w:val="0"/>
              <w:bidi w:val="0"/>
              <w:spacing w:line="360" w:lineRule="auto"/>
              <w:ind w:right="248"/>
              <w:jc w:val="center"/>
              <w:rPr>
                <w:rFonts w:hint="default" w:ascii="宋体" w:hAnsi="宋体" w:cs="宋体"/>
                <w:szCs w:val="21"/>
                <w:highlight w:val="none"/>
                <w:lang w:val="en-US" w:eastAsia="zh-CN"/>
              </w:rPr>
            </w:pPr>
          </w:p>
        </w:tc>
        <w:tc>
          <w:tcPr>
            <w:tcW w:w="588" w:type="pct"/>
            <w:noWrap w:val="0"/>
            <w:vAlign w:val="center"/>
          </w:tcPr>
          <w:p w14:paraId="1A290149">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5D80CF4E">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04F30D0F">
            <w:pPr>
              <w:pageBreakBefore w:val="0"/>
              <w:kinsoku/>
              <w:overflowPunct/>
              <w:topLinePunct w:val="0"/>
              <w:bidi w:val="0"/>
              <w:spacing w:line="360" w:lineRule="auto"/>
              <w:ind w:right="248"/>
              <w:jc w:val="center"/>
              <w:rPr>
                <w:rFonts w:ascii="宋体" w:hAnsi="宋体" w:cs="宋体"/>
                <w:szCs w:val="21"/>
                <w:highlight w:val="none"/>
              </w:rPr>
            </w:pPr>
          </w:p>
        </w:tc>
      </w:tr>
      <w:tr w14:paraId="4AE88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2" w:type="pct"/>
            <w:noWrap w:val="0"/>
            <w:vAlign w:val="center"/>
          </w:tcPr>
          <w:p w14:paraId="2F0B5197">
            <w:pPr>
              <w:pageBreakBefore w:val="0"/>
              <w:kinsoku/>
              <w:overflowPunct/>
              <w:topLinePunct w:val="0"/>
              <w:bidi w:val="0"/>
              <w:spacing w:line="360" w:lineRule="auto"/>
              <w:ind w:right="248"/>
              <w:jc w:val="center"/>
              <w:rPr>
                <w:rFonts w:ascii="宋体" w:hAnsi="宋体" w:cs="宋体"/>
                <w:szCs w:val="21"/>
                <w:highlight w:val="none"/>
              </w:rPr>
            </w:pPr>
          </w:p>
        </w:tc>
        <w:tc>
          <w:tcPr>
            <w:tcW w:w="926" w:type="pct"/>
            <w:noWrap w:val="0"/>
            <w:vAlign w:val="center"/>
          </w:tcPr>
          <w:p w14:paraId="3094BC12">
            <w:pPr>
              <w:pageBreakBefore w:val="0"/>
              <w:kinsoku/>
              <w:overflowPunct/>
              <w:topLinePunct w:val="0"/>
              <w:bidi w:val="0"/>
              <w:spacing w:line="360" w:lineRule="auto"/>
              <w:ind w:right="248"/>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926" w:type="pct"/>
            <w:noWrap w:val="0"/>
            <w:vAlign w:val="center"/>
          </w:tcPr>
          <w:p w14:paraId="79A23467">
            <w:pPr>
              <w:pageBreakBefore w:val="0"/>
              <w:kinsoku/>
              <w:overflowPunct/>
              <w:topLinePunct w:val="0"/>
              <w:bidi w:val="0"/>
              <w:spacing w:line="360" w:lineRule="auto"/>
              <w:ind w:right="248"/>
              <w:jc w:val="center"/>
              <w:rPr>
                <w:rFonts w:hint="eastAsia" w:ascii="宋体" w:hAnsi="宋体" w:cs="宋体"/>
                <w:szCs w:val="21"/>
                <w:highlight w:val="none"/>
              </w:rPr>
            </w:pPr>
          </w:p>
        </w:tc>
        <w:tc>
          <w:tcPr>
            <w:tcW w:w="678" w:type="pct"/>
            <w:noWrap w:val="0"/>
            <w:vAlign w:val="center"/>
          </w:tcPr>
          <w:p w14:paraId="391D0CB7">
            <w:pPr>
              <w:pageBreakBefore w:val="0"/>
              <w:kinsoku/>
              <w:overflowPunct/>
              <w:topLinePunct w:val="0"/>
              <w:bidi w:val="0"/>
              <w:spacing w:line="360" w:lineRule="auto"/>
              <w:ind w:right="248"/>
              <w:jc w:val="center"/>
              <w:rPr>
                <w:rFonts w:hint="eastAsia" w:ascii="宋体" w:hAnsi="宋体" w:cs="宋体"/>
                <w:szCs w:val="21"/>
                <w:highlight w:val="none"/>
                <w:lang w:val="en-US" w:eastAsia="zh-CN"/>
              </w:rPr>
            </w:pPr>
          </w:p>
        </w:tc>
        <w:tc>
          <w:tcPr>
            <w:tcW w:w="588" w:type="pct"/>
            <w:noWrap w:val="0"/>
            <w:vAlign w:val="center"/>
          </w:tcPr>
          <w:p w14:paraId="1F32BE49">
            <w:pPr>
              <w:pageBreakBefore w:val="0"/>
              <w:kinsoku/>
              <w:overflowPunct/>
              <w:topLinePunct w:val="0"/>
              <w:bidi w:val="0"/>
              <w:spacing w:line="360" w:lineRule="auto"/>
              <w:ind w:right="248"/>
              <w:jc w:val="center"/>
              <w:rPr>
                <w:rFonts w:ascii="宋体" w:hAnsi="宋体" w:cs="宋体"/>
                <w:szCs w:val="21"/>
                <w:highlight w:val="none"/>
              </w:rPr>
            </w:pPr>
          </w:p>
        </w:tc>
        <w:tc>
          <w:tcPr>
            <w:tcW w:w="817" w:type="pct"/>
            <w:noWrap w:val="0"/>
            <w:vAlign w:val="center"/>
          </w:tcPr>
          <w:p w14:paraId="7ECCC32D">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3993C9FD">
            <w:pPr>
              <w:pageBreakBefore w:val="0"/>
              <w:kinsoku/>
              <w:overflowPunct/>
              <w:topLinePunct w:val="0"/>
              <w:bidi w:val="0"/>
              <w:spacing w:line="360" w:lineRule="auto"/>
              <w:ind w:right="248"/>
              <w:jc w:val="center"/>
              <w:rPr>
                <w:rFonts w:ascii="宋体" w:hAnsi="宋体" w:cs="宋体"/>
                <w:szCs w:val="21"/>
                <w:highlight w:val="none"/>
              </w:rPr>
            </w:pPr>
          </w:p>
        </w:tc>
      </w:tr>
    </w:tbl>
    <w:p w14:paraId="7C1B1442">
      <w:pPr>
        <w:pageBreakBefore w:val="0"/>
        <w:kinsoku/>
        <w:overflowPunct/>
        <w:topLinePunct w:val="0"/>
        <w:bidi w:val="0"/>
        <w:spacing w:line="360" w:lineRule="auto"/>
        <w:ind w:firstLine="420" w:firstLineChars="200"/>
        <w:jc w:val="left"/>
        <w:rPr>
          <w:rFonts w:ascii="宋体" w:hAnsi="宋体" w:cs="宋体"/>
          <w:kern w:val="0"/>
          <w:szCs w:val="21"/>
          <w:highlight w:val="none"/>
        </w:rPr>
      </w:pPr>
      <w:bookmarkStart w:id="109" w:name="_Toc222033883"/>
      <w:bookmarkStart w:id="110" w:name="_Toc222031034"/>
      <w:bookmarkStart w:id="111" w:name="_Toc222032701"/>
      <w:bookmarkStart w:id="112" w:name="_Toc229305392"/>
      <w:bookmarkStart w:id="113" w:name="_Toc221951166"/>
      <w:bookmarkStart w:id="114" w:name="_Toc222029532"/>
      <w:r>
        <w:rPr>
          <w:rFonts w:hint="eastAsia" w:ascii="宋体" w:hAnsi="宋体"/>
          <w:szCs w:val="21"/>
          <w:highlight w:val="none"/>
        </w:rPr>
        <w:t>材料（设备）的名称、规格、数量和价格：</w:t>
      </w:r>
      <w:r>
        <w:rPr>
          <w:rFonts w:hint="eastAsia" w:ascii="宋体" w:hAnsi="宋体"/>
          <w:szCs w:val="21"/>
          <w:highlight w:val="none"/>
          <w:u w:val="single"/>
        </w:rPr>
        <w:t>发包人提供甲供材料（设备）的明细表，结算时</w:t>
      </w:r>
      <w:r>
        <w:rPr>
          <w:rFonts w:hint="eastAsia" w:ascii="宋体" w:hAnsi="宋体"/>
          <w:szCs w:val="21"/>
          <w:highlight w:val="none"/>
          <w:u w:val="single"/>
          <w:lang w:eastAsia="zh-CN"/>
        </w:rPr>
        <w:t>不计入承包人工程结算中，由承包人单独结算</w:t>
      </w:r>
      <w:r>
        <w:rPr>
          <w:rFonts w:hint="eastAsia" w:ascii="宋体" w:hAnsi="宋体"/>
          <w:szCs w:val="21"/>
          <w:highlight w:val="none"/>
        </w:rPr>
        <w:t>。</w:t>
      </w:r>
    </w:p>
    <w:p w14:paraId="5691562A">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5.4 禁止使用不合格的材料和工程设备</w:t>
      </w:r>
    </w:p>
    <w:p w14:paraId="01C25892">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本款补充细化如下：</w:t>
      </w:r>
      <w:r>
        <w:rPr>
          <w:rFonts w:hint="eastAsia" w:ascii="宋体" w:hAnsi="宋体" w:cs="宋体"/>
          <w:kern w:val="0"/>
          <w:szCs w:val="21"/>
          <w:highlight w:val="none"/>
          <w:u w:val="single"/>
        </w:rPr>
        <w:t>发包人按约定的内容提供材料设备，承包人按施工规范和检测规范对一切进场材料进行质量检验，承包人有权退回检验不合格的材料；承包人对投入使用的材料质量负责，并对工程质量全面负责。</w:t>
      </w:r>
    </w:p>
    <w:p w14:paraId="42CCF83B">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本条补充5.5、5.6款如下：</w:t>
      </w:r>
    </w:p>
    <w:p w14:paraId="6005DD49">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5.5 材料与工程设备的保管与使用</w:t>
      </w:r>
    </w:p>
    <w:p w14:paraId="4F043FA5">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发包人供应的材料设备的保管费用的承担：</w:t>
      </w:r>
      <w:r>
        <w:rPr>
          <w:rFonts w:hint="eastAsia" w:ascii="宋体" w:hAnsi="宋体" w:cs="宋体"/>
          <w:kern w:val="0"/>
          <w:szCs w:val="21"/>
          <w:highlight w:val="none"/>
          <w:u w:val="single"/>
          <w:lang w:eastAsia="zh-CN"/>
        </w:rPr>
        <w:t>由承包人承担</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8E3D95A">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5.6 样品</w:t>
      </w:r>
    </w:p>
    <w:p w14:paraId="37A945DB">
      <w:pPr>
        <w:pageBreakBefore w:val="0"/>
        <w:kinsoku/>
        <w:overflowPunct/>
        <w:topLinePunct w:val="0"/>
        <w:autoSpaceDE w:val="0"/>
        <w:autoSpaceDN w:val="0"/>
        <w:bidi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需要承包人报送样品的材料或工程设备，样品的种类、名称、规格、数量要求：</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eastAsia="zh-CN"/>
        </w:rPr>
        <w:t>合格</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bookmarkStart w:id="115" w:name="_Toc59810409"/>
      <w:bookmarkStart w:id="116" w:name="_Toc20051"/>
      <w:bookmarkStart w:id="117" w:name="_Toc33183724"/>
      <w:bookmarkStart w:id="118" w:name="_Toc136350389"/>
    </w:p>
    <w:p w14:paraId="2AA8EDA6">
      <w:pPr>
        <w:pageBreakBefore w:val="0"/>
        <w:kinsoku/>
        <w:overflowPunct/>
        <w:topLinePunct w:val="0"/>
        <w:autoSpaceDE w:val="0"/>
        <w:autoSpaceDN w:val="0"/>
        <w:bidi w:val="0"/>
        <w:adjustRightInd w:val="0"/>
        <w:spacing w:line="360" w:lineRule="auto"/>
        <w:jc w:val="left"/>
        <w:rPr>
          <w:rFonts w:ascii="宋体" w:hAnsi="宋体" w:cs="宋体"/>
          <w:b/>
          <w:bCs/>
          <w:sz w:val="21"/>
          <w:szCs w:val="21"/>
          <w:highlight w:val="none"/>
        </w:rPr>
      </w:pPr>
      <w:r>
        <w:rPr>
          <w:rFonts w:hint="eastAsia" w:ascii="宋体" w:hAnsi="宋体" w:cs="宋体"/>
          <w:b/>
          <w:bCs/>
          <w:sz w:val="21"/>
          <w:szCs w:val="21"/>
          <w:highlight w:val="none"/>
        </w:rPr>
        <w:t>6.施工设备和临时设施</w:t>
      </w:r>
      <w:bookmarkEnd w:id="109"/>
      <w:bookmarkEnd w:id="110"/>
      <w:bookmarkEnd w:id="111"/>
      <w:bookmarkEnd w:id="112"/>
      <w:bookmarkEnd w:id="113"/>
      <w:bookmarkEnd w:id="114"/>
      <w:bookmarkEnd w:id="115"/>
      <w:bookmarkEnd w:id="116"/>
      <w:bookmarkEnd w:id="117"/>
      <w:bookmarkEnd w:id="118"/>
      <w:r>
        <w:rPr>
          <w:rFonts w:hint="eastAsia" w:ascii="宋体" w:hAnsi="宋体" w:cs="宋体"/>
          <w:b/>
          <w:bCs/>
          <w:sz w:val="21"/>
          <w:szCs w:val="21"/>
          <w:highlight w:val="none"/>
        </w:rPr>
        <w:t xml:space="preserve"> </w:t>
      </w:r>
    </w:p>
    <w:p w14:paraId="31D1D120">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19" w:name="_Toc33183725"/>
      <w:bookmarkStart w:id="120" w:name="_Toc221951167"/>
      <w:r>
        <w:rPr>
          <w:rFonts w:hint="eastAsia" w:ascii="宋体" w:hAnsi="宋体" w:cs="宋体"/>
          <w:szCs w:val="21"/>
          <w:highlight w:val="none"/>
        </w:rPr>
        <w:t>6.1  承包人提供的施工设备和临时设施</w:t>
      </w:r>
      <w:bookmarkEnd w:id="119"/>
    </w:p>
    <w:p w14:paraId="6955FDA8">
      <w:pPr>
        <w:pageBreakBefore w:val="0"/>
        <w:kinsoku/>
        <w:overflowPunct/>
        <w:topLinePunct w:val="0"/>
        <w:autoSpaceDE w:val="0"/>
        <w:autoSpaceDN w:val="0"/>
        <w:bidi w:val="0"/>
        <w:adjustRightInd w:val="0"/>
        <w:spacing w:line="360" w:lineRule="auto"/>
        <w:ind w:firstLine="480"/>
        <w:jc w:val="left"/>
        <w:rPr>
          <w:rFonts w:ascii="宋体" w:hAnsi="宋体" w:cs="宋体"/>
          <w:szCs w:val="21"/>
          <w:highlight w:val="none"/>
        </w:rPr>
      </w:pPr>
      <w:r>
        <w:rPr>
          <w:rFonts w:hint="eastAsia" w:ascii="宋体" w:hAnsi="宋体" w:cs="宋体"/>
          <w:kern w:val="0"/>
          <w:szCs w:val="21"/>
          <w:highlight w:val="none"/>
        </w:rPr>
        <w:t>关于修建临时设施费用承担的约定：</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u w:val="single"/>
        </w:rPr>
        <w:t>由承包人承担</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w:t>
      </w:r>
    </w:p>
    <w:p w14:paraId="5C6CA199">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21" w:name="_Toc33183726"/>
      <w:r>
        <w:rPr>
          <w:rFonts w:hint="eastAsia" w:ascii="宋体" w:hAnsi="宋体" w:cs="宋体"/>
          <w:szCs w:val="21"/>
          <w:highlight w:val="none"/>
        </w:rPr>
        <w:t>6.2  发包人提供的施工设备和临时设施</w:t>
      </w:r>
      <w:bookmarkEnd w:id="120"/>
      <w:bookmarkEnd w:id="121"/>
    </w:p>
    <w:p w14:paraId="2EA43DE2">
      <w:pPr>
        <w:pageBreakBefore w:val="0"/>
        <w:kinsoku/>
        <w:overflowPunct/>
        <w:topLinePunct w:val="0"/>
        <w:bidi w:val="0"/>
        <w:spacing w:line="360" w:lineRule="auto"/>
        <w:ind w:right="248" w:firstLine="424" w:firstLineChars="202"/>
        <w:rPr>
          <w:rFonts w:ascii="宋体" w:hAnsi="宋体" w:cs="宋体"/>
          <w:szCs w:val="21"/>
          <w:highlight w:val="none"/>
        </w:rPr>
      </w:pPr>
      <w:bookmarkStart w:id="122" w:name="_Toc221951169"/>
      <w:r>
        <w:rPr>
          <w:rFonts w:hint="eastAsia" w:ascii="宋体" w:hAnsi="宋体" w:cs="宋体"/>
          <w:szCs w:val="21"/>
          <w:highlight w:val="none"/>
        </w:rPr>
        <w:t>（1）发包人提供的的施工设备见下表</w:t>
      </w:r>
      <w:bookmarkEnd w:id="122"/>
      <w:r>
        <w:rPr>
          <w:rFonts w:hint="eastAsia" w:ascii="宋体" w:hAnsi="宋体" w:cs="宋体"/>
          <w:szCs w:val="21"/>
          <w:highlight w:val="none"/>
        </w:rPr>
        <w:t>：</w:t>
      </w:r>
    </w:p>
    <w:p w14:paraId="55A2C8FB">
      <w:pPr>
        <w:pageBreakBefore w:val="0"/>
        <w:kinsoku/>
        <w:overflowPunct/>
        <w:topLinePunct w:val="0"/>
        <w:bidi w:val="0"/>
        <w:spacing w:line="360" w:lineRule="auto"/>
        <w:ind w:right="248"/>
        <w:jc w:val="center"/>
        <w:rPr>
          <w:rFonts w:ascii="宋体" w:hAnsi="宋体" w:cs="宋体"/>
          <w:szCs w:val="21"/>
          <w:highlight w:val="none"/>
        </w:rPr>
      </w:pPr>
      <w:bookmarkStart w:id="123" w:name="_Toc221951170"/>
      <w:r>
        <w:rPr>
          <w:rFonts w:hint="eastAsia" w:ascii="宋体" w:hAnsi="宋体" w:cs="宋体"/>
          <w:b/>
          <w:szCs w:val="21"/>
          <w:highlight w:val="none"/>
        </w:rPr>
        <w:t>发包人提供的施工设备表(</w:t>
      </w:r>
      <w:r>
        <w:rPr>
          <w:rFonts w:hint="eastAsia" w:ascii="宋体" w:hAnsi="宋体" w:cs="宋体"/>
          <w:szCs w:val="21"/>
          <w:highlight w:val="none"/>
        </w:rPr>
        <w:t>参考格式</w:t>
      </w:r>
      <w:r>
        <w:rPr>
          <w:rFonts w:hint="eastAsia" w:ascii="宋体" w:hAnsi="宋体" w:cs="宋体"/>
          <w:b/>
          <w:szCs w:val="21"/>
          <w:highlight w:val="none"/>
        </w:rPr>
        <w:t>)</w:t>
      </w:r>
      <w:bookmarkEnd w:id="123"/>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710"/>
        <w:gridCol w:w="1447"/>
        <w:gridCol w:w="921"/>
        <w:gridCol w:w="1052"/>
        <w:gridCol w:w="1579"/>
        <w:gridCol w:w="788"/>
      </w:tblGrid>
      <w:tr w14:paraId="4E57D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9" w:type="pct"/>
            <w:noWrap w:val="0"/>
            <w:vAlign w:val="center"/>
          </w:tcPr>
          <w:p w14:paraId="0ABDFF08">
            <w:pPr>
              <w:pageBreakBefore w:val="0"/>
              <w:kinsoku/>
              <w:overflowPunct/>
              <w:topLinePunct w:val="0"/>
              <w:bidi w:val="0"/>
              <w:spacing w:line="360" w:lineRule="auto"/>
              <w:ind w:right="-3"/>
              <w:jc w:val="center"/>
              <w:rPr>
                <w:rFonts w:ascii="宋体" w:hAnsi="宋体" w:cs="宋体"/>
                <w:szCs w:val="21"/>
                <w:highlight w:val="none"/>
              </w:rPr>
            </w:pPr>
            <w:r>
              <w:rPr>
                <w:rFonts w:hint="eastAsia" w:ascii="宋体" w:hAnsi="宋体" w:cs="宋体"/>
                <w:szCs w:val="21"/>
                <w:highlight w:val="none"/>
              </w:rPr>
              <w:t>序号</w:t>
            </w:r>
          </w:p>
        </w:tc>
        <w:tc>
          <w:tcPr>
            <w:tcW w:w="1003" w:type="pct"/>
            <w:noWrap w:val="0"/>
            <w:vAlign w:val="center"/>
          </w:tcPr>
          <w:p w14:paraId="5A38CA5F">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施工设备名称</w:t>
            </w:r>
          </w:p>
        </w:tc>
        <w:tc>
          <w:tcPr>
            <w:tcW w:w="849" w:type="pct"/>
            <w:noWrap w:val="0"/>
            <w:vAlign w:val="center"/>
          </w:tcPr>
          <w:p w14:paraId="332A47FA">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型号及规格</w:t>
            </w:r>
          </w:p>
        </w:tc>
        <w:tc>
          <w:tcPr>
            <w:tcW w:w="540" w:type="pct"/>
            <w:noWrap w:val="0"/>
            <w:vAlign w:val="center"/>
          </w:tcPr>
          <w:p w14:paraId="663EF52E">
            <w:pPr>
              <w:pageBreakBefore w:val="0"/>
              <w:kinsoku/>
              <w:overflowPunct/>
              <w:topLinePunct w:val="0"/>
              <w:bidi w:val="0"/>
              <w:spacing w:line="360" w:lineRule="auto"/>
              <w:ind w:right="-33"/>
              <w:jc w:val="center"/>
              <w:rPr>
                <w:rFonts w:ascii="宋体" w:hAnsi="宋体" w:cs="宋体"/>
                <w:szCs w:val="21"/>
                <w:highlight w:val="none"/>
              </w:rPr>
            </w:pPr>
            <w:r>
              <w:rPr>
                <w:rFonts w:hint="eastAsia" w:ascii="宋体" w:hAnsi="宋体" w:cs="宋体"/>
                <w:szCs w:val="21"/>
                <w:highlight w:val="none"/>
              </w:rPr>
              <w:t>数量</w:t>
            </w:r>
          </w:p>
        </w:tc>
        <w:tc>
          <w:tcPr>
            <w:tcW w:w="617" w:type="pct"/>
            <w:noWrap w:val="0"/>
            <w:vAlign w:val="center"/>
          </w:tcPr>
          <w:p w14:paraId="0261A3B0">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交货地点</w:t>
            </w:r>
          </w:p>
        </w:tc>
        <w:tc>
          <w:tcPr>
            <w:tcW w:w="926" w:type="pct"/>
            <w:noWrap w:val="0"/>
            <w:vAlign w:val="center"/>
          </w:tcPr>
          <w:p w14:paraId="3DBCF45F">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计划交货日期</w:t>
            </w:r>
          </w:p>
        </w:tc>
        <w:tc>
          <w:tcPr>
            <w:tcW w:w="462" w:type="pct"/>
            <w:noWrap w:val="0"/>
            <w:vAlign w:val="center"/>
          </w:tcPr>
          <w:p w14:paraId="46D850A4">
            <w:pPr>
              <w:pageBreakBefore w:val="0"/>
              <w:kinsoku/>
              <w:overflowPunct/>
              <w:topLinePunct w:val="0"/>
              <w:bidi w:val="0"/>
              <w:spacing w:line="360" w:lineRule="auto"/>
              <w:jc w:val="center"/>
              <w:rPr>
                <w:rFonts w:ascii="宋体" w:hAnsi="宋体" w:cs="宋体"/>
                <w:szCs w:val="21"/>
                <w:highlight w:val="none"/>
              </w:rPr>
            </w:pPr>
            <w:r>
              <w:rPr>
                <w:rFonts w:hint="eastAsia" w:ascii="宋体" w:hAnsi="宋体" w:cs="宋体"/>
                <w:szCs w:val="21"/>
                <w:highlight w:val="none"/>
              </w:rPr>
              <w:t>备注</w:t>
            </w:r>
          </w:p>
        </w:tc>
      </w:tr>
      <w:tr w14:paraId="5BFD7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9" w:type="pct"/>
            <w:noWrap w:val="0"/>
            <w:vAlign w:val="center"/>
          </w:tcPr>
          <w:p w14:paraId="3BDBEB9E">
            <w:pPr>
              <w:pageBreakBefore w:val="0"/>
              <w:kinsoku/>
              <w:overflowPunct/>
              <w:topLinePunct w:val="0"/>
              <w:bidi w:val="0"/>
              <w:spacing w:line="360" w:lineRule="auto"/>
              <w:ind w:right="248"/>
              <w:jc w:val="center"/>
              <w:rPr>
                <w:rFonts w:ascii="宋体" w:hAnsi="宋体" w:cs="宋体"/>
                <w:szCs w:val="21"/>
                <w:highlight w:val="none"/>
              </w:rPr>
            </w:pPr>
          </w:p>
        </w:tc>
        <w:tc>
          <w:tcPr>
            <w:tcW w:w="1003" w:type="pct"/>
            <w:noWrap w:val="0"/>
            <w:vAlign w:val="center"/>
          </w:tcPr>
          <w:p w14:paraId="1C3C6A29">
            <w:pPr>
              <w:pageBreakBefore w:val="0"/>
              <w:kinsoku/>
              <w:overflowPunct/>
              <w:topLinePunct w:val="0"/>
              <w:bidi w:val="0"/>
              <w:spacing w:line="360" w:lineRule="auto"/>
              <w:ind w:right="248"/>
              <w:jc w:val="center"/>
              <w:rPr>
                <w:rFonts w:ascii="宋体" w:hAnsi="宋体" w:cs="宋体"/>
                <w:szCs w:val="21"/>
                <w:highlight w:val="none"/>
              </w:rPr>
            </w:pPr>
          </w:p>
        </w:tc>
        <w:tc>
          <w:tcPr>
            <w:tcW w:w="849" w:type="pct"/>
            <w:noWrap w:val="0"/>
            <w:vAlign w:val="center"/>
          </w:tcPr>
          <w:p w14:paraId="55436D29">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7127D54E">
            <w:pPr>
              <w:pageBreakBefore w:val="0"/>
              <w:kinsoku/>
              <w:overflowPunct/>
              <w:topLinePunct w:val="0"/>
              <w:bidi w:val="0"/>
              <w:spacing w:line="360" w:lineRule="auto"/>
              <w:ind w:right="248"/>
              <w:jc w:val="center"/>
              <w:rPr>
                <w:rFonts w:ascii="宋体" w:hAnsi="宋体" w:cs="宋体"/>
                <w:szCs w:val="21"/>
                <w:highlight w:val="none"/>
              </w:rPr>
            </w:pPr>
          </w:p>
        </w:tc>
        <w:tc>
          <w:tcPr>
            <w:tcW w:w="617" w:type="pct"/>
            <w:noWrap w:val="0"/>
            <w:vAlign w:val="center"/>
          </w:tcPr>
          <w:p w14:paraId="69EF3CC9">
            <w:pPr>
              <w:pageBreakBefore w:val="0"/>
              <w:kinsoku/>
              <w:overflowPunct/>
              <w:topLinePunct w:val="0"/>
              <w:bidi w:val="0"/>
              <w:spacing w:line="360" w:lineRule="auto"/>
              <w:ind w:right="248"/>
              <w:jc w:val="center"/>
              <w:rPr>
                <w:rFonts w:ascii="宋体" w:hAnsi="宋体" w:cs="宋体"/>
                <w:szCs w:val="21"/>
                <w:highlight w:val="none"/>
              </w:rPr>
            </w:pPr>
          </w:p>
        </w:tc>
        <w:tc>
          <w:tcPr>
            <w:tcW w:w="926" w:type="pct"/>
            <w:noWrap w:val="0"/>
            <w:vAlign w:val="center"/>
          </w:tcPr>
          <w:p w14:paraId="632BD55C">
            <w:pPr>
              <w:pageBreakBefore w:val="0"/>
              <w:kinsoku/>
              <w:overflowPunct/>
              <w:topLinePunct w:val="0"/>
              <w:bidi w:val="0"/>
              <w:spacing w:line="360" w:lineRule="auto"/>
              <w:ind w:right="248"/>
              <w:jc w:val="center"/>
              <w:rPr>
                <w:rFonts w:ascii="宋体" w:hAnsi="宋体" w:cs="宋体"/>
                <w:szCs w:val="21"/>
                <w:highlight w:val="none"/>
              </w:rPr>
            </w:pPr>
          </w:p>
        </w:tc>
        <w:tc>
          <w:tcPr>
            <w:tcW w:w="462" w:type="pct"/>
            <w:noWrap w:val="0"/>
            <w:vAlign w:val="center"/>
          </w:tcPr>
          <w:p w14:paraId="3F523CB8">
            <w:pPr>
              <w:pageBreakBefore w:val="0"/>
              <w:kinsoku/>
              <w:overflowPunct/>
              <w:topLinePunct w:val="0"/>
              <w:bidi w:val="0"/>
              <w:spacing w:line="360" w:lineRule="auto"/>
              <w:ind w:right="248"/>
              <w:jc w:val="center"/>
              <w:rPr>
                <w:rFonts w:ascii="宋体" w:hAnsi="宋体" w:cs="宋体"/>
                <w:szCs w:val="21"/>
                <w:highlight w:val="none"/>
              </w:rPr>
            </w:pPr>
          </w:p>
        </w:tc>
      </w:tr>
      <w:tr w14:paraId="09736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9" w:type="pct"/>
            <w:noWrap w:val="0"/>
            <w:vAlign w:val="center"/>
          </w:tcPr>
          <w:p w14:paraId="7BAF14D5">
            <w:pPr>
              <w:pageBreakBefore w:val="0"/>
              <w:kinsoku/>
              <w:overflowPunct/>
              <w:topLinePunct w:val="0"/>
              <w:bidi w:val="0"/>
              <w:spacing w:line="360" w:lineRule="auto"/>
              <w:ind w:right="248"/>
              <w:jc w:val="center"/>
              <w:rPr>
                <w:rFonts w:ascii="宋体" w:hAnsi="宋体" w:cs="宋体"/>
                <w:szCs w:val="21"/>
                <w:highlight w:val="none"/>
              </w:rPr>
            </w:pPr>
          </w:p>
        </w:tc>
        <w:tc>
          <w:tcPr>
            <w:tcW w:w="1003" w:type="pct"/>
            <w:noWrap w:val="0"/>
            <w:vAlign w:val="center"/>
          </w:tcPr>
          <w:p w14:paraId="4D43D225">
            <w:pPr>
              <w:pageBreakBefore w:val="0"/>
              <w:kinsoku/>
              <w:overflowPunct/>
              <w:topLinePunct w:val="0"/>
              <w:bidi w:val="0"/>
              <w:spacing w:line="360" w:lineRule="auto"/>
              <w:ind w:right="248"/>
              <w:jc w:val="center"/>
              <w:rPr>
                <w:rFonts w:ascii="宋体" w:hAnsi="宋体" w:cs="宋体"/>
                <w:szCs w:val="21"/>
                <w:highlight w:val="none"/>
              </w:rPr>
            </w:pPr>
          </w:p>
        </w:tc>
        <w:tc>
          <w:tcPr>
            <w:tcW w:w="849" w:type="pct"/>
            <w:noWrap w:val="0"/>
            <w:vAlign w:val="center"/>
          </w:tcPr>
          <w:p w14:paraId="747AC719">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7E7EC0E6">
            <w:pPr>
              <w:pageBreakBefore w:val="0"/>
              <w:kinsoku/>
              <w:overflowPunct/>
              <w:topLinePunct w:val="0"/>
              <w:bidi w:val="0"/>
              <w:spacing w:line="360" w:lineRule="auto"/>
              <w:ind w:right="248"/>
              <w:jc w:val="center"/>
              <w:rPr>
                <w:rFonts w:ascii="宋体" w:hAnsi="宋体" w:cs="宋体"/>
                <w:szCs w:val="21"/>
                <w:highlight w:val="none"/>
              </w:rPr>
            </w:pPr>
          </w:p>
        </w:tc>
        <w:tc>
          <w:tcPr>
            <w:tcW w:w="617" w:type="pct"/>
            <w:noWrap w:val="0"/>
            <w:vAlign w:val="center"/>
          </w:tcPr>
          <w:p w14:paraId="2C4E5351">
            <w:pPr>
              <w:pageBreakBefore w:val="0"/>
              <w:kinsoku/>
              <w:overflowPunct/>
              <w:topLinePunct w:val="0"/>
              <w:bidi w:val="0"/>
              <w:spacing w:line="360" w:lineRule="auto"/>
              <w:ind w:right="248"/>
              <w:jc w:val="center"/>
              <w:rPr>
                <w:rFonts w:ascii="宋体" w:hAnsi="宋体" w:cs="宋体"/>
                <w:szCs w:val="21"/>
                <w:highlight w:val="none"/>
              </w:rPr>
            </w:pPr>
          </w:p>
        </w:tc>
        <w:tc>
          <w:tcPr>
            <w:tcW w:w="926" w:type="pct"/>
            <w:noWrap w:val="0"/>
            <w:vAlign w:val="center"/>
          </w:tcPr>
          <w:p w14:paraId="1CAFED91">
            <w:pPr>
              <w:pageBreakBefore w:val="0"/>
              <w:kinsoku/>
              <w:overflowPunct/>
              <w:topLinePunct w:val="0"/>
              <w:bidi w:val="0"/>
              <w:spacing w:line="360" w:lineRule="auto"/>
              <w:ind w:right="248"/>
              <w:jc w:val="center"/>
              <w:rPr>
                <w:rFonts w:ascii="宋体" w:hAnsi="宋体" w:cs="宋体"/>
                <w:szCs w:val="21"/>
                <w:highlight w:val="none"/>
              </w:rPr>
            </w:pPr>
          </w:p>
        </w:tc>
        <w:tc>
          <w:tcPr>
            <w:tcW w:w="462" w:type="pct"/>
            <w:noWrap w:val="0"/>
            <w:vAlign w:val="center"/>
          </w:tcPr>
          <w:p w14:paraId="3D56BD63">
            <w:pPr>
              <w:pageBreakBefore w:val="0"/>
              <w:kinsoku/>
              <w:overflowPunct/>
              <w:topLinePunct w:val="0"/>
              <w:bidi w:val="0"/>
              <w:spacing w:line="360" w:lineRule="auto"/>
              <w:ind w:right="248"/>
              <w:jc w:val="center"/>
              <w:rPr>
                <w:rFonts w:ascii="宋体" w:hAnsi="宋体" w:cs="宋体"/>
                <w:szCs w:val="21"/>
                <w:highlight w:val="none"/>
              </w:rPr>
            </w:pPr>
          </w:p>
        </w:tc>
      </w:tr>
      <w:tr w14:paraId="511F8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9" w:type="pct"/>
            <w:noWrap w:val="0"/>
            <w:vAlign w:val="center"/>
          </w:tcPr>
          <w:p w14:paraId="007C839A">
            <w:pPr>
              <w:pageBreakBefore w:val="0"/>
              <w:kinsoku/>
              <w:overflowPunct/>
              <w:topLinePunct w:val="0"/>
              <w:bidi w:val="0"/>
              <w:spacing w:line="360" w:lineRule="auto"/>
              <w:ind w:right="248"/>
              <w:jc w:val="center"/>
              <w:rPr>
                <w:rFonts w:ascii="宋体" w:hAnsi="宋体" w:cs="宋体"/>
                <w:szCs w:val="21"/>
                <w:highlight w:val="none"/>
              </w:rPr>
            </w:pPr>
          </w:p>
        </w:tc>
        <w:tc>
          <w:tcPr>
            <w:tcW w:w="1003" w:type="pct"/>
            <w:noWrap w:val="0"/>
            <w:vAlign w:val="center"/>
          </w:tcPr>
          <w:p w14:paraId="4D7DA14F">
            <w:pPr>
              <w:pageBreakBefore w:val="0"/>
              <w:kinsoku/>
              <w:overflowPunct/>
              <w:topLinePunct w:val="0"/>
              <w:bidi w:val="0"/>
              <w:spacing w:line="360" w:lineRule="auto"/>
              <w:ind w:right="248"/>
              <w:jc w:val="center"/>
              <w:rPr>
                <w:rFonts w:ascii="宋体" w:hAnsi="宋体" w:cs="宋体"/>
                <w:szCs w:val="21"/>
                <w:highlight w:val="none"/>
              </w:rPr>
            </w:pPr>
          </w:p>
        </w:tc>
        <w:tc>
          <w:tcPr>
            <w:tcW w:w="849" w:type="pct"/>
            <w:noWrap w:val="0"/>
            <w:vAlign w:val="center"/>
          </w:tcPr>
          <w:p w14:paraId="13B2C700">
            <w:pPr>
              <w:pageBreakBefore w:val="0"/>
              <w:kinsoku/>
              <w:overflowPunct/>
              <w:topLinePunct w:val="0"/>
              <w:bidi w:val="0"/>
              <w:spacing w:line="360" w:lineRule="auto"/>
              <w:ind w:right="248"/>
              <w:jc w:val="center"/>
              <w:rPr>
                <w:rFonts w:ascii="宋体" w:hAnsi="宋体" w:cs="宋体"/>
                <w:szCs w:val="21"/>
                <w:highlight w:val="none"/>
              </w:rPr>
            </w:pPr>
          </w:p>
        </w:tc>
        <w:tc>
          <w:tcPr>
            <w:tcW w:w="540" w:type="pct"/>
            <w:noWrap w:val="0"/>
            <w:vAlign w:val="center"/>
          </w:tcPr>
          <w:p w14:paraId="679979A5">
            <w:pPr>
              <w:pageBreakBefore w:val="0"/>
              <w:kinsoku/>
              <w:overflowPunct/>
              <w:topLinePunct w:val="0"/>
              <w:bidi w:val="0"/>
              <w:spacing w:line="360" w:lineRule="auto"/>
              <w:ind w:right="248"/>
              <w:jc w:val="center"/>
              <w:rPr>
                <w:rFonts w:ascii="宋体" w:hAnsi="宋体" w:cs="宋体"/>
                <w:szCs w:val="21"/>
                <w:highlight w:val="none"/>
              </w:rPr>
            </w:pPr>
          </w:p>
        </w:tc>
        <w:tc>
          <w:tcPr>
            <w:tcW w:w="617" w:type="pct"/>
            <w:noWrap w:val="0"/>
            <w:vAlign w:val="center"/>
          </w:tcPr>
          <w:p w14:paraId="31AED5EC">
            <w:pPr>
              <w:pageBreakBefore w:val="0"/>
              <w:kinsoku/>
              <w:overflowPunct/>
              <w:topLinePunct w:val="0"/>
              <w:bidi w:val="0"/>
              <w:spacing w:line="360" w:lineRule="auto"/>
              <w:ind w:right="248"/>
              <w:jc w:val="center"/>
              <w:rPr>
                <w:rFonts w:ascii="宋体" w:hAnsi="宋体" w:cs="宋体"/>
                <w:szCs w:val="21"/>
                <w:highlight w:val="none"/>
              </w:rPr>
            </w:pPr>
          </w:p>
        </w:tc>
        <w:tc>
          <w:tcPr>
            <w:tcW w:w="926" w:type="pct"/>
            <w:noWrap w:val="0"/>
            <w:vAlign w:val="center"/>
          </w:tcPr>
          <w:p w14:paraId="15074828">
            <w:pPr>
              <w:pageBreakBefore w:val="0"/>
              <w:kinsoku/>
              <w:overflowPunct/>
              <w:topLinePunct w:val="0"/>
              <w:bidi w:val="0"/>
              <w:spacing w:line="360" w:lineRule="auto"/>
              <w:ind w:right="248"/>
              <w:jc w:val="center"/>
              <w:rPr>
                <w:rFonts w:ascii="宋体" w:hAnsi="宋体" w:cs="宋体"/>
                <w:szCs w:val="21"/>
                <w:highlight w:val="none"/>
              </w:rPr>
            </w:pPr>
          </w:p>
        </w:tc>
        <w:tc>
          <w:tcPr>
            <w:tcW w:w="462" w:type="pct"/>
            <w:noWrap w:val="0"/>
            <w:vAlign w:val="center"/>
          </w:tcPr>
          <w:p w14:paraId="247A2CC5">
            <w:pPr>
              <w:pageBreakBefore w:val="0"/>
              <w:kinsoku/>
              <w:overflowPunct/>
              <w:topLinePunct w:val="0"/>
              <w:bidi w:val="0"/>
              <w:spacing w:line="360" w:lineRule="auto"/>
              <w:ind w:right="248"/>
              <w:jc w:val="center"/>
              <w:rPr>
                <w:rFonts w:ascii="宋体" w:hAnsi="宋体" w:cs="宋体"/>
                <w:szCs w:val="21"/>
                <w:highlight w:val="none"/>
              </w:rPr>
            </w:pPr>
          </w:p>
        </w:tc>
      </w:tr>
    </w:tbl>
    <w:p w14:paraId="215B9AF3">
      <w:pPr>
        <w:pStyle w:val="5"/>
        <w:pageBreakBefore w:val="0"/>
        <w:kinsoku/>
        <w:overflowPunct/>
        <w:topLinePunct w:val="0"/>
        <w:bidi w:val="0"/>
        <w:spacing w:line="360" w:lineRule="auto"/>
        <w:rPr>
          <w:rFonts w:ascii="宋体" w:hAnsi="宋体" w:cs="宋体"/>
          <w:sz w:val="21"/>
          <w:szCs w:val="21"/>
          <w:highlight w:val="none"/>
        </w:rPr>
      </w:pPr>
      <w:bookmarkStart w:id="124" w:name="_Toc221951177"/>
      <w:r>
        <w:rPr>
          <w:rFonts w:hint="eastAsia" w:ascii="宋体" w:hAnsi="宋体" w:cs="宋体"/>
          <w:sz w:val="21"/>
          <w:szCs w:val="21"/>
          <w:highlight w:val="none"/>
        </w:rPr>
        <w:t>注：设备状况栏内填写该设备的新旧程度、购进时间、已使用小时数和最近一次的大修时间。</w:t>
      </w:r>
      <w:bookmarkEnd w:id="124"/>
    </w:p>
    <w:p w14:paraId="20E373BE">
      <w:pPr>
        <w:pageBreakBefore w:val="0"/>
        <w:kinsoku/>
        <w:overflowPunct/>
        <w:topLinePunct w:val="0"/>
        <w:bidi w:val="0"/>
        <w:spacing w:line="360" w:lineRule="auto"/>
        <w:ind w:right="248" w:firstLine="424" w:firstLineChars="202"/>
        <w:rPr>
          <w:rFonts w:ascii="宋体" w:hAnsi="宋体" w:cs="宋体"/>
          <w:b/>
          <w:szCs w:val="21"/>
          <w:highlight w:val="none"/>
        </w:rPr>
      </w:pPr>
      <w:r>
        <w:rPr>
          <w:rFonts w:hint="eastAsia" w:ascii="宋体" w:hAnsi="宋体" w:cs="宋体"/>
          <w:szCs w:val="21"/>
          <w:highlight w:val="none"/>
        </w:rPr>
        <w:t>（2）发包人提供的临时设施：</w:t>
      </w:r>
      <w:r>
        <w:rPr>
          <w:rFonts w:hint="eastAsia" w:ascii="宋体" w:hAnsi="宋体" w:cs="宋体"/>
          <w:szCs w:val="21"/>
          <w:highlight w:val="none"/>
          <w:u w:val="single"/>
        </w:rPr>
        <w:t xml:space="preserve">   无          </w:t>
      </w:r>
      <w:r>
        <w:rPr>
          <w:rFonts w:hint="eastAsia" w:ascii="宋体" w:hAnsi="宋体" w:cs="宋体"/>
          <w:szCs w:val="21"/>
          <w:highlight w:val="none"/>
        </w:rPr>
        <w:t>。</w:t>
      </w:r>
    </w:p>
    <w:p w14:paraId="331CE67C">
      <w:pPr>
        <w:pStyle w:val="4"/>
        <w:pageBreakBefore w:val="0"/>
        <w:kinsoku/>
        <w:overflowPunct/>
        <w:topLinePunct w:val="0"/>
        <w:bidi w:val="0"/>
        <w:spacing w:line="360" w:lineRule="auto"/>
        <w:rPr>
          <w:rFonts w:ascii="宋体" w:hAnsi="宋体" w:cs="宋体"/>
          <w:sz w:val="21"/>
          <w:szCs w:val="21"/>
          <w:highlight w:val="none"/>
        </w:rPr>
      </w:pPr>
      <w:bookmarkStart w:id="125" w:name="_Toc21098"/>
      <w:bookmarkStart w:id="126" w:name="_Toc33183727"/>
      <w:bookmarkStart w:id="127" w:name="_Toc59810410"/>
      <w:bookmarkStart w:id="128" w:name="_Toc222029533"/>
      <w:bookmarkStart w:id="129" w:name="_Toc222033884"/>
      <w:bookmarkStart w:id="130" w:name="_Toc221951178"/>
      <w:bookmarkStart w:id="131" w:name="_Toc222031035"/>
      <w:bookmarkStart w:id="132" w:name="_Toc222032702"/>
      <w:bookmarkStart w:id="133" w:name="_Toc136350390"/>
      <w:r>
        <w:rPr>
          <w:rFonts w:hint="eastAsia" w:ascii="宋体" w:hAnsi="宋体" w:cs="宋体"/>
          <w:sz w:val="21"/>
          <w:szCs w:val="21"/>
          <w:highlight w:val="none"/>
        </w:rPr>
        <w:t>7.交通运输</w:t>
      </w:r>
      <w:bookmarkEnd w:id="125"/>
      <w:bookmarkEnd w:id="126"/>
      <w:bookmarkEnd w:id="127"/>
      <w:bookmarkEnd w:id="128"/>
      <w:bookmarkEnd w:id="129"/>
      <w:bookmarkEnd w:id="130"/>
      <w:bookmarkEnd w:id="131"/>
      <w:bookmarkEnd w:id="132"/>
      <w:bookmarkEnd w:id="133"/>
    </w:p>
    <w:p w14:paraId="388C3B11">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34" w:name="_Toc221951179"/>
      <w:bookmarkStart w:id="135" w:name="_Toc33183728"/>
      <w:r>
        <w:rPr>
          <w:rFonts w:hint="eastAsia" w:ascii="宋体" w:hAnsi="宋体" w:cs="宋体"/>
          <w:szCs w:val="21"/>
          <w:highlight w:val="none"/>
        </w:rPr>
        <w:t>7.1  道路通行权和场外设施</w:t>
      </w:r>
      <w:bookmarkEnd w:id="134"/>
      <w:bookmarkEnd w:id="135"/>
    </w:p>
    <w:p w14:paraId="32F1F30C">
      <w:pPr>
        <w:pageBreakBefore w:val="0"/>
        <w:kinsoku/>
        <w:overflowPunct/>
        <w:topLinePunct w:val="0"/>
        <w:bidi w:val="0"/>
        <w:snapToGrid w:val="0"/>
        <w:spacing w:line="360" w:lineRule="auto"/>
        <w:ind w:firstLine="420" w:firstLineChars="200"/>
        <w:rPr>
          <w:rFonts w:ascii="宋体" w:hAnsi="宋体" w:cs="宋体"/>
          <w:szCs w:val="21"/>
          <w:highlight w:val="none"/>
        </w:rPr>
      </w:pPr>
      <w:bookmarkStart w:id="136" w:name="_Toc33183729"/>
      <w:r>
        <w:rPr>
          <w:rFonts w:hint="eastAsia" w:ascii="宋体" w:hAnsi="宋体" w:cs="宋体"/>
          <w:szCs w:val="21"/>
          <w:highlight w:val="none"/>
        </w:rPr>
        <w:t>道路通行权及场外设施的约定：</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bookmarkEnd w:id="136"/>
    </w:p>
    <w:p w14:paraId="7C5F7CD9">
      <w:pPr>
        <w:keepNext/>
        <w:keepLines/>
        <w:pageBreakBefore w:val="0"/>
        <w:kinsoku/>
        <w:overflowPunct/>
        <w:topLinePunct w:val="0"/>
        <w:bidi w:val="0"/>
        <w:snapToGrid w:val="0"/>
        <w:spacing w:line="360" w:lineRule="auto"/>
        <w:ind w:firstLine="420" w:firstLineChars="200"/>
        <w:outlineLvl w:val="3"/>
        <w:rPr>
          <w:rFonts w:ascii="宋体" w:hAnsi="宋体" w:cs="宋体"/>
          <w:kern w:val="0"/>
          <w:szCs w:val="21"/>
          <w:highlight w:val="none"/>
        </w:rPr>
      </w:pPr>
      <w:r>
        <w:rPr>
          <w:rFonts w:hint="eastAsia" w:ascii="宋体" w:hAnsi="宋体" w:cs="宋体"/>
          <w:szCs w:val="21"/>
          <w:highlight w:val="none"/>
        </w:rPr>
        <w:t xml:space="preserve">7.2  </w:t>
      </w:r>
      <w:r>
        <w:rPr>
          <w:rFonts w:hint="eastAsia" w:ascii="宋体" w:hAnsi="宋体" w:cs="宋体"/>
          <w:kern w:val="0"/>
          <w:szCs w:val="21"/>
          <w:highlight w:val="none"/>
        </w:rPr>
        <w:t>场内施工道路</w:t>
      </w:r>
    </w:p>
    <w:p w14:paraId="448E415C">
      <w:pPr>
        <w:pageBreakBefore w:val="0"/>
        <w:kinsoku/>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由发包人提供的部分道路和交通设施维修、养护和管理的约定：</w:t>
      </w:r>
      <w:r>
        <w:rPr>
          <w:rFonts w:hint="eastAsia" w:ascii="宋体" w:hAnsi="宋体" w:cs="宋体"/>
          <w:szCs w:val="21"/>
          <w:highlight w:val="none"/>
          <w:u w:val="single"/>
        </w:rPr>
        <w:t xml:space="preserve">  </w:t>
      </w:r>
      <w:r>
        <w:rPr>
          <w:rFonts w:hint="eastAsia" w:ascii="宋体" w:hAnsi="宋体" w:cs="宋体"/>
          <w:szCs w:val="21"/>
          <w:u w:val="single"/>
        </w:rPr>
        <w:t xml:space="preserve"> 由承包人负责办理并承担费用  </w:t>
      </w:r>
      <w:r>
        <w:rPr>
          <w:rFonts w:hint="eastAsia" w:ascii="宋体" w:hAnsi="宋体" w:cs="宋体"/>
          <w:szCs w:val="21"/>
          <w:highlight w:val="none"/>
          <w:u w:val="single"/>
        </w:rPr>
        <w:t xml:space="preserve"> </w:t>
      </w:r>
      <w:r>
        <w:rPr>
          <w:rFonts w:hint="eastAsia" w:ascii="宋体" w:hAnsi="宋体" w:cs="宋体"/>
          <w:szCs w:val="21"/>
          <w:highlight w:val="none"/>
        </w:rPr>
        <w:t>。</w:t>
      </w:r>
    </w:p>
    <w:p w14:paraId="2271C6B3">
      <w:pPr>
        <w:pageBreakBefore w:val="0"/>
        <w:kinsoku/>
        <w:overflowPunct/>
        <w:topLinePunct w:val="0"/>
        <w:bidi w:val="0"/>
        <w:spacing w:line="360" w:lineRule="auto"/>
        <w:ind w:firstLine="420" w:firstLineChars="200"/>
        <w:jc w:val="left"/>
        <w:rPr>
          <w:rFonts w:ascii="宋体" w:hAnsi="宋体"/>
          <w:szCs w:val="21"/>
          <w:highlight w:val="none"/>
          <w:u w:val="single"/>
        </w:rPr>
      </w:pPr>
      <w:r>
        <w:rPr>
          <w:rFonts w:hint="eastAsia" w:ascii="宋体" w:hAnsi="宋体"/>
          <w:kern w:val="0"/>
          <w:szCs w:val="21"/>
          <w:highlight w:val="none"/>
        </w:rPr>
        <w:t>关于场外交通和场内交通的边界的约定：</w:t>
      </w:r>
      <w:r>
        <w:rPr>
          <w:rFonts w:hint="eastAsia" w:ascii="宋体" w:hAnsi="宋体"/>
          <w:szCs w:val="21"/>
          <w:highlight w:val="none"/>
          <w:u w:val="single"/>
        </w:rPr>
        <w:t>以合同工程用地红线为界，用地红线外为场外交通，用地红线范围内为场内交通（场外道路穿越场内的除外）</w:t>
      </w:r>
      <w:r>
        <w:rPr>
          <w:rFonts w:hint="eastAsia" w:ascii="宋体" w:hAnsi="宋体"/>
          <w:szCs w:val="21"/>
          <w:highlight w:val="none"/>
        </w:rPr>
        <w:t>。</w:t>
      </w:r>
    </w:p>
    <w:p w14:paraId="760E70BF">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kern w:val="0"/>
          <w:szCs w:val="21"/>
          <w:highlight w:val="none"/>
        </w:rPr>
        <w:t>关于发包人向承包人免费提供满足工程施工需要的场内道路和交通设施的约定：</w:t>
      </w:r>
      <w:r>
        <w:rPr>
          <w:rFonts w:hint="eastAsia" w:ascii="宋体" w:hAnsi="宋体"/>
          <w:kern w:val="0"/>
          <w:szCs w:val="21"/>
          <w:highlight w:val="none"/>
          <w:u w:val="single"/>
        </w:rPr>
        <w:t>以施工场地移交时的现状为准</w:t>
      </w:r>
      <w:r>
        <w:rPr>
          <w:rFonts w:hint="eastAsia" w:ascii="宋体" w:hAnsi="宋体"/>
          <w:szCs w:val="21"/>
          <w:highlight w:val="none"/>
        </w:rPr>
        <w:t>。</w:t>
      </w:r>
    </w:p>
    <w:p w14:paraId="691922CA">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37" w:name="_Toc33183731"/>
      <w:r>
        <w:rPr>
          <w:rFonts w:hint="eastAsia" w:ascii="宋体" w:hAnsi="宋体" w:cs="宋体"/>
          <w:szCs w:val="21"/>
          <w:highlight w:val="none"/>
        </w:rPr>
        <w:t>7.3  场外交通</w:t>
      </w:r>
      <w:bookmarkEnd w:id="137"/>
    </w:p>
    <w:p w14:paraId="17CFB968">
      <w:pPr>
        <w:pageBreakBefore w:val="0"/>
        <w:kinsoku/>
        <w:overflowPunct/>
        <w:topLinePunct w:val="0"/>
        <w:bidi w:val="0"/>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u w:val="single"/>
        </w:rPr>
        <w:t>承包人应遵守有关交通法规，执行有关道路限速、限行、禁止超载的规定，并配合交通管理部门的监督和检查。场外交通以施工场地移交时的现状为准。</w:t>
      </w:r>
    </w:p>
    <w:p w14:paraId="60FE49CB">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38" w:name="_Toc33183732"/>
      <w:r>
        <w:rPr>
          <w:rFonts w:hint="eastAsia" w:ascii="宋体" w:hAnsi="宋体" w:cs="宋体"/>
          <w:szCs w:val="21"/>
          <w:highlight w:val="none"/>
        </w:rPr>
        <w:t>7.4  超大件和超重件的运输</w:t>
      </w:r>
      <w:bookmarkEnd w:id="138"/>
    </w:p>
    <w:p w14:paraId="3DF54E6D">
      <w:pPr>
        <w:pageBreakBefore w:val="0"/>
        <w:kinsoku/>
        <w:overflowPunct/>
        <w:topLinePunct w:val="0"/>
        <w:bidi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运输超大件或超重件所需的道路和桥梁临时加固改造费用和其他有关费用由</w:t>
      </w:r>
      <w:r>
        <w:rPr>
          <w:rFonts w:hint="eastAsia" w:ascii="宋体" w:hAnsi="宋体" w:cs="宋体"/>
          <w:kern w:val="0"/>
          <w:szCs w:val="21"/>
          <w:highlight w:val="none"/>
          <w:u w:val="single"/>
        </w:rPr>
        <w:t xml:space="preserve"> 承包人  </w:t>
      </w:r>
      <w:r>
        <w:rPr>
          <w:rFonts w:hint="eastAsia" w:ascii="宋体" w:hAnsi="宋体" w:cs="宋体"/>
          <w:kern w:val="0"/>
          <w:szCs w:val="21"/>
          <w:highlight w:val="none"/>
        </w:rPr>
        <w:t>承担。</w:t>
      </w:r>
    </w:p>
    <w:p w14:paraId="503878A2">
      <w:pPr>
        <w:pStyle w:val="4"/>
        <w:pageBreakBefore w:val="0"/>
        <w:kinsoku/>
        <w:overflowPunct/>
        <w:topLinePunct w:val="0"/>
        <w:bidi w:val="0"/>
        <w:spacing w:line="360" w:lineRule="auto"/>
        <w:rPr>
          <w:rFonts w:ascii="宋体" w:hAnsi="宋体" w:cs="宋体"/>
          <w:sz w:val="21"/>
          <w:szCs w:val="21"/>
          <w:highlight w:val="none"/>
        </w:rPr>
      </w:pPr>
      <w:bookmarkStart w:id="139" w:name="_Toc33183733"/>
      <w:bookmarkStart w:id="140" w:name="_Toc18512"/>
      <w:bookmarkStart w:id="141" w:name="_Toc59810411"/>
      <w:bookmarkStart w:id="142" w:name="_Toc136350391"/>
      <w:r>
        <w:rPr>
          <w:rFonts w:hint="eastAsia" w:ascii="宋体" w:hAnsi="宋体" w:cs="宋体"/>
          <w:sz w:val="21"/>
          <w:szCs w:val="21"/>
          <w:highlight w:val="none"/>
        </w:rPr>
        <w:t>8.测量放线</w:t>
      </w:r>
      <w:bookmarkEnd w:id="139"/>
      <w:bookmarkEnd w:id="140"/>
      <w:bookmarkEnd w:id="141"/>
      <w:bookmarkEnd w:id="142"/>
      <w:r>
        <w:rPr>
          <w:rFonts w:hint="eastAsia" w:ascii="宋体" w:hAnsi="宋体" w:cs="宋体"/>
          <w:sz w:val="21"/>
          <w:szCs w:val="21"/>
          <w:highlight w:val="none"/>
        </w:rPr>
        <w:t xml:space="preserve"> </w:t>
      </w:r>
    </w:p>
    <w:p w14:paraId="57F24B5E">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43" w:name="_Toc33183734"/>
      <w:r>
        <w:rPr>
          <w:rFonts w:hint="eastAsia" w:ascii="宋体" w:hAnsi="宋体" w:cs="宋体"/>
          <w:szCs w:val="21"/>
          <w:highlight w:val="none"/>
        </w:rPr>
        <w:t>8.1施工控制网</w:t>
      </w:r>
      <w:bookmarkEnd w:id="143"/>
    </w:p>
    <w:p w14:paraId="1FF84BEF">
      <w:pPr>
        <w:pageBreakBefore w:val="0"/>
        <w:kinsoku/>
        <w:overflowPunct/>
        <w:topLinePunct w:val="0"/>
        <w:bidi w:val="0"/>
        <w:spacing w:line="360" w:lineRule="auto"/>
        <w:ind w:right="248" w:firstLine="420" w:firstLineChars="200"/>
        <w:rPr>
          <w:rFonts w:ascii="宋体" w:hAnsi="宋体" w:cs="宋体"/>
          <w:kern w:val="0"/>
          <w:szCs w:val="21"/>
          <w:highlight w:val="none"/>
        </w:rPr>
      </w:pPr>
      <w:r>
        <w:rPr>
          <w:rFonts w:hint="eastAsia" w:ascii="宋体" w:hAnsi="宋体" w:cs="宋体"/>
          <w:szCs w:val="21"/>
          <w:highlight w:val="none"/>
        </w:rPr>
        <w:t>8.1.1施工控制网的约定：</w:t>
      </w:r>
      <w:r>
        <w:rPr>
          <w:rFonts w:hint="eastAsia" w:ascii="宋体" w:hAnsi="宋体" w:cs="宋体"/>
          <w:kern w:val="0"/>
          <w:szCs w:val="21"/>
          <w:highlight w:val="none"/>
          <w:u w:val="single"/>
        </w:rPr>
        <w:t>发包人通过监理人向承包人提供测量基准点、基准线和水准点及其书面资料的期限：不晚于开工前 3天</w:t>
      </w:r>
      <w:r>
        <w:rPr>
          <w:rFonts w:hint="eastAsia" w:ascii="宋体" w:hAnsi="宋体" w:cs="宋体"/>
          <w:kern w:val="0"/>
          <w:szCs w:val="21"/>
          <w:highlight w:val="none"/>
        </w:rPr>
        <w:t>。</w:t>
      </w:r>
    </w:p>
    <w:p w14:paraId="1E02DBF2">
      <w:pPr>
        <w:pageBreakBefore w:val="0"/>
        <w:kinsoku/>
        <w:overflowPunct/>
        <w:topLinePunct w:val="0"/>
        <w:bidi w:val="0"/>
        <w:spacing w:line="360" w:lineRule="auto"/>
        <w:ind w:right="248" w:firstLine="480"/>
        <w:rPr>
          <w:rFonts w:ascii="宋体" w:hAnsi="宋体" w:cs="宋体"/>
          <w:kern w:val="0"/>
          <w:szCs w:val="21"/>
          <w:highlight w:val="none"/>
        </w:rPr>
      </w:pPr>
      <w:r>
        <w:rPr>
          <w:rFonts w:hint="eastAsia" w:ascii="宋体" w:hAnsi="宋体" w:cs="宋体"/>
          <w:kern w:val="0"/>
          <w:szCs w:val="21"/>
          <w:highlight w:val="none"/>
        </w:rPr>
        <w:t>承包人报监理人审批施工控制网资料的期限：</w:t>
      </w:r>
      <w:r>
        <w:rPr>
          <w:rFonts w:hint="eastAsia" w:ascii="宋体" w:hAnsi="宋体" w:cs="宋体"/>
          <w:kern w:val="0"/>
          <w:szCs w:val="21"/>
          <w:highlight w:val="none"/>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s="宋体"/>
          <w:kern w:val="0"/>
          <w:szCs w:val="21"/>
          <w:highlight w:val="none"/>
        </w:rPr>
        <w:t>。</w:t>
      </w:r>
    </w:p>
    <w:p w14:paraId="60071AF8">
      <w:pPr>
        <w:pStyle w:val="4"/>
        <w:pageBreakBefore w:val="0"/>
        <w:kinsoku/>
        <w:overflowPunct/>
        <w:topLinePunct w:val="0"/>
        <w:bidi w:val="0"/>
        <w:spacing w:line="360" w:lineRule="auto"/>
        <w:rPr>
          <w:rFonts w:ascii="宋体" w:hAnsi="宋体" w:cs="宋体"/>
          <w:sz w:val="21"/>
          <w:szCs w:val="21"/>
          <w:highlight w:val="none"/>
        </w:rPr>
      </w:pPr>
      <w:bookmarkStart w:id="144" w:name="_Toc10124"/>
      <w:bookmarkStart w:id="145" w:name="_Toc33183735"/>
      <w:bookmarkStart w:id="146" w:name="_Toc59810412"/>
      <w:bookmarkStart w:id="147" w:name="_Toc136350392"/>
      <w:r>
        <w:rPr>
          <w:rFonts w:hint="eastAsia" w:ascii="宋体" w:hAnsi="宋体" w:cs="宋体"/>
          <w:sz w:val="21"/>
          <w:szCs w:val="21"/>
          <w:highlight w:val="none"/>
        </w:rPr>
        <w:t>9.施工安全、治安保卫和环境保护</w:t>
      </w:r>
      <w:bookmarkEnd w:id="144"/>
      <w:bookmarkEnd w:id="145"/>
      <w:bookmarkEnd w:id="146"/>
      <w:bookmarkEnd w:id="147"/>
    </w:p>
    <w:p w14:paraId="791B5574">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48" w:name="_Toc33183736"/>
      <w:r>
        <w:rPr>
          <w:rFonts w:hint="eastAsia" w:ascii="宋体" w:hAnsi="宋体" w:cs="宋体"/>
          <w:szCs w:val="21"/>
          <w:highlight w:val="none"/>
        </w:rPr>
        <w:t>9.1  发包人的施工安全责任</w:t>
      </w:r>
      <w:bookmarkEnd w:id="148"/>
    </w:p>
    <w:p w14:paraId="618EB04A">
      <w:pPr>
        <w:pageBreakBefore w:val="0"/>
        <w:kinsoku/>
        <w:overflowPunct/>
        <w:topLinePunct w:val="0"/>
        <w:bidi w:val="0"/>
        <w:spacing w:line="360" w:lineRule="auto"/>
        <w:ind w:firstLine="420" w:firstLineChars="200"/>
        <w:rPr>
          <w:rFonts w:ascii="宋体" w:hAnsi="宋体" w:cs="宋体"/>
          <w:szCs w:val="21"/>
          <w:highlight w:val="none"/>
        </w:rPr>
      </w:pPr>
      <w:r>
        <w:rPr>
          <w:rFonts w:hint="eastAsia" w:ascii="宋体" w:hAnsi="宋体" w:cs="宋体"/>
          <w:szCs w:val="21"/>
          <w:highlight w:val="none"/>
        </w:rPr>
        <w:t>9.1.4发包人负责提供的地下管线资料有：</w:t>
      </w:r>
      <w:r>
        <w:rPr>
          <w:rFonts w:hint="eastAsia" w:ascii="宋体" w:hAnsi="宋体" w:cs="宋体"/>
          <w:szCs w:val="21"/>
          <w:highlight w:val="none"/>
          <w:u w:val="single"/>
        </w:rPr>
        <w:t xml:space="preserve">    无    </w:t>
      </w:r>
      <w:r>
        <w:rPr>
          <w:rFonts w:hint="eastAsia" w:ascii="宋体" w:hAnsi="宋体" w:cs="宋体"/>
          <w:szCs w:val="21"/>
          <w:highlight w:val="none"/>
        </w:rPr>
        <w:t>，其余可能影响相邻建筑物地下工程的有关资料由承包人负责收集，并保证有关资料的真实、准确、完整，满足有关技术规程的要求。</w:t>
      </w:r>
    </w:p>
    <w:p w14:paraId="317EBAB0">
      <w:pPr>
        <w:pStyle w:val="2"/>
        <w:pageBreakBefore w:val="0"/>
        <w:kinsoku/>
        <w:overflowPunct/>
        <w:topLinePunct w:val="0"/>
        <w:bidi w:val="0"/>
        <w:spacing w:line="360" w:lineRule="auto"/>
        <w:ind w:firstLine="420" w:firstLineChars="200"/>
        <w:rPr>
          <w:highlight w:val="none"/>
        </w:rPr>
      </w:pPr>
      <w:r>
        <w:rPr>
          <w:rFonts w:hint="eastAsia" w:ascii="宋体" w:hAnsi="宋体" w:cs="宋体"/>
          <w:szCs w:val="21"/>
          <w:highlight w:val="none"/>
        </w:rPr>
        <w:t>本款补充9.1.8项如下：</w:t>
      </w:r>
    </w:p>
    <w:p w14:paraId="609AFB21">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u w:val="single"/>
        </w:rPr>
        <w:t>9.1.8发包人安全监督部门应当按照现行标准规范对施工现场安全生产措施落实情况进行监督检查，对安全生产状况进行综合评定，并将评定结果纳入安全档案。</w:t>
      </w:r>
    </w:p>
    <w:p w14:paraId="2789336F">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49" w:name="_Toc33183737"/>
      <w:r>
        <w:rPr>
          <w:rFonts w:hint="eastAsia" w:ascii="宋体" w:hAnsi="宋体" w:cs="宋体"/>
          <w:szCs w:val="21"/>
          <w:highlight w:val="none"/>
        </w:rPr>
        <w:t>9.2  承包人的施工安全责任</w:t>
      </w:r>
      <w:bookmarkEnd w:id="149"/>
    </w:p>
    <w:p w14:paraId="4826443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u w:val="single"/>
        </w:rPr>
      </w:pPr>
      <w:r>
        <w:rPr>
          <w:rFonts w:hint="eastAsia" w:ascii="宋体" w:hAnsi="宋体" w:cs="宋体"/>
          <w:szCs w:val="21"/>
          <w:highlight w:val="none"/>
        </w:rPr>
        <w:t>9.2.5</w:t>
      </w:r>
      <w:r>
        <w:rPr>
          <w:rFonts w:hint="eastAsia" w:ascii="宋体" w:hAnsi="宋体" w:cs="宋体"/>
          <w:kern w:val="0"/>
          <w:szCs w:val="21"/>
          <w:highlight w:val="none"/>
        </w:rPr>
        <w:t>关于安全生产费支付比例和支付期限的约定：</w:t>
      </w:r>
      <w:r>
        <w:rPr>
          <w:rFonts w:hint="eastAsia" w:ascii="宋体" w:hAnsi="宋体" w:cs="宋体"/>
          <w:kern w:val="0"/>
          <w:szCs w:val="21"/>
          <w:highlight w:val="none"/>
          <w:u w:val="single"/>
        </w:rPr>
        <w:t>施工合同签订后30天内按照《关于落实水利工程建设安全生产费用及使用管理问题的通知》（渝水基〔2009〕28号）文件规定支付安全生产费的30%（合同期在一年以上的）或50%（合同期在一年以下（含一年）的），其余部分与进度款同期支付。</w:t>
      </w:r>
    </w:p>
    <w:p w14:paraId="356BD0CB">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kern w:val="0"/>
          <w:szCs w:val="21"/>
          <w:highlight w:val="none"/>
        </w:rPr>
        <w:t>安全生产费的要求与内容、提取支付方法以及违反约定造成损失的赔偿等条款，按照现行规范要求执行，做到专款专用。</w:t>
      </w:r>
    </w:p>
    <w:p w14:paraId="7F10CC88">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szCs w:val="21"/>
          <w:highlight w:val="none"/>
        </w:rPr>
        <w:t>9.2.12下列工程应编制专项施工方案：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。其中</w:t>
      </w:r>
      <w:r>
        <w:rPr>
          <w:rFonts w:hint="eastAsia" w:ascii="宋体" w:hAnsi="宋体" w:cs="宋体"/>
          <w:szCs w:val="21"/>
          <w:highlight w:val="none"/>
          <w:u w:val="single"/>
        </w:rPr>
        <w:t xml:space="preserve">  按渝水基〔2010〕15号文定义属于危险性较大的单项工程，应编制专项施工方案，并按文件要求组织专家论证和审查，其中专家1/2人员应经发包人同意</w:t>
      </w:r>
      <w:r>
        <w:rPr>
          <w:rFonts w:hint="eastAsia" w:ascii="宋体" w:hAnsi="宋体" w:cs="宋体"/>
          <w:szCs w:val="21"/>
          <w:highlight w:val="none"/>
        </w:rPr>
        <w:t>。</w:t>
      </w:r>
    </w:p>
    <w:p w14:paraId="33C1C656">
      <w:pPr>
        <w:pStyle w:val="2"/>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本款补充9.2.14项如下：</w:t>
      </w:r>
    </w:p>
    <w:p w14:paraId="7FDE1967">
      <w:pPr>
        <w:pStyle w:val="2"/>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9.2.14承包人施工安全责任承担</w:t>
      </w:r>
    </w:p>
    <w:p w14:paraId="22A17A88">
      <w:pPr>
        <w:pageBreakBefore w:val="0"/>
        <w:kinsoku/>
        <w:overflowPunct/>
        <w:topLinePunct w:val="0"/>
        <w:bidi w:val="0"/>
        <w:spacing w:line="360" w:lineRule="auto"/>
        <w:ind w:right="248" w:firstLine="480"/>
        <w:jc w:val="left"/>
        <w:rPr>
          <w:rFonts w:ascii="宋体" w:hAnsi="宋体" w:cs="宋体"/>
          <w:szCs w:val="21"/>
          <w:highlight w:val="none"/>
          <w:u w:val="single"/>
        </w:rPr>
      </w:pPr>
      <w:r>
        <w:rPr>
          <w:rFonts w:hint="eastAsia" w:ascii="宋体" w:hAnsi="宋体" w:cs="宋体"/>
          <w:szCs w:val="21"/>
          <w:highlight w:val="none"/>
          <w:u w:val="single"/>
        </w:rPr>
        <w:t>（1）承包人的原因造成事故，由此产生的法律责任和事故责任及费用由承包人全部承担。</w:t>
      </w:r>
    </w:p>
    <w:p w14:paraId="20595C8C">
      <w:pPr>
        <w:pageBreakBefore w:val="0"/>
        <w:kinsoku/>
        <w:overflowPunct/>
        <w:topLinePunct w:val="0"/>
        <w:bidi w:val="0"/>
        <w:spacing w:line="360" w:lineRule="auto"/>
        <w:ind w:right="248" w:firstLine="480"/>
        <w:jc w:val="left"/>
        <w:rPr>
          <w:rFonts w:ascii="宋体" w:hAnsi="宋体" w:cs="宋体"/>
          <w:szCs w:val="21"/>
          <w:highlight w:val="none"/>
          <w:u w:val="single"/>
        </w:rPr>
      </w:pPr>
      <w:r>
        <w:rPr>
          <w:rFonts w:hint="eastAsia" w:ascii="宋体" w:hAnsi="宋体" w:cs="宋体"/>
          <w:szCs w:val="21"/>
          <w:highlight w:val="none"/>
          <w:u w:val="single"/>
        </w:rPr>
        <w:t>（2）承包人在施工过程中，必须严格执行安全生产法的相关规定，制定切实可靠的安全技术措施</w:t>
      </w:r>
      <w:r>
        <w:rPr>
          <w:rFonts w:hint="eastAsia" w:ascii="宋体" w:hAnsi="宋体" w:cs="宋体"/>
          <w:szCs w:val="21"/>
          <w:highlight w:val="none"/>
          <w:u w:val="none"/>
        </w:rPr>
        <w:t>。</w:t>
      </w:r>
    </w:p>
    <w:p w14:paraId="7253BD85">
      <w:pPr>
        <w:pageBreakBefore w:val="0"/>
        <w:kinsoku/>
        <w:overflowPunct/>
        <w:topLinePunct w:val="0"/>
        <w:bidi w:val="0"/>
        <w:spacing w:line="360" w:lineRule="auto"/>
        <w:ind w:right="248" w:firstLine="480"/>
        <w:jc w:val="left"/>
        <w:rPr>
          <w:rFonts w:ascii="宋体" w:hAnsi="宋体" w:cs="宋体"/>
          <w:szCs w:val="21"/>
          <w:highlight w:val="none"/>
          <w:u w:val="single"/>
        </w:rPr>
      </w:pPr>
      <w:r>
        <w:rPr>
          <w:rFonts w:hint="eastAsia" w:ascii="宋体" w:hAnsi="宋体" w:cs="宋体"/>
          <w:szCs w:val="21"/>
          <w:highlight w:val="none"/>
          <w:u w:val="single"/>
        </w:rPr>
        <w:t>（3）接受发包人安全监督和管理，在施工中违反安全管理规定和操作规程、违章作业的，承担违约责任</w:t>
      </w:r>
      <w:r>
        <w:rPr>
          <w:rFonts w:hint="eastAsia" w:ascii="宋体" w:hAnsi="宋体" w:cs="宋体"/>
          <w:szCs w:val="21"/>
          <w:highlight w:val="none"/>
          <w:u w:val="none"/>
        </w:rPr>
        <w:t>。</w:t>
      </w:r>
    </w:p>
    <w:p w14:paraId="24382D14">
      <w:pPr>
        <w:pageBreakBefore w:val="0"/>
        <w:kinsoku/>
        <w:overflowPunct/>
        <w:topLinePunct w:val="0"/>
        <w:bidi w:val="0"/>
        <w:spacing w:line="360" w:lineRule="auto"/>
        <w:ind w:right="248" w:firstLine="480"/>
        <w:jc w:val="left"/>
        <w:rPr>
          <w:rFonts w:ascii="宋体" w:hAnsi="宋体" w:cs="宋体"/>
          <w:szCs w:val="21"/>
          <w:highlight w:val="none"/>
          <w:u w:val="none"/>
        </w:rPr>
      </w:pPr>
      <w:r>
        <w:rPr>
          <w:rFonts w:hint="eastAsia" w:ascii="宋体" w:hAnsi="宋体" w:cs="宋体"/>
          <w:szCs w:val="21"/>
          <w:highlight w:val="none"/>
          <w:u w:val="single"/>
        </w:rPr>
        <w:t>（4）承包人应当按照重庆市水利局、市财政局、市发改委和市安监局《关于落实水利工程建设安全生产费用及使用管理问题的通知》（渝水基〔2009〕28号）的规定，在财务管理中单独列出安全生产费，按规定范围安排使用，不得挤占、挪用，并建立健全安全生产费用使用台帐。承包人专职管理人员负责对本工程安全生产措施的组织实施进行现场监督检查，并有权向水行政主管部门反映情况</w:t>
      </w:r>
      <w:r>
        <w:rPr>
          <w:rFonts w:hint="eastAsia" w:ascii="宋体" w:hAnsi="宋体" w:cs="宋体"/>
          <w:szCs w:val="21"/>
          <w:highlight w:val="none"/>
          <w:u w:val="none"/>
        </w:rPr>
        <w:t>。</w:t>
      </w:r>
    </w:p>
    <w:p w14:paraId="1CCD52DC">
      <w:pPr>
        <w:pageBreakBefore w:val="0"/>
        <w:kinsoku/>
        <w:overflowPunct/>
        <w:topLinePunct w:val="0"/>
        <w:bidi w:val="0"/>
        <w:spacing w:line="360" w:lineRule="auto"/>
        <w:ind w:right="248" w:firstLine="480"/>
        <w:jc w:val="left"/>
        <w:rPr>
          <w:rFonts w:ascii="宋体" w:hAnsi="宋体" w:cs="宋体"/>
          <w:szCs w:val="21"/>
          <w:highlight w:val="none"/>
          <w:u w:val="single"/>
        </w:rPr>
      </w:pPr>
      <w:r>
        <w:rPr>
          <w:rFonts w:hint="eastAsia" w:ascii="宋体" w:hAnsi="宋体" w:cs="宋体"/>
          <w:szCs w:val="21"/>
          <w:highlight w:val="none"/>
          <w:u w:val="single"/>
        </w:rPr>
        <w:t>（5）承包人对工程安全生产费用的使用负总责。承包人挪用安全生产费用的，发包人有权责令限期整改，逾期未改正的，可以责令其暂停施工；造成损失的，依法承担赔偿责任</w:t>
      </w:r>
      <w:r>
        <w:rPr>
          <w:rFonts w:hint="eastAsia" w:ascii="宋体" w:hAnsi="宋体" w:cs="宋体"/>
          <w:szCs w:val="21"/>
          <w:highlight w:val="none"/>
          <w:u w:val="none"/>
        </w:rPr>
        <w:t>。</w:t>
      </w:r>
    </w:p>
    <w:p w14:paraId="718A7A99">
      <w:pPr>
        <w:pageBreakBefore w:val="0"/>
        <w:kinsoku/>
        <w:overflowPunct/>
        <w:topLinePunct w:val="0"/>
        <w:bidi w:val="0"/>
        <w:spacing w:line="360" w:lineRule="auto"/>
        <w:ind w:right="248" w:firstLine="480"/>
        <w:jc w:val="left"/>
        <w:rPr>
          <w:rFonts w:ascii="宋体" w:hAnsi="宋体" w:cs="宋体"/>
          <w:szCs w:val="21"/>
          <w:highlight w:val="none"/>
          <w:u w:val="single"/>
        </w:rPr>
      </w:pPr>
      <w:r>
        <w:rPr>
          <w:rFonts w:hint="eastAsia" w:ascii="宋体" w:hAnsi="宋体" w:cs="宋体"/>
          <w:szCs w:val="21"/>
          <w:highlight w:val="none"/>
          <w:u w:val="single"/>
        </w:rPr>
        <w:t>（6）为保护本合同工程免遭损坏，或为了现场附近和过往群众的安全与方便，在确有必要的时候和地方，或当监理人或有关主管部门要求时，承包人应自费提供照明、警卫、护栅、警告标志等安全防护设施</w:t>
      </w:r>
      <w:r>
        <w:rPr>
          <w:rFonts w:hint="eastAsia" w:ascii="宋体" w:hAnsi="宋体" w:cs="宋体"/>
          <w:szCs w:val="21"/>
          <w:highlight w:val="none"/>
          <w:u w:val="none"/>
        </w:rPr>
        <w:t>。</w:t>
      </w:r>
    </w:p>
    <w:p w14:paraId="78E2DA7C">
      <w:pPr>
        <w:pageBreakBefore w:val="0"/>
        <w:kinsoku/>
        <w:overflowPunct/>
        <w:topLinePunct w:val="0"/>
        <w:bidi w:val="0"/>
        <w:spacing w:line="360" w:lineRule="auto"/>
        <w:ind w:right="248" w:firstLine="480"/>
        <w:jc w:val="left"/>
        <w:rPr>
          <w:rFonts w:ascii="宋体" w:hAnsi="宋体" w:cs="宋体"/>
          <w:szCs w:val="21"/>
          <w:highlight w:val="none"/>
          <w:u w:val="none"/>
        </w:rPr>
      </w:pPr>
      <w:r>
        <w:rPr>
          <w:rFonts w:hint="eastAsia" w:ascii="宋体" w:hAnsi="宋体" w:cs="宋体"/>
          <w:szCs w:val="21"/>
          <w:highlight w:val="none"/>
          <w:u w:val="single"/>
        </w:rPr>
        <w:t>（7）在通航水域施工时，承包人应与当地主管部门取得联系，设置必要的导航标志，及时发布航行通告，确保施工水域安全</w:t>
      </w:r>
      <w:r>
        <w:rPr>
          <w:rFonts w:hint="eastAsia" w:ascii="宋体" w:hAnsi="宋体" w:cs="宋体"/>
          <w:szCs w:val="21"/>
          <w:highlight w:val="none"/>
          <w:u w:val="none"/>
        </w:rPr>
        <w:t>。</w:t>
      </w:r>
    </w:p>
    <w:p w14:paraId="6128BDB4">
      <w:pPr>
        <w:pageBreakBefore w:val="0"/>
        <w:kinsoku/>
        <w:overflowPunct/>
        <w:topLinePunct w:val="0"/>
        <w:bidi w:val="0"/>
        <w:spacing w:line="360" w:lineRule="auto"/>
        <w:ind w:right="248" w:firstLine="480"/>
        <w:jc w:val="left"/>
        <w:rPr>
          <w:rFonts w:ascii="宋体" w:hAnsi="宋体" w:cs="宋体"/>
          <w:szCs w:val="21"/>
          <w:highlight w:val="none"/>
          <w:u w:val="single"/>
        </w:rPr>
      </w:pPr>
      <w:r>
        <w:rPr>
          <w:rFonts w:hint="eastAsia" w:ascii="宋体" w:hAnsi="宋体" w:cs="宋体"/>
          <w:szCs w:val="21"/>
          <w:highlight w:val="none"/>
          <w:u w:val="single"/>
        </w:rPr>
        <w:t>（8）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Pr>
          <w:rFonts w:hint="eastAsia" w:ascii="宋体" w:hAnsi="宋体" w:cs="宋体"/>
          <w:szCs w:val="21"/>
          <w:highlight w:val="none"/>
          <w:u w:val="none"/>
        </w:rPr>
        <w:t>。</w:t>
      </w:r>
    </w:p>
    <w:p w14:paraId="44A94AA8">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50" w:name="_Toc33183738"/>
      <w:r>
        <w:rPr>
          <w:rFonts w:hint="eastAsia" w:ascii="宋体" w:hAnsi="宋体" w:cs="宋体"/>
          <w:szCs w:val="21"/>
          <w:highlight w:val="none"/>
        </w:rPr>
        <w:t>9.7文明工地</w:t>
      </w:r>
      <w:bookmarkEnd w:id="150"/>
    </w:p>
    <w:p w14:paraId="5FDA7906">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szCs w:val="21"/>
          <w:highlight w:val="none"/>
        </w:rPr>
        <w:t>9.7.1 本合同文明工地的约定：</w:t>
      </w:r>
      <w:r>
        <w:rPr>
          <w:rFonts w:hint="eastAsia" w:ascii="宋体" w:hAnsi="宋体" w:cs="宋体"/>
          <w:szCs w:val="21"/>
          <w:highlight w:val="none"/>
          <w:u w:val="single"/>
          <w:lang w:eastAsia="zh-CN"/>
        </w:rPr>
        <w:t>通用合同条款</w:t>
      </w:r>
      <w:r>
        <w:rPr>
          <w:rFonts w:hint="eastAsia" w:ascii="宋体" w:hAnsi="宋体" w:cs="宋体"/>
          <w:szCs w:val="21"/>
          <w:highlight w:val="none"/>
        </w:rPr>
        <w:t xml:space="preserve">。     </w:t>
      </w:r>
    </w:p>
    <w:p w14:paraId="0A040F33">
      <w:pPr>
        <w:pStyle w:val="4"/>
        <w:pageBreakBefore w:val="0"/>
        <w:kinsoku/>
        <w:overflowPunct/>
        <w:topLinePunct w:val="0"/>
        <w:bidi w:val="0"/>
        <w:spacing w:line="360" w:lineRule="auto"/>
        <w:rPr>
          <w:rFonts w:ascii="宋体" w:hAnsi="宋体" w:cs="宋体"/>
          <w:sz w:val="21"/>
          <w:szCs w:val="21"/>
          <w:highlight w:val="none"/>
        </w:rPr>
      </w:pPr>
      <w:bookmarkStart w:id="151" w:name="_Toc59810413"/>
      <w:bookmarkStart w:id="152" w:name="_Toc136350393"/>
      <w:bookmarkStart w:id="153" w:name="_Toc12476"/>
      <w:bookmarkStart w:id="154" w:name="_Toc222031038"/>
      <w:bookmarkStart w:id="155" w:name="_Toc222032705"/>
      <w:bookmarkStart w:id="156" w:name="_Toc221951188"/>
      <w:bookmarkStart w:id="157" w:name="_Toc229305394"/>
      <w:bookmarkStart w:id="158" w:name="_Toc222029536"/>
      <w:bookmarkStart w:id="159" w:name="_Toc222033887"/>
      <w:r>
        <w:rPr>
          <w:rFonts w:hint="eastAsia" w:ascii="宋体" w:hAnsi="宋体" w:cs="宋体"/>
          <w:sz w:val="21"/>
          <w:szCs w:val="21"/>
          <w:highlight w:val="none"/>
        </w:rPr>
        <w:t>10.进度计划</w:t>
      </w:r>
      <w:bookmarkEnd w:id="151"/>
      <w:bookmarkEnd w:id="152"/>
      <w:bookmarkEnd w:id="153"/>
    </w:p>
    <w:p w14:paraId="792F9089">
      <w:pPr>
        <w:pageBreakBefore w:val="0"/>
        <w:kinsoku/>
        <w:overflowPunct/>
        <w:topLinePunct w:val="0"/>
        <w:bidi w:val="0"/>
        <w:snapToGrid w:val="0"/>
        <w:spacing w:before="72" w:beforeLines="30"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10.2合同进度计划的修订</w:t>
      </w:r>
    </w:p>
    <w:p w14:paraId="26500580">
      <w:pPr>
        <w:pageBreakBefore w:val="0"/>
        <w:kinsoku/>
        <w:overflowPunct/>
        <w:topLinePunct w:val="0"/>
        <w:bidi w:val="0"/>
        <w:snapToGrid w:val="0"/>
        <w:spacing w:before="72" w:beforeLines="30"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发包人和监理人在收到修订的施工进度计划后确认或提出修改意见的期限：</w:t>
      </w:r>
      <w:r>
        <w:rPr>
          <w:rFonts w:hint="eastAsia" w:ascii="宋体" w:hAnsi="宋体" w:cs="宋体"/>
          <w:kern w:val="0"/>
          <w:szCs w:val="21"/>
          <w:highlight w:val="none"/>
          <w:u w:val="single"/>
        </w:rPr>
        <w:t>收到修订的施工进度计划后 7天内</w:t>
      </w:r>
      <w:r>
        <w:rPr>
          <w:rFonts w:hint="eastAsia" w:ascii="宋体" w:hAnsi="宋体" w:cs="宋体"/>
          <w:kern w:val="0"/>
          <w:szCs w:val="21"/>
          <w:highlight w:val="none"/>
        </w:rPr>
        <w:t>。</w:t>
      </w:r>
    </w:p>
    <w:p w14:paraId="5EDABBBA">
      <w:pPr>
        <w:pStyle w:val="4"/>
        <w:pageBreakBefore w:val="0"/>
        <w:kinsoku/>
        <w:overflowPunct/>
        <w:topLinePunct w:val="0"/>
        <w:bidi w:val="0"/>
        <w:spacing w:line="360" w:lineRule="auto"/>
        <w:rPr>
          <w:rFonts w:ascii="宋体" w:hAnsi="宋体" w:cs="宋体"/>
          <w:sz w:val="21"/>
          <w:szCs w:val="21"/>
          <w:highlight w:val="none"/>
        </w:rPr>
      </w:pPr>
      <w:bookmarkStart w:id="160" w:name="_Toc9073"/>
      <w:bookmarkStart w:id="161" w:name="_Toc59810414"/>
      <w:bookmarkStart w:id="162" w:name="_Toc33183739"/>
      <w:bookmarkStart w:id="163" w:name="_Toc136350394"/>
      <w:r>
        <w:rPr>
          <w:rFonts w:hint="eastAsia" w:ascii="宋体" w:hAnsi="宋体" w:cs="宋体"/>
          <w:sz w:val="21"/>
          <w:szCs w:val="21"/>
          <w:highlight w:val="none"/>
        </w:rPr>
        <w:t>11.开工和竣工</w:t>
      </w:r>
      <w:bookmarkEnd w:id="154"/>
      <w:bookmarkEnd w:id="155"/>
      <w:bookmarkEnd w:id="156"/>
      <w:bookmarkEnd w:id="157"/>
      <w:bookmarkEnd w:id="158"/>
      <w:bookmarkEnd w:id="159"/>
      <w:r>
        <w:rPr>
          <w:rFonts w:hint="eastAsia" w:ascii="宋体" w:hAnsi="宋体" w:cs="宋体"/>
          <w:sz w:val="21"/>
          <w:szCs w:val="21"/>
          <w:highlight w:val="none"/>
        </w:rPr>
        <w:t>（完工）</w:t>
      </w:r>
      <w:bookmarkEnd w:id="160"/>
      <w:bookmarkEnd w:id="161"/>
      <w:bookmarkEnd w:id="162"/>
      <w:bookmarkEnd w:id="163"/>
    </w:p>
    <w:p w14:paraId="118231F8">
      <w:pPr>
        <w:pageBreakBefore w:val="0"/>
        <w:kinsoku/>
        <w:overflowPunct/>
        <w:topLinePunct w:val="0"/>
        <w:bidi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11.1开工</w:t>
      </w:r>
    </w:p>
    <w:p w14:paraId="134B45C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关于承包人提交工程开工报审表的期限：</w:t>
      </w:r>
      <w:r>
        <w:rPr>
          <w:rFonts w:hint="eastAsia" w:ascii="宋体" w:hAnsi="宋体" w:cs="宋体"/>
          <w:kern w:val="0"/>
          <w:szCs w:val="21"/>
          <w:highlight w:val="none"/>
          <w:u w:val="single"/>
        </w:rPr>
        <w:t xml:space="preserve">不晚于开工前 </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天</w:t>
      </w:r>
      <w:r>
        <w:rPr>
          <w:rFonts w:hint="eastAsia" w:ascii="宋体" w:hAnsi="宋体" w:cs="宋体"/>
          <w:kern w:val="0"/>
          <w:szCs w:val="21"/>
          <w:highlight w:val="none"/>
        </w:rPr>
        <w:t>。</w:t>
      </w:r>
    </w:p>
    <w:p w14:paraId="743F7EA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关于发包人应完成的其他开工准备工作及期限：</w:t>
      </w:r>
      <w:r>
        <w:rPr>
          <w:rFonts w:hint="eastAsia" w:ascii="宋体" w:hAnsi="宋体" w:cs="宋体"/>
          <w:kern w:val="0"/>
          <w:szCs w:val="21"/>
          <w:highlight w:val="none"/>
          <w:u w:val="single"/>
        </w:rPr>
        <w:t>不晚于开工前 7 天</w:t>
      </w:r>
      <w:r>
        <w:rPr>
          <w:rFonts w:hint="eastAsia" w:ascii="宋体" w:hAnsi="宋体" w:cs="宋体"/>
          <w:kern w:val="0"/>
          <w:szCs w:val="21"/>
          <w:highlight w:val="none"/>
        </w:rPr>
        <w:t>。</w:t>
      </w:r>
    </w:p>
    <w:p w14:paraId="5F2929A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关于承包人应完成的其他开工准备工作及期限：</w:t>
      </w:r>
      <w:r>
        <w:rPr>
          <w:rFonts w:hint="eastAsia" w:ascii="宋体" w:hAnsi="宋体" w:cs="宋体"/>
          <w:kern w:val="0"/>
          <w:szCs w:val="21"/>
          <w:highlight w:val="none"/>
          <w:u w:val="single"/>
        </w:rPr>
        <w:t>不晚于开工前 7 天</w:t>
      </w:r>
      <w:r>
        <w:rPr>
          <w:rFonts w:hint="eastAsia" w:ascii="宋体" w:hAnsi="宋体" w:cs="宋体"/>
          <w:kern w:val="0"/>
          <w:szCs w:val="21"/>
          <w:highlight w:val="none"/>
        </w:rPr>
        <w:t>。</w:t>
      </w:r>
    </w:p>
    <w:p w14:paraId="5B9550FE">
      <w:pPr>
        <w:pageBreakBefore w:val="0"/>
        <w:kinsoku/>
        <w:overflowPunct/>
        <w:topLinePunct w:val="0"/>
        <w:bidi w:val="0"/>
        <w:spacing w:line="360" w:lineRule="auto"/>
        <w:rPr>
          <w:rFonts w:ascii="宋体" w:hAnsi="宋体" w:cs="宋体"/>
          <w:szCs w:val="21"/>
          <w:highlight w:val="none"/>
        </w:rPr>
      </w:pPr>
      <w:r>
        <w:rPr>
          <w:rFonts w:hint="eastAsia" w:ascii="宋体" w:hAnsi="宋体" w:cs="宋体"/>
          <w:b/>
          <w:kern w:val="0"/>
          <w:szCs w:val="21"/>
          <w:highlight w:val="none"/>
        </w:rPr>
        <w:t>11.3  发包人的工期延误</w:t>
      </w:r>
    </w:p>
    <w:p w14:paraId="75F059B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在合同履行过程中，因下列情况导致工期延误和（或）费用增加的，由发包人承担由此延误的工期和（或）增加的费用：</w:t>
      </w:r>
    </w:p>
    <w:p w14:paraId="5E2F359A">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（1）发包人未能按合同约定提供施工场地，且该未能提供上述开工条件直接影响项目关键线路的；</w:t>
      </w:r>
    </w:p>
    <w:p w14:paraId="74583EA7">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（2）发包人提供的测量基准点、基准线和水准点及其书面资料存在错误或疏漏，且该错误或疏漏直接影响项目关键线路的；</w:t>
      </w:r>
    </w:p>
    <w:p w14:paraId="32213BD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（3）监理人未按合同约定发出指示、批准等文件，且该未按合同约定发出指示、批准直接影响项目关键线路的；</w:t>
      </w:r>
    </w:p>
    <w:p w14:paraId="3A28A072">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（4）变更未及时审批，直接影响项目关键线路的；</w:t>
      </w:r>
    </w:p>
    <w:p w14:paraId="36E258D2">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（5）实施变更直接影响项目关键线路的；</w:t>
      </w:r>
    </w:p>
    <w:p w14:paraId="028FABB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（6）因发包人原因导致工程暂停施工、停建、缓建的；</w:t>
      </w:r>
    </w:p>
    <w:p w14:paraId="5DFFA8B3">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（7）因征地拆迁、群众阻工等情形导致工期延误累计超过1</w:t>
      </w:r>
      <w:r>
        <w:rPr>
          <w:rFonts w:ascii="宋体" w:hAnsi="宋体" w:cs="宋体"/>
          <w:kern w:val="0"/>
          <w:szCs w:val="21"/>
          <w:highlight w:val="none"/>
        </w:rPr>
        <w:t>4</w:t>
      </w:r>
      <w:r>
        <w:rPr>
          <w:rFonts w:hint="eastAsia" w:ascii="宋体" w:hAnsi="宋体" w:cs="宋体"/>
          <w:kern w:val="0"/>
          <w:szCs w:val="21"/>
          <w:highlight w:val="none"/>
        </w:rPr>
        <w:t>天的；</w:t>
      </w:r>
    </w:p>
    <w:p w14:paraId="3B8B1778">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w:t>
      </w:r>
      <w:r>
        <w:rPr>
          <w:rFonts w:hint="eastAsia" w:ascii="宋体" w:hAnsi="宋体" w:cs="宋体"/>
          <w:kern w:val="0"/>
          <w:szCs w:val="21"/>
          <w:highlight w:val="none"/>
          <w:u w:val="single"/>
        </w:rPr>
        <w:t>合同约定的其他情形</w:t>
      </w:r>
      <w:r>
        <w:rPr>
          <w:rFonts w:hint="eastAsia" w:ascii="宋体" w:hAnsi="宋体" w:cs="宋体"/>
          <w:kern w:val="0"/>
          <w:szCs w:val="21"/>
          <w:highlight w:val="none"/>
        </w:rPr>
        <w:t>。</w:t>
      </w:r>
    </w:p>
    <w:p w14:paraId="360161AA">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u w:val="single"/>
        </w:rPr>
        <w:t>因发包人原因未按计划开工日期开工的，发包人应按实际开工日期顺延完工日期。因发包人原因导致工期延误需要修订施工进度计划的，按照第10.2合同进度计划的修订执行。</w:t>
      </w:r>
    </w:p>
    <w:p w14:paraId="22992786">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64" w:name="_Toc221951189"/>
      <w:bookmarkStart w:id="165" w:name="_Toc33183740"/>
      <w:r>
        <w:rPr>
          <w:rFonts w:hint="eastAsia" w:ascii="宋体" w:hAnsi="宋体" w:cs="宋体"/>
          <w:szCs w:val="21"/>
          <w:highlight w:val="none"/>
        </w:rPr>
        <w:t>11.4  异常恶劣的气候条件</w:t>
      </w:r>
      <w:bookmarkEnd w:id="164"/>
      <w:bookmarkEnd w:id="165"/>
      <w:r>
        <w:rPr>
          <w:rFonts w:hint="eastAsia" w:ascii="宋体" w:hAnsi="宋体" w:cs="宋体"/>
          <w:szCs w:val="21"/>
          <w:highlight w:val="none"/>
        </w:rPr>
        <w:t xml:space="preserve"> </w:t>
      </w:r>
    </w:p>
    <w:p w14:paraId="662EC8C1">
      <w:pPr>
        <w:pageBreakBefore w:val="0"/>
        <w:kinsoku/>
        <w:overflowPunct/>
        <w:topLinePunct w:val="0"/>
        <w:bidi w:val="0"/>
        <w:spacing w:line="360" w:lineRule="auto"/>
        <w:ind w:right="248" w:firstLine="480"/>
        <w:rPr>
          <w:rFonts w:ascii="宋体" w:hAnsi="宋体" w:cs="宋体"/>
          <w:szCs w:val="21"/>
          <w:highlight w:val="none"/>
        </w:rPr>
      </w:pPr>
      <w:bookmarkStart w:id="166" w:name="_Toc221951191"/>
      <w:r>
        <w:rPr>
          <w:rFonts w:hint="eastAsia" w:ascii="宋体" w:hAnsi="宋体" w:cs="宋体"/>
          <w:szCs w:val="21"/>
          <w:highlight w:val="none"/>
        </w:rPr>
        <w:t>11.4.3 本合同工程界定异常恶劣气候条件（</w:t>
      </w:r>
      <w:r>
        <w:rPr>
          <w:rFonts w:hint="eastAsia" w:ascii="宋体" w:hAnsi="宋体" w:cs="宋体"/>
          <w:kern w:val="0"/>
          <w:szCs w:val="21"/>
          <w:highlight w:val="none"/>
        </w:rPr>
        <w:t>异常恶劣气候是指项目所在地50年以上一遇的罕见气候现象</w:t>
      </w:r>
      <w:r>
        <w:rPr>
          <w:rFonts w:hint="eastAsia" w:ascii="宋体" w:hAnsi="宋体" w:cs="宋体"/>
          <w:szCs w:val="21"/>
          <w:highlight w:val="none"/>
        </w:rPr>
        <w:t>）的范围为：</w:t>
      </w:r>
      <w:bookmarkEnd w:id="166"/>
    </w:p>
    <w:p w14:paraId="723C5F74">
      <w:pPr>
        <w:pageBreakBefore w:val="0"/>
        <w:kinsoku/>
        <w:overflowPunct/>
        <w:topLinePunct w:val="0"/>
        <w:bidi w:val="0"/>
        <w:spacing w:line="360" w:lineRule="auto"/>
        <w:ind w:right="248" w:firstLine="480"/>
        <w:rPr>
          <w:rFonts w:ascii="宋体" w:hAnsi="宋体" w:cs="宋体"/>
          <w:szCs w:val="21"/>
          <w:highlight w:val="none"/>
        </w:rPr>
      </w:pPr>
      <w:bookmarkStart w:id="167" w:name="_Toc221951192"/>
      <w:r>
        <w:rPr>
          <w:rFonts w:hint="eastAsia" w:ascii="宋体" w:hAnsi="宋体" w:cs="宋体"/>
          <w:szCs w:val="21"/>
          <w:highlight w:val="none"/>
        </w:rPr>
        <w:t>（1）日降雨量大于</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90</w:t>
      </w:r>
      <w:r>
        <w:rPr>
          <w:rFonts w:hint="eastAsia" w:ascii="宋体" w:hAnsi="宋体" w:cs="宋体"/>
          <w:szCs w:val="21"/>
          <w:highlight w:val="none"/>
          <w:u w:val="single"/>
        </w:rPr>
        <w:t xml:space="preserve">  </w:t>
      </w:r>
      <w:r>
        <w:rPr>
          <w:rFonts w:hint="eastAsia" w:ascii="宋体" w:hAnsi="宋体" w:cs="宋体"/>
          <w:szCs w:val="21"/>
          <w:highlight w:val="none"/>
        </w:rPr>
        <w:t>㎜的雨日超过</w:t>
      </w:r>
      <w:r>
        <w:rPr>
          <w:rFonts w:hint="eastAsia" w:ascii="宋体" w:hAnsi="宋体" w:cs="宋体"/>
          <w:szCs w:val="21"/>
          <w:highlight w:val="none"/>
          <w:u w:val="single"/>
        </w:rPr>
        <w:t xml:space="preserve"> 1 </w:t>
      </w:r>
      <w:r>
        <w:rPr>
          <w:rFonts w:hint="eastAsia" w:ascii="宋体" w:hAnsi="宋体" w:cs="宋体"/>
          <w:szCs w:val="21"/>
          <w:highlight w:val="none"/>
        </w:rPr>
        <w:t>天； `</w:t>
      </w:r>
      <w:bookmarkEnd w:id="167"/>
    </w:p>
    <w:p w14:paraId="28AC789E">
      <w:pPr>
        <w:pageBreakBefore w:val="0"/>
        <w:kinsoku/>
        <w:overflowPunct/>
        <w:topLinePunct w:val="0"/>
        <w:bidi w:val="0"/>
        <w:spacing w:line="360" w:lineRule="auto"/>
        <w:ind w:right="248" w:firstLine="480"/>
        <w:rPr>
          <w:rFonts w:ascii="宋体" w:hAnsi="宋体" w:cs="宋体"/>
          <w:szCs w:val="21"/>
          <w:highlight w:val="none"/>
        </w:rPr>
      </w:pPr>
      <w:bookmarkStart w:id="168" w:name="_Toc221951193"/>
      <w:r>
        <w:rPr>
          <w:rFonts w:hint="eastAsia" w:ascii="宋体" w:hAnsi="宋体" w:cs="宋体"/>
          <w:szCs w:val="21"/>
          <w:highlight w:val="none"/>
        </w:rPr>
        <w:t>（2）风速大于</w:t>
      </w:r>
      <w:r>
        <w:rPr>
          <w:rFonts w:hint="eastAsia" w:ascii="宋体" w:hAnsi="宋体" w:cs="宋体"/>
          <w:szCs w:val="21"/>
          <w:highlight w:val="none"/>
          <w:u w:val="single"/>
        </w:rPr>
        <w:t xml:space="preserve"> 9.0 </w:t>
      </w:r>
      <w:r>
        <w:rPr>
          <w:rFonts w:hint="eastAsia" w:ascii="宋体" w:hAnsi="宋体" w:cs="宋体"/>
          <w:szCs w:val="21"/>
          <w:highlight w:val="none"/>
        </w:rPr>
        <w:t>m/s的</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 xml:space="preserve"> </w:t>
      </w:r>
      <w:r>
        <w:rPr>
          <w:rFonts w:hint="eastAsia" w:ascii="宋体" w:hAnsi="宋体" w:cs="宋体"/>
          <w:szCs w:val="21"/>
          <w:highlight w:val="none"/>
        </w:rPr>
        <w:t>级以上台风灾害；</w:t>
      </w:r>
      <w:bookmarkEnd w:id="168"/>
    </w:p>
    <w:p w14:paraId="5B065ECE">
      <w:pPr>
        <w:pageBreakBefore w:val="0"/>
        <w:kinsoku/>
        <w:overflowPunct/>
        <w:topLinePunct w:val="0"/>
        <w:bidi w:val="0"/>
        <w:spacing w:line="360" w:lineRule="auto"/>
        <w:ind w:right="248" w:firstLine="480"/>
        <w:rPr>
          <w:rFonts w:ascii="宋体" w:hAnsi="宋体" w:cs="宋体"/>
          <w:szCs w:val="21"/>
          <w:highlight w:val="none"/>
        </w:rPr>
      </w:pPr>
      <w:bookmarkStart w:id="169" w:name="_Toc221951194"/>
      <w:r>
        <w:rPr>
          <w:rFonts w:hint="eastAsia" w:ascii="宋体" w:hAnsi="宋体" w:cs="宋体"/>
          <w:szCs w:val="21"/>
          <w:highlight w:val="none"/>
        </w:rPr>
        <w:t>（3）</w:t>
      </w:r>
      <w:bookmarkEnd w:id="169"/>
      <w:r>
        <w:rPr>
          <w:rFonts w:hint="eastAsia" w:ascii="宋体" w:hAnsi="宋体" w:cs="宋体"/>
          <w:szCs w:val="21"/>
          <w:highlight w:val="none"/>
        </w:rPr>
        <w:t>日气温超过</w:t>
      </w:r>
      <w:r>
        <w:rPr>
          <w:rFonts w:hint="eastAsia" w:ascii="宋体" w:hAnsi="宋体" w:cs="宋体"/>
          <w:szCs w:val="21"/>
          <w:highlight w:val="none"/>
          <w:u w:val="single"/>
        </w:rPr>
        <w:t xml:space="preserve"> 40</w:t>
      </w:r>
      <w:r>
        <w:rPr>
          <w:rFonts w:hint="eastAsia" w:ascii="宋体" w:hAnsi="宋体" w:cs="宋体"/>
          <w:szCs w:val="21"/>
          <w:highlight w:val="none"/>
        </w:rPr>
        <w:t>℃的高温大于</w:t>
      </w:r>
      <w:r>
        <w:rPr>
          <w:rFonts w:hint="eastAsia" w:ascii="宋体" w:hAnsi="宋体" w:cs="宋体"/>
          <w:szCs w:val="21"/>
          <w:highlight w:val="none"/>
          <w:u w:val="single"/>
        </w:rPr>
        <w:t xml:space="preserve"> 7 </w:t>
      </w:r>
      <w:r>
        <w:rPr>
          <w:rFonts w:hint="eastAsia" w:ascii="宋体" w:hAnsi="宋体" w:cs="宋体"/>
          <w:szCs w:val="21"/>
          <w:highlight w:val="none"/>
        </w:rPr>
        <w:t>天；</w:t>
      </w:r>
    </w:p>
    <w:p w14:paraId="31D5B70A">
      <w:pPr>
        <w:pageBreakBefore w:val="0"/>
        <w:kinsoku/>
        <w:overflowPunct/>
        <w:topLinePunct w:val="0"/>
        <w:bidi w:val="0"/>
        <w:spacing w:line="360" w:lineRule="auto"/>
        <w:ind w:right="248" w:firstLine="480"/>
        <w:rPr>
          <w:rFonts w:ascii="宋体" w:hAnsi="宋体" w:cs="宋体"/>
          <w:szCs w:val="21"/>
          <w:highlight w:val="none"/>
        </w:rPr>
      </w:pPr>
      <w:bookmarkStart w:id="170" w:name="_Toc221951195"/>
      <w:r>
        <w:rPr>
          <w:rFonts w:hint="eastAsia" w:ascii="宋体" w:hAnsi="宋体" w:cs="宋体"/>
          <w:szCs w:val="21"/>
          <w:highlight w:val="none"/>
        </w:rPr>
        <w:t>（4）</w:t>
      </w:r>
      <w:bookmarkEnd w:id="170"/>
      <w:r>
        <w:rPr>
          <w:rFonts w:hint="eastAsia" w:ascii="宋体" w:hAnsi="宋体" w:cs="宋体"/>
          <w:szCs w:val="21"/>
          <w:highlight w:val="none"/>
        </w:rPr>
        <w:t>日气温低于</w:t>
      </w:r>
      <w:r>
        <w:rPr>
          <w:rFonts w:hint="eastAsia" w:ascii="宋体" w:hAnsi="宋体" w:cs="宋体"/>
          <w:szCs w:val="21"/>
          <w:highlight w:val="none"/>
          <w:u w:val="single"/>
        </w:rPr>
        <w:t xml:space="preserve">-5 </w:t>
      </w:r>
      <w:r>
        <w:rPr>
          <w:rFonts w:hint="eastAsia" w:ascii="宋体" w:hAnsi="宋体" w:cs="宋体"/>
          <w:szCs w:val="21"/>
          <w:highlight w:val="none"/>
        </w:rPr>
        <w:t>℃的严寒大于</w:t>
      </w:r>
      <w:r>
        <w:rPr>
          <w:rFonts w:hint="eastAsia" w:ascii="宋体" w:hAnsi="宋体" w:cs="宋体"/>
          <w:szCs w:val="21"/>
          <w:highlight w:val="none"/>
          <w:u w:val="single"/>
        </w:rPr>
        <w:t xml:space="preserve"> 7</w:t>
      </w:r>
      <w:r>
        <w:rPr>
          <w:rFonts w:hint="eastAsia" w:ascii="宋体" w:hAnsi="宋体" w:cs="宋体"/>
          <w:szCs w:val="21"/>
          <w:highlight w:val="none"/>
        </w:rPr>
        <w:t>天。</w:t>
      </w:r>
    </w:p>
    <w:p w14:paraId="2C70926E">
      <w:pPr>
        <w:pageBreakBefore w:val="0"/>
        <w:kinsoku/>
        <w:overflowPunct/>
        <w:topLinePunct w:val="0"/>
        <w:bidi w:val="0"/>
        <w:spacing w:line="360" w:lineRule="auto"/>
        <w:ind w:right="248" w:firstLine="480"/>
        <w:rPr>
          <w:rFonts w:ascii="宋体" w:hAnsi="宋体" w:cs="宋体"/>
          <w:szCs w:val="21"/>
          <w:highlight w:val="none"/>
          <w:u w:val="single"/>
        </w:rPr>
      </w:pPr>
      <w:bookmarkStart w:id="171" w:name="_Toc221951196"/>
      <w:r>
        <w:rPr>
          <w:rFonts w:hint="eastAsia" w:ascii="宋体" w:hAnsi="宋体" w:cs="宋体"/>
          <w:szCs w:val="21"/>
          <w:highlight w:val="none"/>
        </w:rPr>
        <w:t>（5）</w:t>
      </w:r>
      <w:bookmarkEnd w:id="171"/>
      <w:r>
        <w:rPr>
          <w:rFonts w:hint="eastAsia" w:ascii="宋体" w:hAnsi="宋体" w:cs="宋体"/>
          <w:szCs w:val="21"/>
          <w:highlight w:val="none"/>
        </w:rPr>
        <w:t>造成工程损坏的冰雹和大雪灾害：</w:t>
      </w:r>
      <w:r>
        <w:rPr>
          <w:rFonts w:hint="eastAsia" w:ascii="宋体" w:hAnsi="宋体" w:cs="宋体"/>
          <w:szCs w:val="21"/>
          <w:highlight w:val="none"/>
          <w:u w:val="single"/>
        </w:rPr>
        <w:t xml:space="preserve">  日降雪量10 mm及以上  。</w:t>
      </w:r>
    </w:p>
    <w:p w14:paraId="20A78D0B">
      <w:pPr>
        <w:pageBreakBefore w:val="0"/>
        <w:kinsoku/>
        <w:overflowPunct/>
        <w:topLinePunct w:val="0"/>
        <w:bidi w:val="0"/>
        <w:spacing w:line="360" w:lineRule="auto"/>
        <w:ind w:right="248" w:firstLine="480"/>
        <w:rPr>
          <w:rFonts w:ascii="宋体" w:hAnsi="宋体" w:cs="宋体"/>
          <w:szCs w:val="21"/>
          <w:highlight w:val="none"/>
        </w:rPr>
      </w:pPr>
      <w:bookmarkStart w:id="172" w:name="_Toc221951197"/>
      <w:r>
        <w:rPr>
          <w:rFonts w:hint="eastAsia" w:ascii="宋体" w:hAnsi="宋体" w:cs="宋体"/>
          <w:szCs w:val="21"/>
          <w:highlight w:val="none"/>
        </w:rPr>
        <w:t>（6）</w:t>
      </w:r>
      <w:r>
        <w:rPr>
          <w:rFonts w:hint="eastAsia" w:ascii="宋体" w:hAnsi="宋体" w:cs="宋体"/>
          <w:szCs w:val="21"/>
          <w:highlight w:val="none"/>
          <w:u w:val="none"/>
        </w:rPr>
        <w:t>其他：</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ascii="宋体" w:hAnsi="宋体" w:cs="宋体"/>
          <w:szCs w:val="21"/>
          <w:highlight w:val="none"/>
          <w:u w:val="single"/>
        </w:rPr>
        <w:t xml:space="preserve">         </w:t>
      </w:r>
      <w:r>
        <w:rPr>
          <w:rFonts w:hint="eastAsia" w:ascii="宋体" w:hAnsi="宋体" w:cs="宋体"/>
          <w:szCs w:val="21"/>
          <w:highlight w:val="none"/>
        </w:rPr>
        <w:t>。</w:t>
      </w:r>
      <w:bookmarkEnd w:id="172"/>
    </w:p>
    <w:p w14:paraId="61D11C28">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73" w:name="_Toc221951198"/>
      <w:bookmarkStart w:id="174" w:name="_Toc33183741"/>
      <w:r>
        <w:rPr>
          <w:rFonts w:hint="eastAsia" w:ascii="宋体" w:hAnsi="宋体" w:cs="宋体"/>
          <w:szCs w:val="21"/>
          <w:highlight w:val="none"/>
        </w:rPr>
        <w:t>11.5  承包人工期延误</w:t>
      </w:r>
      <w:bookmarkEnd w:id="173"/>
      <w:bookmarkEnd w:id="174"/>
      <w:r>
        <w:rPr>
          <w:rFonts w:hint="eastAsia" w:ascii="宋体" w:hAnsi="宋体" w:cs="宋体"/>
          <w:szCs w:val="21"/>
          <w:highlight w:val="none"/>
        </w:rPr>
        <w:t xml:space="preserve"> </w:t>
      </w:r>
    </w:p>
    <w:p w14:paraId="76A0B469">
      <w:pPr>
        <w:pageBreakBefore w:val="0"/>
        <w:kinsoku/>
        <w:overflowPunct/>
        <w:topLinePunct w:val="0"/>
        <w:bidi w:val="0"/>
        <w:spacing w:line="360" w:lineRule="auto"/>
        <w:ind w:right="248" w:firstLine="420" w:firstLineChars="200"/>
        <w:rPr>
          <w:rFonts w:ascii="宋体" w:hAnsi="宋体" w:cs="宋体"/>
          <w:bCs/>
          <w:szCs w:val="21"/>
          <w:highlight w:val="none"/>
        </w:rPr>
      </w:pPr>
      <w:bookmarkStart w:id="175" w:name="_Toc221951200"/>
      <w:r>
        <w:rPr>
          <w:rFonts w:hint="eastAsia" w:ascii="宋体" w:hAnsi="宋体" w:cs="宋体"/>
          <w:bCs/>
          <w:szCs w:val="21"/>
          <w:highlight w:val="none"/>
        </w:rPr>
        <w:t>（1）逾期完工违约金表(参考格式)</w:t>
      </w:r>
      <w:bookmarkEnd w:id="175"/>
    </w:p>
    <w:tbl>
      <w:tblPr>
        <w:tblStyle w:val="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680"/>
        <w:gridCol w:w="1998"/>
        <w:gridCol w:w="1998"/>
      </w:tblGrid>
      <w:tr w14:paraId="367DE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5623BE8">
            <w:pPr>
              <w:pageBreakBefore w:val="0"/>
              <w:kinsoku/>
              <w:overflowPunct/>
              <w:topLinePunct w:val="0"/>
              <w:bidi w:val="0"/>
              <w:spacing w:line="360" w:lineRule="auto"/>
              <w:ind w:right="-3"/>
              <w:jc w:val="center"/>
              <w:rPr>
                <w:rFonts w:ascii="宋体" w:hAnsi="宋体" w:cs="宋体"/>
                <w:szCs w:val="21"/>
                <w:highlight w:val="none"/>
              </w:rPr>
            </w:pPr>
            <w:bookmarkStart w:id="176" w:name="_Toc221951201"/>
            <w:r>
              <w:rPr>
                <w:rFonts w:hint="eastAsia" w:ascii="宋体" w:hAnsi="宋体" w:cs="宋体"/>
                <w:szCs w:val="21"/>
                <w:highlight w:val="none"/>
              </w:rPr>
              <w:t>序号</w:t>
            </w:r>
            <w:bookmarkEnd w:id="176"/>
          </w:p>
        </w:tc>
        <w:tc>
          <w:tcPr>
            <w:tcW w:w="2159" w:type="pct"/>
            <w:noWrap w:val="0"/>
            <w:vAlign w:val="center"/>
          </w:tcPr>
          <w:p w14:paraId="55983022">
            <w:pPr>
              <w:pageBreakBefore w:val="0"/>
              <w:kinsoku/>
              <w:overflowPunct/>
              <w:topLinePunct w:val="0"/>
              <w:bidi w:val="0"/>
              <w:spacing w:line="360" w:lineRule="auto"/>
              <w:ind w:right="3"/>
              <w:jc w:val="center"/>
              <w:rPr>
                <w:rFonts w:ascii="宋体" w:hAnsi="宋体" w:cs="宋体"/>
                <w:szCs w:val="21"/>
                <w:highlight w:val="none"/>
              </w:rPr>
            </w:pPr>
            <w:bookmarkStart w:id="177" w:name="_Toc221951202"/>
            <w:r>
              <w:rPr>
                <w:rFonts w:hint="eastAsia" w:ascii="宋体" w:hAnsi="宋体" w:cs="宋体"/>
                <w:szCs w:val="21"/>
                <w:highlight w:val="none"/>
              </w:rPr>
              <w:t>项目及其说明</w:t>
            </w:r>
            <w:bookmarkEnd w:id="177"/>
          </w:p>
        </w:tc>
        <w:tc>
          <w:tcPr>
            <w:tcW w:w="1172" w:type="pct"/>
            <w:noWrap w:val="0"/>
            <w:vAlign w:val="center"/>
          </w:tcPr>
          <w:p w14:paraId="393D0A2D">
            <w:pPr>
              <w:pageBreakBefore w:val="0"/>
              <w:kinsoku/>
              <w:overflowPunct/>
              <w:topLinePunct w:val="0"/>
              <w:bidi w:val="0"/>
              <w:spacing w:line="360" w:lineRule="auto"/>
              <w:ind w:right="9"/>
              <w:jc w:val="center"/>
              <w:rPr>
                <w:rFonts w:ascii="宋体" w:hAnsi="宋体" w:cs="宋体"/>
                <w:szCs w:val="21"/>
                <w:highlight w:val="none"/>
              </w:rPr>
            </w:pPr>
            <w:bookmarkStart w:id="178" w:name="_Toc221951203"/>
            <w:r>
              <w:rPr>
                <w:rFonts w:hint="eastAsia" w:ascii="宋体" w:hAnsi="宋体" w:cs="宋体"/>
                <w:szCs w:val="21"/>
                <w:highlight w:val="none"/>
              </w:rPr>
              <w:t>要求竣工日期</w:t>
            </w:r>
            <w:bookmarkEnd w:id="178"/>
          </w:p>
        </w:tc>
        <w:tc>
          <w:tcPr>
            <w:tcW w:w="1172" w:type="pct"/>
            <w:noWrap w:val="0"/>
            <w:vAlign w:val="top"/>
          </w:tcPr>
          <w:p w14:paraId="50F757FE">
            <w:pPr>
              <w:pageBreakBefore w:val="0"/>
              <w:kinsoku/>
              <w:overflowPunct/>
              <w:topLinePunct w:val="0"/>
              <w:bidi w:val="0"/>
              <w:spacing w:line="360" w:lineRule="auto"/>
              <w:ind w:right="9"/>
              <w:jc w:val="center"/>
              <w:rPr>
                <w:rFonts w:ascii="宋体" w:hAnsi="宋体" w:cs="宋体"/>
                <w:szCs w:val="21"/>
                <w:highlight w:val="none"/>
              </w:rPr>
            </w:pPr>
            <w:bookmarkStart w:id="179" w:name="_Toc221951204"/>
            <w:r>
              <w:rPr>
                <w:rFonts w:hint="eastAsia" w:ascii="宋体" w:hAnsi="宋体" w:cs="宋体"/>
                <w:szCs w:val="21"/>
                <w:highlight w:val="none"/>
              </w:rPr>
              <w:t>违约金(元/天)</w:t>
            </w:r>
            <w:bookmarkEnd w:id="179"/>
          </w:p>
        </w:tc>
      </w:tr>
      <w:tr w14:paraId="21ED7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460B9988">
            <w:pPr>
              <w:pageBreakBefore w:val="0"/>
              <w:kinsoku/>
              <w:overflowPunct/>
              <w:topLinePunct w:val="0"/>
              <w:bidi w:val="0"/>
              <w:spacing w:line="360" w:lineRule="auto"/>
              <w:ind w:right="248"/>
              <w:jc w:val="center"/>
              <w:rPr>
                <w:rFonts w:ascii="宋体" w:hAnsi="宋体" w:cs="宋体"/>
                <w:szCs w:val="21"/>
                <w:highlight w:val="none"/>
              </w:rPr>
            </w:pPr>
          </w:p>
        </w:tc>
        <w:tc>
          <w:tcPr>
            <w:tcW w:w="2159" w:type="pct"/>
            <w:noWrap w:val="0"/>
            <w:vAlign w:val="center"/>
          </w:tcPr>
          <w:p w14:paraId="347EB8D9">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center"/>
          </w:tcPr>
          <w:p w14:paraId="426559C7">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top"/>
          </w:tcPr>
          <w:p w14:paraId="0B3AFB87">
            <w:pPr>
              <w:pageBreakBefore w:val="0"/>
              <w:kinsoku/>
              <w:overflowPunct/>
              <w:topLinePunct w:val="0"/>
              <w:bidi w:val="0"/>
              <w:spacing w:line="360" w:lineRule="auto"/>
              <w:ind w:right="248"/>
              <w:jc w:val="center"/>
              <w:rPr>
                <w:rFonts w:ascii="宋体" w:hAnsi="宋体" w:cs="宋体"/>
                <w:szCs w:val="21"/>
                <w:highlight w:val="none"/>
              </w:rPr>
            </w:pPr>
          </w:p>
        </w:tc>
      </w:tr>
      <w:tr w14:paraId="73B8A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C98AF46">
            <w:pPr>
              <w:pageBreakBefore w:val="0"/>
              <w:kinsoku/>
              <w:overflowPunct/>
              <w:topLinePunct w:val="0"/>
              <w:bidi w:val="0"/>
              <w:spacing w:line="360" w:lineRule="auto"/>
              <w:ind w:right="248"/>
              <w:jc w:val="center"/>
              <w:rPr>
                <w:rFonts w:ascii="宋体" w:hAnsi="宋体" w:cs="宋体"/>
                <w:szCs w:val="21"/>
                <w:highlight w:val="none"/>
              </w:rPr>
            </w:pPr>
          </w:p>
        </w:tc>
        <w:tc>
          <w:tcPr>
            <w:tcW w:w="2159" w:type="pct"/>
            <w:noWrap w:val="0"/>
            <w:vAlign w:val="center"/>
          </w:tcPr>
          <w:p w14:paraId="36D8F97D">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center"/>
          </w:tcPr>
          <w:p w14:paraId="3A31DEE7">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top"/>
          </w:tcPr>
          <w:p w14:paraId="6E83B858">
            <w:pPr>
              <w:pageBreakBefore w:val="0"/>
              <w:kinsoku/>
              <w:overflowPunct/>
              <w:topLinePunct w:val="0"/>
              <w:bidi w:val="0"/>
              <w:spacing w:line="360" w:lineRule="auto"/>
              <w:ind w:right="248"/>
              <w:jc w:val="center"/>
              <w:rPr>
                <w:rFonts w:ascii="宋体" w:hAnsi="宋体" w:cs="宋体"/>
                <w:szCs w:val="21"/>
                <w:highlight w:val="none"/>
              </w:rPr>
            </w:pPr>
          </w:p>
        </w:tc>
      </w:tr>
      <w:tr w14:paraId="23118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1256132F">
            <w:pPr>
              <w:pageBreakBefore w:val="0"/>
              <w:kinsoku/>
              <w:overflowPunct/>
              <w:topLinePunct w:val="0"/>
              <w:bidi w:val="0"/>
              <w:spacing w:line="360" w:lineRule="auto"/>
              <w:ind w:right="248"/>
              <w:jc w:val="center"/>
              <w:rPr>
                <w:rFonts w:ascii="宋体" w:hAnsi="宋体" w:cs="宋体"/>
                <w:szCs w:val="21"/>
                <w:highlight w:val="none"/>
              </w:rPr>
            </w:pPr>
          </w:p>
        </w:tc>
        <w:tc>
          <w:tcPr>
            <w:tcW w:w="2159" w:type="pct"/>
            <w:noWrap w:val="0"/>
            <w:vAlign w:val="center"/>
          </w:tcPr>
          <w:p w14:paraId="63BE796F">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center"/>
          </w:tcPr>
          <w:p w14:paraId="6EEFA2B9">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top"/>
          </w:tcPr>
          <w:p w14:paraId="4267EF41">
            <w:pPr>
              <w:pageBreakBefore w:val="0"/>
              <w:kinsoku/>
              <w:overflowPunct/>
              <w:topLinePunct w:val="0"/>
              <w:bidi w:val="0"/>
              <w:spacing w:line="360" w:lineRule="auto"/>
              <w:ind w:right="248"/>
              <w:jc w:val="center"/>
              <w:rPr>
                <w:rFonts w:ascii="宋体" w:hAnsi="宋体" w:cs="宋体"/>
                <w:szCs w:val="21"/>
                <w:highlight w:val="none"/>
              </w:rPr>
            </w:pPr>
          </w:p>
        </w:tc>
      </w:tr>
      <w:tr w14:paraId="029D5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6A596AB7">
            <w:pPr>
              <w:pageBreakBefore w:val="0"/>
              <w:kinsoku/>
              <w:overflowPunct/>
              <w:topLinePunct w:val="0"/>
              <w:bidi w:val="0"/>
              <w:spacing w:line="360" w:lineRule="auto"/>
              <w:ind w:right="248"/>
              <w:jc w:val="center"/>
              <w:rPr>
                <w:rFonts w:ascii="宋体" w:hAnsi="宋体" w:cs="宋体"/>
                <w:szCs w:val="21"/>
                <w:highlight w:val="none"/>
              </w:rPr>
            </w:pPr>
          </w:p>
        </w:tc>
        <w:tc>
          <w:tcPr>
            <w:tcW w:w="2159" w:type="pct"/>
            <w:noWrap w:val="0"/>
            <w:vAlign w:val="center"/>
          </w:tcPr>
          <w:p w14:paraId="33FE10E3">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center"/>
          </w:tcPr>
          <w:p w14:paraId="0F017971">
            <w:pPr>
              <w:pageBreakBefore w:val="0"/>
              <w:kinsoku/>
              <w:overflowPunct/>
              <w:topLinePunct w:val="0"/>
              <w:bidi w:val="0"/>
              <w:spacing w:line="360" w:lineRule="auto"/>
              <w:ind w:right="248"/>
              <w:jc w:val="center"/>
              <w:rPr>
                <w:rFonts w:ascii="宋体" w:hAnsi="宋体" w:cs="宋体"/>
                <w:szCs w:val="21"/>
                <w:highlight w:val="none"/>
              </w:rPr>
            </w:pPr>
          </w:p>
        </w:tc>
        <w:tc>
          <w:tcPr>
            <w:tcW w:w="1172" w:type="pct"/>
            <w:noWrap w:val="0"/>
            <w:vAlign w:val="top"/>
          </w:tcPr>
          <w:p w14:paraId="1865DB95">
            <w:pPr>
              <w:pageBreakBefore w:val="0"/>
              <w:kinsoku/>
              <w:overflowPunct/>
              <w:topLinePunct w:val="0"/>
              <w:bidi w:val="0"/>
              <w:spacing w:line="360" w:lineRule="auto"/>
              <w:ind w:right="248"/>
              <w:jc w:val="center"/>
              <w:rPr>
                <w:rFonts w:ascii="宋体" w:hAnsi="宋体" w:cs="宋体"/>
                <w:szCs w:val="21"/>
                <w:highlight w:val="none"/>
              </w:rPr>
            </w:pPr>
          </w:p>
        </w:tc>
      </w:tr>
    </w:tbl>
    <w:p w14:paraId="630BD5BD">
      <w:pPr>
        <w:pageBreakBefore w:val="0"/>
        <w:kinsoku/>
        <w:overflowPunct/>
        <w:topLinePunct w:val="0"/>
        <w:bidi w:val="0"/>
        <w:spacing w:line="360" w:lineRule="auto"/>
        <w:ind w:right="248" w:firstLine="420" w:firstLineChars="200"/>
        <w:rPr>
          <w:rFonts w:ascii="宋体" w:hAnsi="宋体" w:cs="宋体"/>
          <w:szCs w:val="21"/>
          <w:highlight w:val="none"/>
        </w:rPr>
      </w:pPr>
      <w:bookmarkStart w:id="180" w:name="_Toc221951205"/>
      <w:r>
        <w:rPr>
          <w:rFonts w:hint="eastAsia" w:ascii="宋体" w:hAnsi="宋体" w:cs="宋体"/>
          <w:szCs w:val="21"/>
          <w:highlight w:val="none"/>
        </w:rPr>
        <w:t>（2）全部逾期完工违约金的总限额为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20%</w:t>
      </w:r>
      <w:r>
        <w:rPr>
          <w:rFonts w:hint="eastAsia" w:ascii="宋体" w:hAnsi="宋体" w:cs="宋体"/>
          <w:szCs w:val="21"/>
          <w:highlight w:val="none"/>
          <w:u w:val="single"/>
        </w:rPr>
        <w:t xml:space="preserve">（不超过合同总价的30%） </w:t>
      </w:r>
      <w:r>
        <w:rPr>
          <w:rFonts w:hint="eastAsia" w:ascii="宋体" w:hAnsi="宋体" w:cs="宋体"/>
          <w:szCs w:val="21"/>
          <w:highlight w:val="none"/>
        </w:rPr>
        <w:t>。</w:t>
      </w:r>
      <w:bookmarkEnd w:id="180"/>
    </w:p>
    <w:p w14:paraId="7CD2935C">
      <w:pPr>
        <w:pageBreakBefore w:val="0"/>
        <w:kinsoku/>
        <w:overflowPunct/>
        <w:topLinePunct w:val="0"/>
        <w:bidi w:val="0"/>
        <w:spacing w:line="360" w:lineRule="auto"/>
        <w:ind w:right="248"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完）工违约金。承包人支付逾期竣（完）工违约金，不免除承包人完成工作及修补缺陷的义务。</w:t>
      </w:r>
    </w:p>
    <w:p w14:paraId="239738C3">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81" w:name="_Toc33183742"/>
      <w:r>
        <w:rPr>
          <w:rFonts w:hint="eastAsia" w:ascii="宋体" w:hAnsi="宋体" w:cs="宋体"/>
          <w:szCs w:val="21"/>
          <w:highlight w:val="none"/>
        </w:rPr>
        <w:t>11.6工期提前</w:t>
      </w:r>
      <w:bookmarkEnd w:id="181"/>
    </w:p>
    <w:p w14:paraId="59A8B2C8">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本款补充11.6.1、11.6.2项如下：</w:t>
      </w:r>
    </w:p>
    <w:p w14:paraId="0B2F3D29">
      <w:pPr>
        <w:pStyle w:val="2"/>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11.6.1工期提前的资金约定</w:t>
      </w:r>
    </w:p>
    <w:p w14:paraId="664ACA03">
      <w:pPr>
        <w:pStyle w:val="2"/>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（1）当项目需要提前完工或项目工期按照第</w:t>
      </w:r>
      <w:r>
        <w:rPr>
          <w:rFonts w:hint="eastAsia" w:ascii="宋体" w:hAnsi="宋体" w:cs="宋体"/>
          <w:kern w:val="0"/>
          <w:szCs w:val="21"/>
          <w:highlight w:val="none"/>
          <w:u w:val="single"/>
        </w:rPr>
        <w:t>11.3款〔发包人的工期延误〕</w:t>
      </w:r>
      <w:r>
        <w:rPr>
          <w:rFonts w:hint="eastAsia" w:ascii="宋体" w:hAnsi="宋体" w:cs="宋体"/>
          <w:kern w:val="0"/>
          <w:szCs w:val="21"/>
          <w:highlight w:val="none"/>
        </w:rPr>
        <w:t>约定顺延后需要提前完工的，发包人应通过监理人向承包人下达提前完工指示。承包人同意提前完工的，应向发包人和监理人提交提前完工方案，提前完工方案经监理人和发包人审批后生效。由此增加的费用按照第</w:t>
      </w:r>
      <w:r>
        <w:rPr>
          <w:rFonts w:hint="eastAsia" w:ascii="宋体" w:hAnsi="宋体" w:cs="宋体"/>
          <w:kern w:val="0"/>
          <w:szCs w:val="21"/>
          <w:highlight w:val="none"/>
          <w:u w:val="single"/>
        </w:rPr>
        <w:t>15.4款〔变更的估价原则〕</w:t>
      </w:r>
      <w:r>
        <w:rPr>
          <w:rFonts w:hint="eastAsia" w:ascii="宋体" w:hAnsi="宋体" w:cs="宋体"/>
          <w:kern w:val="0"/>
          <w:szCs w:val="21"/>
          <w:highlight w:val="none"/>
        </w:rPr>
        <w:t>约定执行。</w:t>
      </w:r>
    </w:p>
    <w:p w14:paraId="1EB8F468">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（2）发包人不得随意要求承包人提前完工，承包人也不得随意提出提前完工的建议。如遇特殊情况，确需将工期提前的，发包人和承包人必须采取有效措施，确保工程质量。</w:t>
      </w:r>
    </w:p>
    <w:p w14:paraId="37106D8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（3）如果承包人提前完工，发包人支付奖金的计算方法在合同条款数据表中约定，时间自完工验收证书中写明的实际完工日期起至预定的完工日期止，按天计算。但奖金最高限额不超过项目11.6.2条的限额。</w:t>
      </w:r>
    </w:p>
    <w:p w14:paraId="34BE89CC">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11.6.2 提前完工的奖励：  /  。</w:t>
      </w:r>
    </w:p>
    <w:p w14:paraId="70E4B7DE">
      <w:pPr>
        <w:pageBreakBefore w:val="0"/>
        <w:kinsoku/>
        <w:overflowPunct/>
        <w:topLinePunct w:val="0"/>
        <w:bidi w:val="0"/>
        <w:spacing w:line="360" w:lineRule="auto"/>
        <w:ind w:firstLine="422" w:firstLineChars="200"/>
        <w:jc w:val="left"/>
        <w:rPr>
          <w:rFonts w:hint="eastAsia" w:ascii="宋体" w:hAnsi="宋体" w:cs="宋体"/>
          <w:b/>
          <w:bCs/>
          <w:kern w:val="0"/>
          <w:szCs w:val="21"/>
          <w:highlight w:val="none"/>
        </w:rPr>
      </w:pPr>
      <w:bookmarkStart w:id="182" w:name="_Toc59810415"/>
      <w:bookmarkStart w:id="183" w:name="_Toc22455"/>
      <w:bookmarkStart w:id="184" w:name="_Toc222029537"/>
      <w:bookmarkStart w:id="185" w:name="_Toc222032706"/>
      <w:bookmarkStart w:id="186" w:name="_Toc221951206"/>
      <w:bookmarkStart w:id="187" w:name="_Toc136350395"/>
      <w:bookmarkStart w:id="188" w:name="_Toc229305395"/>
      <w:bookmarkStart w:id="189" w:name="_Toc222031039"/>
      <w:bookmarkStart w:id="190" w:name="_Toc33183743"/>
      <w:bookmarkStart w:id="191" w:name="_Toc222033888"/>
      <w:r>
        <w:rPr>
          <w:rFonts w:hint="eastAsia" w:ascii="宋体" w:hAnsi="宋体" w:cs="宋体"/>
          <w:b/>
          <w:bCs/>
          <w:kern w:val="0"/>
          <w:szCs w:val="21"/>
          <w:highlight w:val="none"/>
        </w:rPr>
        <w:t>12.暂停施工</w:t>
      </w:r>
      <w:bookmarkEnd w:id="182"/>
      <w:bookmarkEnd w:id="183"/>
      <w:bookmarkEnd w:id="184"/>
      <w:bookmarkEnd w:id="185"/>
      <w:bookmarkEnd w:id="186"/>
      <w:bookmarkEnd w:id="187"/>
      <w:bookmarkEnd w:id="188"/>
      <w:bookmarkEnd w:id="189"/>
      <w:bookmarkEnd w:id="190"/>
      <w:bookmarkEnd w:id="191"/>
    </w:p>
    <w:p w14:paraId="035A05D5">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bookmarkStart w:id="192" w:name="_Toc33183744"/>
      <w:bookmarkStart w:id="193" w:name="_Toc221951207"/>
      <w:r>
        <w:rPr>
          <w:rFonts w:hint="eastAsia" w:ascii="宋体" w:hAnsi="宋体" w:cs="宋体"/>
          <w:kern w:val="0"/>
          <w:szCs w:val="21"/>
          <w:highlight w:val="none"/>
        </w:rPr>
        <w:t>12.1  承包人暂停施工的责任</w:t>
      </w:r>
      <w:bookmarkEnd w:id="192"/>
      <w:bookmarkEnd w:id="193"/>
    </w:p>
    <w:p w14:paraId="689E371E">
      <w:pPr>
        <w:pageBreakBefore w:val="0"/>
        <w:kinsoku/>
        <w:overflowPunct/>
        <w:topLinePunct w:val="0"/>
        <w:bidi w:val="0"/>
        <w:spacing w:line="360" w:lineRule="auto"/>
        <w:ind w:right="248" w:firstLine="420" w:firstLineChars="200"/>
        <w:rPr>
          <w:rFonts w:ascii="宋体" w:hAnsi="宋体" w:cs="宋体"/>
          <w:szCs w:val="21"/>
          <w:highlight w:val="none"/>
        </w:rPr>
      </w:pPr>
      <w:bookmarkStart w:id="194" w:name="_Toc221951209"/>
      <w:r>
        <w:rPr>
          <w:rFonts w:hint="eastAsia" w:ascii="宋体" w:hAnsi="宋体" w:cs="宋体"/>
          <w:szCs w:val="21"/>
          <w:highlight w:val="none"/>
        </w:rPr>
        <w:t xml:space="preserve"> 承包人承担暂停施工责任的其它情形：</w:t>
      </w:r>
      <w:r>
        <w:rPr>
          <w:rFonts w:hint="eastAsia" w:ascii="宋体" w:hAnsi="宋体" w:cs="宋体"/>
          <w:szCs w:val="21"/>
          <w:highlight w:val="none"/>
          <w:u w:val="single"/>
        </w:rPr>
        <w:t xml:space="preserve"> 因承包人原因引起的暂停施工，承包人应承担由此增加的费用和（或）延误的工期，且承包人在收到监理人复工指示后84天内仍未复工的，视为第22.1.1项〔承包人违约的情形〕第（7）目约定的承包人无法继续履行合同的情形。     </w:t>
      </w:r>
      <w:r>
        <w:rPr>
          <w:rFonts w:hint="eastAsia" w:ascii="宋体" w:hAnsi="宋体" w:cs="宋体"/>
          <w:szCs w:val="21"/>
          <w:highlight w:val="none"/>
        </w:rPr>
        <w:t xml:space="preserve"> </w:t>
      </w:r>
      <w:bookmarkEnd w:id="194"/>
    </w:p>
    <w:p w14:paraId="1871730F">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195" w:name="_Toc33183745"/>
      <w:r>
        <w:rPr>
          <w:rFonts w:hint="eastAsia" w:ascii="宋体" w:hAnsi="宋体" w:cs="宋体"/>
          <w:szCs w:val="21"/>
          <w:highlight w:val="none"/>
        </w:rPr>
        <w:t>12.2  发包人暂停施工的责任</w:t>
      </w:r>
      <w:bookmarkEnd w:id="195"/>
    </w:p>
    <w:p w14:paraId="242894AA">
      <w:pPr>
        <w:keepNext/>
        <w:keepLines/>
        <w:pageBreakBefore w:val="0"/>
        <w:kinsoku/>
        <w:overflowPunct/>
        <w:topLinePunct w:val="0"/>
        <w:bidi w:val="0"/>
        <w:snapToGrid w:val="0"/>
        <w:spacing w:line="360" w:lineRule="auto"/>
        <w:ind w:firstLine="420" w:firstLineChars="200"/>
        <w:outlineLvl w:val="3"/>
        <w:rPr>
          <w:rFonts w:hint="default" w:ascii="宋体" w:hAnsi="宋体" w:cs="宋体"/>
          <w:szCs w:val="21"/>
          <w:highlight w:val="none"/>
          <w:lang w:val="en-US" w:eastAsia="zh-CN"/>
        </w:rPr>
      </w:pPr>
      <w:r>
        <w:rPr>
          <w:rFonts w:hint="eastAsia" w:ascii="宋体" w:hAnsi="宋体" w:cs="宋体"/>
          <w:szCs w:val="21"/>
          <w:highlight w:val="none"/>
        </w:rPr>
        <w:t xml:space="preserve">发包人承担暂停施工责任的其它情形： </w:t>
      </w:r>
      <w:r>
        <w:rPr>
          <w:rFonts w:hint="eastAsia" w:ascii="宋体" w:hAnsi="宋体" w:cs="宋体"/>
          <w:szCs w:val="21"/>
          <w:highlight w:val="none"/>
          <w:lang w:val="en-US" w:eastAsia="zh-CN"/>
        </w:rPr>
        <w:t xml:space="preserve"> /   </w:t>
      </w:r>
    </w:p>
    <w:p w14:paraId="635A9D0D">
      <w:pPr>
        <w:keepNext/>
        <w:keepLines/>
        <w:pageBreakBefore w:val="0"/>
        <w:kinsoku/>
        <w:overflowPunct/>
        <w:topLinePunct w:val="0"/>
        <w:bidi w:val="0"/>
        <w:snapToGrid w:val="0"/>
        <w:spacing w:line="360" w:lineRule="auto"/>
        <w:ind w:firstLine="420" w:firstLineChars="200"/>
        <w:outlineLvl w:val="3"/>
        <w:rPr>
          <w:rFonts w:hint="eastAsia" w:ascii="宋体" w:hAnsi="宋体" w:cs="宋体"/>
          <w:szCs w:val="21"/>
          <w:highlight w:val="none"/>
        </w:rPr>
      </w:pPr>
      <w:r>
        <w:rPr>
          <w:rFonts w:hint="eastAsia" w:ascii="宋体" w:hAnsi="宋体" w:cs="宋体"/>
          <w:szCs w:val="21"/>
          <w:highlight w:val="none"/>
        </w:rPr>
        <w:t>本条补充12.6、12.7款如下：</w:t>
      </w:r>
    </w:p>
    <w:p w14:paraId="70F341AA">
      <w:pPr>
        <w:keepNext/>
        <w:keepLines/>
        <w:pageBreakBefore w:val="0"/>
        <w:kinsoku/>
        <w:overflowPunct/>
        <w:topLinePunct w:val="0"/>
        <w:bidi w:val="0"/>
        <w:snapToGrid w:val="0"/>
        <w:spacing w:line="360" w:lineRule="auto"/>
        <w:ind w:firstLine="420" w:firstLineChars="200"/>
        <w:outlineLvl w:val="3"/>
        <w:rPr>
          <w:rFonts w:hint="eastAsia" w:ascii="宋体" w:hAnsi="宋体" w:cs="宋体"/>
          <w:szCs w:val="21"/>
          <w:highlight w:val="none"/>
        </w:rPr>
      </w:pPr>
      <w:r>
        <w:rPr>
          <w:rFonts w:hint="eastAsia" w:ascii="宋体" w:hAnsi="宋体" w:cs="宋体"/>
          <w:szCs w:val="21"/>
          <w:highlight w:val="none"/>
        </w:rPr>
        <w:t>12.6暂停施工期间的工程照管</w:t>
      </w:r>
    </w:p>
    <w:p w14:paraId="01DD6F19">
      <w:pPr>
        <w:keepNext/>
        <w:keepLines/>
        <w:pageBreakBefore w:val="0"/>
        <w:kinsoku/>
        <w:overflowPunct/>
        <w:topLinePunct w:val="0"/>
        <w:bidi w:val="0"/>
        <w:snapToGrid w:val="0"/>
        <w:spacing w:line="360" w:lineRule="auto"/>
        <w:ind w:firstLine="420" w:firstLineChars="200"/>
        <w:outlineLvl w:val="3"/>
        <w:rPr>
          <w:rFonts w:hint="eastAsia" w:ascii="宋体" w:hAnsi="宋体" w:cs="宋体"/>
          <w:szCs w:val="21"/>
          <w:highlight w:val="none"/>
        </w:rPr>
      </w:pPr>
      <w:r>
        <w:rPr>
          <w:rFonts w:hint="eastAsia" w:ascii="宋体" w:hAnsi="宋体" w:cs="宋体"/>
          <w:szCs w:val="21"/>
          <w:highlight w:val="none"/>
        </w:rPr>
        <w:t>暂停施工期间，承包人应负责妥善照管工程并提供安全保障，由此增加的费用由责任方承担。</w:t>
      </w:r>
    </w:p>
    <w:p w14:paraId="776A1583">
      <w:pPr>
        <w:keepNext/>
        <w:keepLines/>
        <w:pageBreakBefore w:val="0"/>
        <w:kinsoku/>
        <w:overflowPunct/>
        <w:topLinePunct w:val="0"/>
        <w:bidi w:val="0"/>
        <w:snapToGrid w:val="0"/>
        <w:spacing w:line="360" w:lineRule="auto"/>
        <w:ind w:firstLine="420" w:firstLineChars="200"/>
        <w:outlineLvl w:val="3"/>
        <w:rPr>
          <w:rFonts w:hint="eastAsia" w:ascii="宋体" w:hAnsi="宋体" w:cs="宋体"/>
          <w:szCs w:val="21"/>
          <w:highlight w:val="none"/>
        </w:rPr>
      </w:pPr>
      <w:r>
        <w:rPr>
          <w:rFonts w:hint="eastAsia" w:ascii="宋体" w:hAnsi="宋体" w:cs="宋体"/>
          <w:szCs w:val="21"/>
          <w:highlight w:val="none"/>
        </w:rPr>
        <w:t>12.7 暂停施工的措施</w:t>
      </w:r>
    </w:p>
    <w:p w14:paraId="1C29CDEB">
      <w:pPr>
        <w:keepNext/>
        <w:keepLines/>
        <w:pageBreakBefore w:val="0"/>
        <w:kinsoku/>
        <w:overflowPunct/>
        <w:topLinePunct w:val="0"/>
        <w:bidi w:val="0"/>
        <w:snapToGrid w:val="0"/>
        <w:spacing w:line="360" w:lineRule="auto"/>
        <w:ind w:firstLine="420" w:firstLineChars="200"/>
        <w:outlineLvl w:val="3"/>
        <w:rPr>
          <w:rFonts w:hint="eastAsia" w:ascii="宋体" w:hAnsi="宋体" w:cs="宋体"/>
          <w:szCs w:val="21"/>
          <w:highlight w:val="none"/>
        </w:rPr>
      </w:pPr>
      <w:r>
        <w:rPr>
          <w:rFonts w:hint="eastAsia" w:ascii="宋体" w:hAnsi="宋体" w:cs="宋体"/>
          <w:szCs w:val="21"/>
          <w:highlight w:val="none"/>
        </w:rPr>
        <w:t>暂停施工期间，发包人和承包人均应采取必要的措施确保工程质量及安全，防止因暂停施工扩大损失。</w:t>
      </w:r>
    </w:p>
    <w:p w14:paraId="7E6A4EBA">
      <w:pPr>
        <w:keepNext/>
        <w:keepLines/>
        <w:pageBreakBefore w:val="0"/>
        <w:kinsoku/>
        <w:overflowPunct/>
        <w:topLinePunct w:val="0"/>
        <w:bidi w:val="0"/>
        <w:snapToGrid w:val="0"/>
        <w:spacing w:line="360" w:lineRule="auto"/>
        <w:ind w:firstLine="420" w:firstLineChars="200"/>
        <w:outlineLvl w:val="3"/>
        <w:rPr>
          <w:rFonts w:hint="eastAsia" w:ascii="宋体" w:hAnsi="宋体" w:cs="宋体"/>
          <w:szCs w:val="21"/>
          <w:highlight w:val="none"/>
        </w:rPr>
      </w:pPr>
      <w:bookmarkStart w:id="196" w:name="_Toc12330"/>
      <w:bookmarkStart w:id="197" w:name="_Toc59810416"/>
      <w:bookmarkStart w:id="198" w:name="_Toc33183746"/>
      <w:bookmarkStart w:id="199" w:name="_Toc136350396"/>
      <w:r>
        <w:rPr>
          <w:rFonts w:hint="eastAsia" w:ascii="宋体" w:hAnsi="宋体" w:cs="宋体"/>
          <w:szCs w:val="21"/>
          <w:highlight w:val="none"/>
        </w:rPr>
        <w:t>13.工程质量</w:t>
      </w:r>
      <w:bookmarkEnd w:id="196"/>
      <w:bookmarkEnd w:id="197"/>
      <w:bookmarkEnd w:id="198"/>
      <w:bookmarkEnd w:id="199"/>
    </w:p>
    <w:p w14:paraId="33C34E6C">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13.1 工程质量要求</w:t>
      </w:r>
    </w:p>
    <w:p w14:paraId="7B98C7E8">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13.1.1  工程质量符合国家有关施工质量验收规范和标准要求，达到合格</w:t>
      </w:r>
      <w:r>
        <w:rPr>
          <w:rFonts w:hint="eastAsia" w:ascii="宋体" w:hAnsi="宋体" w:cs="宋体"/>
          <w:kern w:val="0"/>
          <w:szCs w:val="21"/>
          <w:highlight w:val="none"/>
          <w:lang w:eastAsia="zh-CN"/>
        </w:rPr>
        <w:t>标准</w:t>
      </w:r>
      <w:r>
        <w:rPr>
          <w:rFonts w:hint="eastAsia" w:ascii="宋体" w:hAnsi="宋体" w:cs="宋体"/>
          <w:kern w:val="0"/>
          <w:szCs w:val="21"/>
          <w:highlight w:val="none"/>
        </w:rPr>
        <w:t>。</w:t>
      </w:r>
    </w:p>
    <w:p w14:paraId="1D56AFFA">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bookmarkStart w:id="200" w:name="_Toc33183747"/>
      <w:r>
        <w:rPr>
          <w:rFonts w:hint="eastAsia" w:ascii="宋体" w:hAnsi="宋体" w:cs="宋体"/>
          <w:kern w:val="0"/>
          <w:szCs w:val="21"/>
          <w:highlight w:val="none"/>
        </w:rPr>
        <w:t>13.6 清除不合格工程</w:t>
      </w:r>
      <w:bookmarkEnd w:id="200"/>
    </w:p>
    <w:p w14:paraId="49247B65">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本款补充13.6.3项如下：</w:t>
      </w:r>
    </w:p>
    <w:p w14:paraId="40C8CC0D">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13.6.3</w:t>
      </w:r>
      <w:r>
        <w:rPr>
          <w:rFonts w:hint="eastAsia" w:ascii="宋体" w:hAnsi="宋体" w:cs="宋体"/>
          <w:kern w:val="0"/>
          <w:szCs w:val="21"/>
          <w:highlight w:val="none"/>
          <w:u w:val="single"/>
        </w:rPr>
        <w:t>按《水利水电工程单元工程施工质量验收评定标准》（SL 631～639）及其它现行有效的质量验收评定标准要求执行。</w:t>
      </w:r>
      <w:r>
        <w:rPr>
          <w:rFonts w:hint="eastAsia" w:ascii="宋体" w:hAnsi="宋体" w:cs="宋体"/>
          <w:kern w:val="0"/>
          <w:szCs w:val="21"/>
          <w:highlight w:val="none"/>
        </w:rPr>
        <w:t xml:space="preserve"> 质量事故处理的约定：</w:t>
      </w:r>
    </w:p>
    <w:p w14:paraId="27A80BC3">
      <w:pPr>
        <w:pageBreakBefore w:val="0"/>
        <w:numPr>
          <w:ilvl w:val="0"/>
          <w:numId w:val="2"/>
        </w:numPr>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合同履行过程中，发生工程质量事故的调查处理按照国家及重庆市现行规定处理。</w:t>
      </w:r>
    </w:p>
    <w:p w14:paraId="2F725BEA">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604A2DD8">
      <w:pPr>
        <w:pageBreakBefore w:val="0"/>
        <w:kinsoku/>
        <w:overflowPunct/>
        <w:topLinePunct w:val="0"/>
        <w:bidi w:val="0"/>
        <w:adjustRightInd w:val="0"/>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B745DDB">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01" w:name="_Toc33183748"/>
      <w:r>
        <w:rPr>
          <w:rFonts w:hint="eastAsia" w:ascii="宋体" w:hAnsi="宋体" w:cs="宋体"/>
          <w:szCs w:val="21"/>
          <w:highlight w:val="none"/>
        </w:rPr>
        <w:t>13.7质量</w:t>
      </w:r>
      <w:r>
        <w:rPr>
          <w:rFonts w:hint="eastAsia" w:ascii="宋体" w:hAnsi="宋体" w:cs="宋体"/>
          <w:kern w:val="0"/>
          <w:szCs w:val="21"/>
          <w:highlight w:val="none"/>
        </w:rPr>
        <w:t>评定</w:t>
      </w:r>
      <w:bookmarkEnd w:id="201"/>
    </w:p>
    <w:p w14:paraId="72B0C68E">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szCs w:val="21"/>
          <w:highlight w:val="none"/>
        </w:rPr>
        <w:t>13.7.4重要隐蔽单元工程和关键部位单元工程质量评定的约定：</w:t>
      </w:r>
      <w:r>
        <w:rPr>
          <w:rFonts w:hint="eastAsia" w:ascii="宋体" w:hAnsi="宋体" w:cs="宋体"/>
          <w:kern w:val="0"/>
          <w:szCs w:val="21"/>
          <w:highlight w:val="none"/>
          <w:u w:val="single"/>
        </w:rPr>
        <w:t>单元工程质量符合《水利水电工程单元工程施工质量验收评定标准》（SL 631～639）及其它现行有效的质量验收评定标准要求。</w:t>
      </w:r>
    </w:p>
    <w:p w14:paraId="00DB6D54">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szCs w:val="21"/>
          <w:highlight w:val="none"/>
        </w:rPr>
        <w:t>13.7.7工程合格标准为：</w:t>
      </w:r>
      <w:r>
        <w:rPr>
          <w:rFonts w:hint="eastAsia" w:ascii="宋体" w:hAnsi="宋体" w:cs="宋体"/>
          <w:szCs w:val="21"/>
          <w:highlight w:val="none"/>
          <w:u w:val="single"/>
        </w:rPr>
        <w:t xml:space="preserve"> 按照行业主管部门验收结果 </w:t>
      </w:r>
      <w:r>
        <w:rPr>
          <w:rFonts w:hint="eastAsia" w:ascii="宋体" w:hAnsi="宋体" w:cs="宋体"/>
          <w:szCs w:val="21"/>
          <w:highlight w:val="none"/>
        </w:rPr>
        <w:t>；优良标准为：</w:t>
      </w:r>
      <w:r>
        <w:rPr>
          <w:rFonts w:hint="eastAsia" w:ascii="宋体" w:hAnsi="宋体" w:cs="宋体"/>
          <w:szCs w:val="21"/>
          <w:highlight w:val="none"/>
          <w:u w:val="single"/>
        </w:rPr>
        <w:t xml:space="preserve"> 按照行业主管部门验收结果  </w:t>
      </w:r>
      <w:r>
        <w:rPr>
          <w:rFonts w:hint="eastAsia" w:ascii="宋体" w:hAnsi="宋体" w:cs="宋体"/>
          <w:szCs w:val="21"/>
          <w:highlight w:val="none"/>
        </w:rPr>
        <w:t>。达到优良的奖金为：</w:t>
      </w:r>
      <w:r>
        <w:rPr>
          <w:rFonts w:hint="eastAsia" w:ascii="宋体" w:hAnsi="宋体" w:cs="宋体"/>
          <w:szCs w:val="21"/>
          <w:highlight w:val="none"/>
          <w:u w:val="single"/>
        </w:rPr>
        <w:t xml:space="preserve">   /    </w:t>
      </w:r>
      <w:r>
        <w:rPr>
          <w:rFonts w:hint="eastAsia" w:ascii="宋体" w:hAnsi="宋体" w:cs="宋体"/>
          <w:szCs w:val="21"/>
          <w:highlight w:val="none"/>
        </w:rPr>
        <w:t>。</w:t>
      </w:r>
    </w:p>
    <w:p w14:paraId="4973B15F">
      <w:pPr>
        <w:keepNext/>
        <w:keepLines/>
        <w:pageBreakBefore w:val="0"/>
        <w:widowControl/>
        <w:kinsoku/>
        <w:wordWrap/>
        <w:overflowPunct/>
        <w:topLinePunct w:val="0"/>
        <w:autoSpaceDE/>
        <w:autoSpaceDN/>
        <w:bidi w:val="0"/>
        <w:snapToGrid w:val="0"/>
        <w:spacing w:line="360" w:lineRule="auto"/>
        <w:ind w:firstLine="420" w:firstLineChars="200"/>
        <w:textAlignment w:val="baseline"/>
        <w:outlineLvl w:val="3"/>
        <w:rPr>
          <w:rFonts w:ascii="宋体" w:hAnsi="宋体" w:cs="宋体"/>
          <w:szCs w:val="21"/>
          <w:highlight w:val="none"/>
        </w:rPr>
      </w:pPr>
      <w:bookmarkStart w:id="202" w:name="_Toc33183749"/>
      <w:r>
        <w:rPr>
          <w:rFonts w:hint="eastAsia" w:ascii="宋体" w:hAnsi="宋体" w:cs="宋体"/>
          <w:szCs w:val="21"/>
          <w:highlight w:val="none"/>
        </w:rPr>
        <w:t xml:space="preserve">13.8  </w:t>
      </w:r>
      <w:r>
        <w:rPr>
          <w:rFonts w:hint="eastAsia" w:ascii="宋体" w:hAnsi="宋体" w:cs="宋体"/>
          <w:kern w:val="0"/>
          <w:szCs w:val="21"/>
          <w:highlight w:val="none"/>
        </w:rPr>
        <w:t>质量事故</w:t>
      </w:r>
      <w:r>
        <w:rPr>
          <w:rFonts w:hint="eastAsia" w:ascii="宋体" w:hAnsi="宋体" w:cs="宋体"/>
          <w:szCs w:val="21"/>
          <w:highlight w:val="none"/>
        </w:rPr>
        <w:t>处理</w:t>
      </w:r>
      <w:bookmarkEnd w:id="202"/>
    </w:p>
    <w:p w14:paraId="6AD26680">
      <w:pPr>
        <w:pageBreakBefore w:val="0"/>
        <w:widowControl/>
        <w:kinsoku/>
        <w:wordWrap/>
        <w:overflowPunct/>
        <w:topLinePunct w:val="0"/>
        <w:autoSpaceDE/>
        <w:autoSpaceDN/>
        <w:bidi w:val="0"/>
        <w:spacing w:line="360" w:lineRule="auto"/>
        <w:ind w:right="248" w:firstLine="420" w:firstLineChars="200"/>
        <w:textAlignment w:val="baseline"/>
        <w:rPr>
          <w:rFonts w:ascii="宋体" w:hAnsi="宋体" w:cs="宋体"/>
          <w:szCs w:val="21"/>
          <w:highlight w:val="none"/>
        </w:rPr>
      </w:pPr>
      <w:r>
        <w:rPr>
          <w:rFonts w:hint="eastAsia" w:ascii="宋体" w:hAnsi="宋体" w:cs="宋体"/>
          <w:szCs w:val="21"/>
          <w:highlight w:val="none"/>
        </w:rPr>
        <w:t>13.8.</w:t>
      </w:r>
      <w:r>
        <w:rPr>
          <w:rFonts w:hint="eastAsia" w:ascii="宋体" w:hAnsi="宋体" w:cs="宋体"/>
          <w:szCs w:val="21"/>
          <w:highlight w:val="none"/>
          <w:lang w:val="en-US" w:eastAsia="zh-CN"/>
        </w:rPr>
        <w:t>1</w:t>
      </w:r>
      <w:r>
        <w:rPr>
          <w:rFonts w:hint="eastAsia" w:ascii="宋体" w:hAnsi="宋体" w:cs="宋体"/>
          <w:szCs w:val="21"/>
          <w:highlight w:val="none"/>
        </w:rPr>
        <w:t>工程竣工验收时，</w:t>
      </w:r>
      <w:r>
        <w:rPr>
          <w:rFonts w:hint="eastAsia" w:ascii="宋体" w:hAnsi="宋体" w:cs="宋体"/>
          <w:szCs w:val="21"/>
          <w:highlight w:val="none"/>
          <w:u w:val="single"/>
        </w:rPr>
        <w:t xml:space="preserve"> </w:t>
      </w:r>
      <w:r>
        <w:rPr>
          <w:rFonts w:hint="eastAsia" w:ascii="宋体" w:hAnsi="宋体" w:eastAsia="宋体" w:cs="宋体"/>
          <w:spacing w:val="-2"/>
          <w:sz w:val="21"/>
          <w:szCs w:val="21"/>
          <w:highlight w:val="none"/>
          <w:u w:val="single" w:color="auto"/>
          <w:lang w:eastAsia="zh-CN"/>
        </w:rPr>
        <w:t>发包人或监理人</w:t>
      </w:r>
      <w:r>
        <w:rPr>
          <w:rFonts w:hint="eastAsia" w:ascii="宋体" w:hAnsi="宋体" w:cs="宋体"/>
          <w:szCs w:val="21"/>
          <w:highlight w:val="none"/>
          <w:u w:val="single"/>
        </w:rPr>
        <w:t xml:space="preserve"> </w:t>
      </w:r>
      <w:r>
        <w:rPr>
          <w:rFonts w:hint="eastAsia" w:ascii="宋体" w:hAnsi="宋体" w:cs="宋体"/>
          <w:szCs w:val="21"/>
          <w:highlight w:val="none"/>
        </w:rPr>
        <w:t>向竣工验收委员会汇报并提交历次质量缺陷处理的备案资料。</w:t>
      </w:r>
    </w:p>
    <w:p w14:paraId="5FE92981">
      <w:pPr>
        <w:pageBreakBefore w:val="0"/>
        <w:kinsoku/>
        <w:overflowPunct/>
        <w:topLinePunct w:val="0"/>
        <w:bidi w:val="0"/>
        <w:spacing w:line="360" w:lineRule="auto"/>
        <w:ind w:right="248" w:firstLine="480"/>
        <w:rPr>
          <w:rFonts w:hint="eastAsia" w:ascii="宋体" w:hAnsi="宋体" w:cs="宋体"/>
          <w:b/>
          <w:bCs/>
          <w:szCs w:val="21"/>
          <w:highlight w:val="none"/>
        </w:rPr>
      </w:pPr>
      <w:bookmarkStart w:id="203" w:name="_Toc33183750"/>
      <w:bookmarkStart w:id="204" w:name="_Toc136350397"/>
      <w:bookmarkStart w:id="205" w:name="_Toc59810417"/>
      <w:bookmarkStart w:id="206" w:name="_Toc14259"/>
      <w:r>
        <w:rPr>
          <w:rFonts w:hint="eastAsia" w:ascii="宋体" w:hAnsi="宋体" w:cs="宋体"/>
          <w:b/>
          <w:bCs/>
          <w:szCs w:val="21"/>
          <w:highlight w:val="none"/>
        </w:rPr>
        <w:t>14. 试验和检验</w:t>
      </w:r>
      <w:bookmarkEnd w:id="203"/>
      <w:bookmarkEnd w:id="204"/>
      <w:bookmarkEnd w:id="205"/>
      <w:bookmarkEnd w:id="206"/>
    </w:p>
    <w:p w14:paraId="198ECC8F">
      <w:pPr>
        <w:pageBreakBefore w:val="0"/>
        <w:kinsoku/>
        <w:overflowPunct/>
        <w:topLinePunct w:val="0"/>
        <w:bidi w:val="0"/>
        <w:spacing w:line="360" w:lineRule="auto"/>
        <w:ind w:right="248" w:firstLine="480"/>
        <w:rPr>
          <w:rFonts w:hint="eastAsia" w:ascii="宋体" w:hAnsi="宋体" w:cs="宋体"/>
          <w:szCs w:val="21"/>
          <w:highlight w:val="none"/>
        </w:rPr>
      </w:pPr>
      <w:bookmarkStart w:id="207" w:name="_Toc33183751"/>
      <w:r>
        <w:rPr>
          <w:rFonts w:hint="eastAsia" w:ascii="宋体" w:hAnsi="宋体" w:cs="宋体"/>
          <w:szCs w:val="21"/>
          <w:highlight w:val="none"/>
        </w:rPr>
        <w:t>14.1材料、工程设备和工程的试验和检验</w:t>
      </w:r>
      <w:bookmarkEnd w:id="207"/>
    </w:p>
    <w:p w14:paraId="2DAE0162">
      <w:pPr>
        <w:pageBreakBefore w:val="0"/>
        <w:kinsoku/>
        <w:overflowPunct/>
        <w:topLinePunct w:val="0"/>
        <w:bidi w:val="0"/>
        <w:spacing w:line="360" w:lineRule="auto"/>
        <w:ind w:right="248" w:firstLine="480"/>
        <w:rPr>
          <w:rFonts w:hint="eastAsia" w:ascii="宋体" w:hAnsi="宋体" w:cs="宋体"/>
          <w:szCs w:val="21"/>
          <w:highlight w:val="none"/>
        </w:rPr>
      </w:pPr>
      <w:r>
        <w:rPr>
          <w:rFonts w:hint="eastAsia" w:ascii="宋体" w:hAnsi="宋体" w:cs="宋体"/>
          <w:szCs w:val="21"/>
          <w:highlight w:val="none"/>
        </w:rPr>
        <w:t xml:space="preserve">14.1.5 水工金属结构、启闭机及机电产品进场后，监理人组织  </w:t>
      </w:r>
      <w:r>
        <w:rPr>
          <w:rFonts w:hint="eastAsia" w:ascii="宋体" w:hAnsi="宋体" w:cs="宋体"/>
          <w:szCs w:val="21"/>
          <w:highlight w:val="none"/>
          <w:lang w:eastAsia="zh-CN"/>
        </w:rPr>
        <w:t>有关单位</w:t>
      </w:r>
      <w:r>
        <w:rPr>
          <w:rFonts w:hint="eastAsia" w:ascii="宋体" w:hAnsi="宋体" w:cs="宋体"/>
          <w:szCs w:val="21"/>
          <w:highlight w:val="none"/>
        </w:rPr>
        <w:t xml:space="preserve"> 按合同进行交货检查和验收。</w:t>
      </w:r>
    </w:p>
    <w:p w14:paraId="73C6BED7">
      <w:pPr>
        <w:pageBreakBefore w:val="0"/>
        <w:widowControl/>
        <w:kinsoku/>
        <w:wordWrap/>
        <w:overflowPunct/>
        <w:topLinePunct w:val="0"/>
        <w:autoSpaceDE/>
        <w:autoSpaceDN/>
        <w:bidi w:val="0"/>
        <w:spacing w:line="360" w:lineRule="auto"/>
        <w:ind w:right="248" w:firstLine="420" w:firstLineChars="200"/>
        <w:textAlignment w:val="baseline"/>
        <w:rPr>
          <w:rFonts w:ascii="宋体" w:hAnsi="宋体" w:cs="宋体"/>
          <w:szCs w:val="21"/>
          <w:highlight w:val="none"/>
        </w:rPr>
      </w:pPr>
      <w:r>
        <w:rPr>
          <w:rFonts w:hint="eastAsia" w:ascii="宋体" w:hAnsi="宋体" w:cs="宋体"/>
          <w:szCs w:val="21"/>
          <w:highlight w:val="none"/>
        </w:rPr>
        <w:t>14.1.6 本工程实行见证取样的试块、试件及有关材料：</w:t>
      </w:r>
      <w:r>
        <w:rPr>
          <w:rFonts w:hint="eastAsia" w:ascii="宋体" w:hAnsi="宋体" w:cs="宋体"/>
          <w:szCs w:val="21"/>
          <w:highlight w:val="none"/>
          <w:u w:val="single"/>
        </w:rPr>
        <w:t xml:space="preserve"> 按照行业标准执行     </w:t>
      </w:r>
      <w:r>
        <w:rPr>
          <w:rFonts w:hint="eastAsia" w:ascii="宋体" w:hAnsi="宋体" w:cs="宋体"/>
          <w:szCs w:val="21"/>
          <w:highlight w:val="none"/>
        </w:rPr>
        <w:t>。</w:t>
      </w:r>
    </w:p>
    <w:p w14:paraId="190E59A5">
      <w:pPr>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本款补充14.1.7、14.1.8项如下：</w:t>
      </w:r>
    </w:p>
    <w:p w14:paraId="4D340AE1">
      <w:pPr>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szCs w:val="21"/>
          <w:highlight w:val="none"/>
        </w:rPr>
        <w:t>14.1.7</w:t>
      </w:r>
      <w:r>
        <w:rPr>
          <w:rFonts w:hint="eastAsia" w:ascii="宋体" w:hAnsi="宋体" w:cs="宋体"/>
          <w:kern w:val="0"/>
          <w:szCs w:val="21"/>
          <w:highlight w:val="none"/>
        </w:rPr>
        <w:t>试验设备</w:t>
      </w:r>
    </w:p>
    <w:p w14:paraId="7B94F10F">
      <w:pPr>
        <w:pageBreakBefore w:val="0"/>
        <w:widowControl/>
        <w:kinsoku/>
        <w:wordWrap/>
        <w:overflowPunct/>
        <w:topLinePunct w:val="0"/>
        <w:autoSpaceDE/>
        <w:autoSpaceDN/>
        <w:bidi w:val="0"/>
        <w:spacing w:line="360" w:lineRule="auto"/>
        <w:ind w:firstLine="420"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施工现场需要配置的试验场所：</w:t>
      </w:r>
      <w:r>
        <w:rPr>
          <w:rFonts w:hint="eastAsia" w:ascii="宋体" w:hAnsi="宋体" w:cs="宋体"/>
          <w:kern w:val="0"/>
          <w:szCs w:val="21"/>
          <w:highlight w:val="none"/>
          <w:u w:val="single"/>
        </w:rPr>
        <w:t>满足工程施工的需要</w:t>
      </w:r>
      <w:r>
        <w:rPr>
          <w:rFonts w:hint="eastAsia" w:ascii="宋体" w:hAnsi="宋体" w:cs="宋体"/>
          <w:kern w:val="0"/>
          <w:szCs w:val="21"/>
          <w:highlight w:val="none"/>
        </w:rPr>
        <w:t>。</w:t>
      </w:r>
    </w:p>
    <w:p w14:paraId="6547D6A2">
      <w:pPr>
        <w:pageBreakBefore w:val="0"/>
        <w:widowControl/>
        <w:kinsoku/>
        <w:wordWrap/>
        <w:overflowPunct/>
        <w:topLinePunct w:val="0"/>
        <w:autoSpaceDE/>
        <w:autoSpaceDN/>
        <w:bidi w:val="0"/>
        <w:spacing w:line="360" w:lineRule="auto"/>
        <w:ind w:firstLine="420"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施工现场需要配备的试验设备：</w:t>
      </w:r>
      <w:r>
        <w:rPr>
          <w:rFonts w:hint="eastAsia" w:ascii="宋体" w:hAnsi="宋体" w:cs="宋体"/>
          <w:kern w:val="0"/>
          <w:szCs w:val="21"/>
          <w:highlight w:val="none"/>
          <w:u w:val="single"/>
        </w:rPr>
        <w:t>满足工程施工的需要</w:t>
      </w:r>
      <w:r>
        <w:rPr>
          <w:rFonts w:hint="eastAsia" w:ascii="宋体" w:hAnsi="宋体" w:cs="宋体"/>
          <w:kern w:val="0"/>
          <w:szCs w:val="21"/>
          <w:highlight w:val="none"/>
        </w:rPr>
        <w:t>。</w:t>
      </w:r>
    </w:p>
    <w:p w14:paraId="165A2276">
      <w:pPr>
        <w:pageBreakBefore w:val="0"/>
        <w:widowControl/>
        <w:kinsoku/>
        <w:wordWrap/>
        <w:overflowPunct/>
        <w:topLinePunct w:val="0"/>
        <w:autoSpaceDE/>
        <w:autoSpaceDN/>
        <w:bidi w:val="0"/>
        <w:spacing w:line="360" w:lineRule="auto"/>
        <w:ind w:firstLine="420"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施工现场需要具备的其他试验条件：</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10ED6626">
      <w:pPr>
        <w:pageBreakBefore w:val="0"/>
        <w:kinsoku/>
        <w:overflowPunct/>
        <w:topLinePunct w:val="0"/>
        <w:bidi w:val="0"/>
        <w:spacing w:line="360" w:lineRule="auto"/>
        <w:ind w:right="248" w:firstLine="420" w:firstLineChars="200"/>
        <w:rPr>
          <w:rFonts w:ascii="宋体" w:hAnsi="宋体" w:cs="宋体"/>
          <w:kern w:val="0"/>
          <w:szCs w:val="21"/>
          <w:highlight w:val="none"/>
          <w:u w:val="single"/>
        </w:rPr>
      </w:pPr>
      <w:r>
        <w:rPr>
          <w:rFonts w:hint="eastAsia" w:ascii="宋体" w:hAnsi="宋体" w:cs="宋体"/>
          <w:szCs w:val="21"/>
          <w:highlight w:val="none"/>
          <w:u w:val="none"/>
        </w:rPr>
        <w:t>14.1.8</w:t>
      </w:r>
      <w:r>
        <w:rPr>
          <w:rFonts w:hint="eastAsia" w:ascii="宋体" w:hAnsi="宋体" w:cs="宋体"/>
          <w:kern w:val="0"/>
          <w:szCs w:val="21"/>
          <w:highlight w:val="none"/>
          <w:u w:val="single"/>
        </w:rPr>
        <w:t>本工程施工检测由承包人按《重庆市水利工程质量检测管理办法》渝水〔2018〕110号文规定选择具有相应资质检测单位进行施工质量抽样检测，并需事先报监理审核，并征得发包人书面同意后实施。施工检测单位不能和监理抽检、发包人抽检及验收检测为同一家单位。施工一般检测所需费用由承包人在工程承包费中支付，第三方检测所需费用由发包人承担。承包人应与检测单位在开展检测工作前共同编制施工检测实施方案，实施方案中检测项目及频次必须满足验收评定标准及规程、规范的要求，并经发包人组织评审后实施。</w:t>
      </w:r>
    </w:p>
    <w:p w14:paraId="32379D93">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08" w:name="_Toc33183752"/>
      <w:r>
        <w:rPr>
          <w:rFonts w:hint="eastAsia" w:ascii="宋体" w:hAnsi="宋体" w:cs="宋体"/>
          <w:szCs w:val="21"/>
          <w:highlight w:val="none"/>
          <w:u w:val="none"/>
        </w:rPr>
        <w:t>14.3现场</w:t>
      </w:r>
      <w:r>
        <w:rPr>
          <w:rFonts w:hint="eastAsia" w:ascii="宋体" w:hAnsi="宋体" w:cs="宋体"/>
          <w:szCs w:val="21"/>
          <w:highlight w:val="none"/>
        </w:rPr>
        <w:t>工艺试验</w:t>
      </w:r>
      <w:bookmarkEnd w:id="208"/>
    </w:p>
    <w:p w14:paraId="786A3121">
      <w:pPr>
        <w:pageBreakBefore w:val="0"/>
        <w:tabs>
          <w:tab w:val="left" w:pos="711"/>
          <w:tab w:val="left" w:pos="2580"/>
        </w:tabs>
        <w:kinsoku/>
        <w:overflowPunct/>
        <w:topLinePunct w:val="0"/>
        <w:bidi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本款补充14.3.1、14.3.2项如下：</w:t>
      </w:r>
    </w:p>
    <w:p w14:paraId="03CAA60A">
      <w:pPr>
        <w:pageBreakBefore w:val="0"/>
        <w:tabs>
          <w:tab w:val="left" w:pos="711"/>
          <w:tab w:val="left" w:pos="2580"/>
        </w:tabs>
        <w:kinsoku/>
        <w:overflowPunct/>
        <w:topLinePunct w:val="0"/>
        <w:bidi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14.3.1若因承包人取样、制样、送检及相关配合不及时而导致工程的工期和费用增加，影响的工期不予延长，增加费用由承包人承担。</w:t>
      </w:r>
    </w:p>
    <w:p w14:paraId="71189B7D">
      <w:pPr>
        <w:pStyle w:val="2"/>
        <w:pageBreakBefore w:val="0"/>
        <w:kinsoku/>
        <w:overflowPunct/>
        <w:topLinePunct w:val="0"/>
        <w:bidi w:val="0"/>
        <w:spacing w:line="360" w:lineRule="auto"/>
        <w:ind w:right="248" w:firstLine="420" w:firstLineChars="200"/>
        <w:rPr>
          <w:rFonts w:ascii="宋体" w:hAnsi="宋体" w:cs="宋体"/>
          <w:szCs w:val="21"/>
          <w:highlight w:val="none"/>
        </w:rPr>
      </w:pPr>
      <w:r>
        <w:rPr>
          <w:rFonts w:hint="eastAsia" w:ascii="宋体" w:hAnsi="宋体" w:cs="宋体"/>
          <w:kern w:val="0"/>
          <w:szCs w:val="21"/>
          <w:highlight w:val="none"/>
        </w:rPr>
        <w:t>14.3.2检测试验不合格的项目，其缺陷处理和复测费用由承包人承担，工期不予延长。</w:t>
      </w:r>
    </w:p>
    <w:p w14:paraId="2F9E157F">
      <w:pPr>
        <w:pStyle w:val="4"/>
        <w:pageBreakBefore w:val="0"/>
        <w:kinsoku/>
        <w:overflowPunct/>
        <w:topLinePunct w:val="0"/>
        <w:bidi w:val="0"/>
        <w:spacing w:line="360" w:lineRule="auto"/>
        <w:rPr>
          <w:rFonts w:ascii="宋体" w:hAnsi="宋体" w:cs="宋体"/>
          <w:sz w:val="21"/>
          <w:szCs w:val="21"/>
          <w:highlight w:val="none"/>
        </w:rPr>
      </w:pPr>
      <w:bookmarkStart w:id="209" w:name="_Toc222033890"/>
      <w:bookmarkStart w:id="210" w:name="_Toc229305396"/>
      <w:bookmarkStart w:id="211" w:name="_Toc221951213"/>
      <w:bookmarkStart w:id="212" w:name="_Toc222031041"/>
      <w:bookmarkStart w:id="213" w:name="_Toc23646"/>
      <w:bookmarkStart w:id="214" w:name="_Toc222029539"/>
      <w:bookmarkStart w:id="215" w:name="_Toc59810418"/>
      <w:bookmarkStart w:id="216" w:name="_Toc222032708"/>
      <w:bookmarkStart w:id="217" w:name="_Toc33183753"/>
      <w:bookmarkStart w:id="218" w:name="_Toc136350398"/>
      <w:r>
        <w:rPr>
          <w:rFonts w:hint="eastAsia" w:ascii="宋体" w:hAnsi="宋体" w:cs="宋体"/>
          <w:sz w:val="21"/>
          <w:szCs w:val="21"/>
          <w:highlight w:val="none"/>
        </w:rPr>
        <w:t>15.变更</w:t>
      </w:r>
      <w:bookmarkEnd w:id="209"/>
      <w:bookmarkEnd w:id="210"/>
      <w:bookmarkEnd w:id="211"/>
      <w:bookmarkEnd w:id="212"/>
      <w:bookmarkEnd w:id="213"/>
      <w:bookmarkEnd w:id="214"/>
      <w:bookmarkEnd w:id="215"/>
      <w:bookmarkEnd w:id="216"/>
      <w:bookmarkEnd w:id="217"/>
      <w:bookmarkEnd w:id="218"/>
    </w:p>
    <w:p w14:paraId="3B322D81">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19" w:name="_Toc221951214"/>
      <w:bookmarkStart w:id="220" w:name="_Toc33183754"/>
      <w:r>
        <w:rPr>
          <w:rFonts w:hint="eastAsia" w:ascii="宋体" w:hAnsi="宋体" w:cs="宋体"/>
          <w:szCs w:val="21"/>
          <w:highlight w:val="none"/>
        </w:rPr>
        <w:t>15.1  变更的范围和内容</w:t>
      </w:r>
      <w:bookmarkEnd w:id="219"/>
      <w:bookmarkEnd w:id="220"/>
    </w:p>
    <w:p w14:paraId="0C294EE8">
      <w:pPr>
        <w:pageBreakBefore w:val="0"/>
        <w:kinsoku/>
        <w:overflowPunct/>
        <w:topLinePunct w:val="0"/>
        <w:bidi w:val="0"/>
        <w:spacing w:line="360" w:lineRule="auto"/>
        <w:ind w:firstLine="420" w:firstLineChars="200"/>
        <w:rPr>
          <w:rFonts w:ascii="宋体" w:hAnsi="宋体" w:cs="宋体"/>
          <w:szCs w:val="21"/>
          <w:highlight w:val="none"/>
        </w:rPr>
      </w:pPr>
      <w:bookmarkStart w:id="221" w:name="_Toc221951216"/>
      <w:r>
        <w:rPr>
          <w:rFonts w:hint="eastAsia" w:ascii="宋体" w:hAnsi="宋体" w:cs="宋体"/>
          <w:szCs w:val="21"/>
          <w:highlight w:val="none"/>
        </w:rPr>
        <w:t>在履行合同中发生以下情形之一，应按照本条规定进行变更。</w:t>
      </w:r>
    </w:p>
    <w:p w14:paraId="28CF1461">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（1）增加或减少合同中任何工作，或追加额外的工作；</w:t>
      </w:r>
    </w:p>
    <w:p w14:paraId="27A26444">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（2）取消合同中任何工作；</w:t>
      </w:r>
    </w:p>
    <w:p w14:paraId="45CC46FF">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（3）改变合同中任何工作的质量标准或其他特性；</w:t>
      </w:r>
    </w:p>
    <w:p w14:paraId="07E162A6">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（4）改变工程的基线、标高、位置和尺寸；</w:t>
      </w:r>
    </w:p>
    <w:p w14:paraId="4E3B3557">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（5）适用于工程的标准和（或）规范变化导致需要对工程进行改变，且该改变导致工期和（或）费用变化的；</w:t>
      </w:r>
    </w:p>
    <w:p w14:paraId="6F282248">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（6）勘察设计变更；</w:t>
      </w:r>
    </w:p>
    <w:p w14:paraId="204299E1">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（7）实施内容变更，包括因设计变更和非设计变更引起的实施地点、投资规模、结构型式、采购数量、服务内容等进行的调整，以及因此导致的合同价格、工期变更；</w:t>
      </w:r>
    </w:p>
    <w:p w14:paraId="0CFD40D4">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（8）项目管理人员变更；</w:t>
      </w:r>
    </w:p>
    <w:p w14:paraId="729FD3E6">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（9）因人工、原材料等价格变化导致的合同总价变更；</w:t>
      </w:r>
    </w:p>
    <w:p w14:paraId="52EA6CF0">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（10）非实施内容变化导致的工期变更；</w:t>
      </w:r>
    </w:p>
    <w:p w14:paraId="5A85D908">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（11）</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 xml:space="preserve">    </w:t>
      </w:r>
      <w:r>
        <w:rPr>
          <w:rFonts w:hint="eastAsia" w:ascii="宋体" w:hAnsi="宋体"/>
          <w:szCs w:val="21"/>
          <w:highlight w:val="none"/>
        </w:rPr>
        <w:t>。</w:t>
      </w:r>
    </w:p>
    <w:p w14:paraId="1B02170A">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377324FF">
      <w:pPr>
        <w:pageBreakBefore w:val="0"/>
        <w:kinsoku/>
        <w:overflowPunct/>
        <w:topLinePunct w:val="0"/>
        <w:bidi w:val="0"/>
        <w:spacing w:line="360" w:lineRule="auto"/>
        <w:ind w:firstLine="420" w:firstLineChars="200"/>
        <w:jc w:val="left"/>
        <w:rPr>
          <w:rFonts w:ascii="宋体" w:hAnsi="宋体"/>
          <w:szCs w:val="21"/>
          <w:highlight w:val="none"/>
          <w:u w:val="single"/>
        </w:rPr>
      </w:pPr>
      <w:r>
        <w:rPr>
          <w:rFonts w:hint="eastAsia" w:ascii="宋体" w:hAnsi="宋体"/>
          <w:szCs w:val="21"/>
          <w:highlight w:val="none"/>
        </w:rPr>
        <w:t>承包人对其提供的材料、工程设备、施工、无负荷试车、热负荷试车及图纸参数存在的缺陷，自费修正、调整和完善，不属于变更。</w:t>
      </w:r>
    </w:p>
    <w:bookmarkEnd w:id="221"/>
    <w:p w14:paraId="58DFFA57">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22" w:name="_Toc33183755"/>
      <w:bookmarkStart w:id="223" w:name="_Toc221951218"/>
      <w:r>
        <w:rPr>
          <w:rFonts w:hint="eastAsia" w:ascii="宋体" w:hAnsi="宋体" w:cs="宋体"/>
          <w:szCs w:val="21"/>
          <w:highlight w:val="none"/>
        </w:rPr>
        <w:t>15.2 变更权</w:t>
      </w:r>
      <w:bookmarkEnd w:id="222"/>
    </w:p>
    <w:p w14:paraId="216B2A1B">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本款补充15.2.1、15.2.2项如下：</w:t>
      </w:r>
    </w:p>
    <w:p w14:paraId="1678EA2A">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15.2.1发包人和监理人提出变更</w:t>
      </w:r>
    </w:p>
    <w:p w14:paraId="64DF81BE">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3CDA412E">
      <w:pPr>
        <w:pageBreakBefore w:val="0"/>
        <w:kinsoku/>
        <w:overflowPunct/>
        <w:topLinePunct w:val="0"/>
        <w:bidi w:val="0"/>
        <w:adjustRightInd w:val="0"/>
        <w:snapToGrid w:val="0"/>
        <w:spacing w:line="360" w:lineRule="auto"/>
        <w:ind w:firstLine="420" w:firstLineChars="200"/>
        <w:rPr>
          <w:rFonts w:ascii="宋体" w:hAnsi="宋体"/>
          <w:szCs w:val="21"/>
          <w:highlight w:val="none"/>
        </w:rPr>
      </w:pPr>
      <w:r>
        <w:rPr>
          <w:rFonts w:hint="eastAsia" w:ascii="宋体" w:hAnsi="宋体" w:cs="宋体"/>
          <w:kern w:val="0"/>
          <w:szCs w:val="21"/>
          <w:highlight w:val="none"/>
        </w:rPr>
        <w:t>涉及设计变更的，应由设计人提供变更后的图纸和说明，交由发包人同意后由监理人以书面形式发出。如变更超过原设计标准或批准的建设规模时，</w:t>
      </w:r>
      <w:r>
        <w:rPr>
          <w:rFonts w:hint="eastAsia" w:ascii="宋体" w:hAnsi="宋体"/>
          <w:szCs w:val="21"/>
          <w:highlight w:val="none"/>
        </w:rPr>
        <w:t>由发包人及时办理规划、设计变更等审批手续。</w:t>
      </w:r>
    </w:p>
    <w:p w14:paraId="02901F4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szCs w:val="21"/>
          <w:highlight w:val="none"/>
        </w:rPr>
        <w:t>若出现重大设计变更，变更后的内容超出承包人资质或能力范围的，发包人将另行依法招标选择承包单位，无需征得承包人同意。</w:t>
      </w:r>
    </w:p>
    <w:p w14:paraId="43F5362A">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15.2.2 承包人提出变更建议</w:t>
      </w:r>
    </w:p>
    <w:p w14:paraId="5187C4D7">
      <w:pPr>
        <w:pageBreakBefore w:val="0"/>
        <w:kinsoku/>
        <w:overflowPunct/>
        <w:topLinePunct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highlight w:val="none"/>
        </w:rPr>
        <w:t>。</w:t>
      </w:r>
    </w:p>
    <w:p w14:paraId="66905150">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如果发包人对承包人已实施的施工项目在发出重大设计变更之前要求承包人提出一份建议，那么，承包人应尽快提出：</w:t>
      </w:r>
    </w:p>
    <w:p w14:paraId="7DA1EE31">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（1）对所提方案和（或）待做工作及其实施计划的说明</w:t>
      </w:r>
      <w:r>
        <w:rPr>
          <w:rFonts w:hint="eastAsia" w:ascii="宋体" w:hAnsi="宋体" w:cs="宋体"/>
          <w:kern w:val="0"/>
          <w:szCs w:val="21"/>
          <w:highlight w:val="none"/>
        </w:rPr>
        <w:t>；</w:t>
      </w:r>
    </w:p>
    <w:p w14:paraId="1CB6AA0B">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（2）承包人按照对工程进度计划进行必要修改的建议</w:t>
      </w:r>
      <w:r>
        <w:rPr>
          <w:rFonts w:hint="eastAsia" w:ascii="宋体" w:hAnsi="宋体" w:cs="宋体"/>
          <w:kern w:val="0"/>
          <w:szCs w:val="21"/>
          <w:highlight w:val="none"/>
        </w:rPr>
        <w:t>；</w:t>
      </w:r>
    </w:p>
    <w:p w14:paraId="7C0DCE6B">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（3）承包人发生较大返工损失增加费用的建议</w:t>
      </w:r>
      <w:r>
        <w:rPr>
          <w:rFonts w:hint="eastAsia" w:ascii="宋体" w:hAnsi="宋体" w:cs="宋体"/>
          <w:kern w:val="0"/>
          <w:szCs w:val="21"/>
          <w:highlight w:val="none"/>
        </w:rPr>
        <w:t>。</w:t>
      </w:r>
    </w:p>
    <w:p w14:paraId="3E287704">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发包人在收到上述建议书后，应尽快给予批准、否决或提出意见</w:t>
      </w:r>
      <w:r>
        <w:rPr>
          <w:rFonts w:hint="eastAsia" w:ascii="宋体" w:hAnsi="宋体" w:cs="宋体"/>
          <w:kern w:val="0"/>
          <w:szCs w:val="21"/>
          <w:highlight w:val="none"/>
        </w:rPr>
        <w:t>。</w:t>
      </w:r>
    </w:p>
    <w:p w14:paraId="63F6DB7A">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24" w:name="_Toc33183756"/>
      <w:r>
        <w:rPr>
          <w:rFonts w:hint="eastAsia" w:ascii="宋体" w:hAnsi="宋体" w:cs="宋体"/>
          <w:kern w:val="0"/>
          <w:szCs w:val="21"/>
          <w:highlight w:val="none"/>
        </w:rPr>
        <w:t>15.3 变更</w:t>
      </w:r>
      <w:r>
        <w:rPr>
          <w:rFonts w:hint="eastAsia" w:ascii="宋体" w:hAnsi="宋体" w:cs="宋体"/>
          <w:szCs w:val="21"/>
          <w:highlight w:val="none"/>
        </w:rPr>
        <w:t>程序</w:t>
      </w:r>
      <w:bookmarkEnd w:id="224"/>
    </w:p>
    <w:p w14:paraId="14F4A259">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15.3.1 变更的提出</w:t>
      </w:r>
    </w:p>
    <w:p w14:paraId="6E6E1BF5">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本项补充（5）（6）目如下：</w:t>
      </w:r>
    </w:p>
    <w:p w14:paraId="0C01E999">
      <w:pPr>
        <w:pageBreakBefore w:val="0"/>
        <w:kinsoku/>
        <w:overflowPunct/>
        <w:topLinePunct w:val="0"/>
        <w:autoSpaceDE w:val="0"/>
        <w:autoSpaceDN w:val="0"/>
        <w:bidi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（5）一般设计变更：承包人收到监理人下达的变更指示后，应按照监理人下达的变更指示执行，并书面说明实施该变更指示对合同价格和工期的影响，按照第15.4项〔变更的估价原则〕约定执行。</w:t>
      </w:r>
    </w:p>
    <w:p w14:paraId="5488273D">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（6）重大设计变更：需经设计人、监理人和发包人三方签名认可并报相关行业部门审查同意后实施。</w:t>
      </w:r>
    </w:p>
    <w:p w14:paraId="2AB7D271">
      <w:pPr>
        <w:pageBreakBefore w:val="0"/>
        <w:kinsoku/>
        <w:overflowPunct/>
        <w:topLinePunct w:val="0"/>
        <w:autoSpaceDE w:val="0"/>
        <w:autoSpaceDN w:val="0"/>
        <w:bidi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本款补充15.3.4项如下：</w:t>
      </w:r>
    </w:p>
    <w:p w14:paraId="5180B9DB">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15.3.4 变更报批程序</w:t>
      </w:r>
    </w:p>
    <w:p w14:paraId="2671F0E4">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1）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3FCB36BD">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（2）项目的勘察设计、实施内容等作较大变更的，应当按照规定的程序报原审批部门审批；变更导致总投资超概的，应当报原投资概算核定部门核定。</w:t>
      </w:r>
    </w:p>
    <w:p w14:paraId="7C482D7E">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（3）项目管理人员变更的，应当经发包人领导班子集体决策同意，并将变更信息推送给行业主管部门。变更后的项目管理人员应当符合招标文件和行业主管部门的相关规定。</w:t>
      </w:r>
    </w:p>
    <w:p w14:paraId="4943C89D">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（4）因人工、原材料市场价格发生大幅度变化导致的合同总价变更，由发包人与承包人按照合同进行变更，并将变更信息推送给行业主管部门。</w:t>
      </w:r>
    </w:p>
    <w:p w14:paraId="68B87229">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（5）项目实施内容无变更，因不可抗力导致的工期变更，由发包人领导班子集体决策同意，并将变更信息推送给行业主管部门；因项目实施内容变更导致的工期变更，与项目实施内容变更一并办理。</w:t>
      </w:r>
    </w:p>
    <w:p w14:paraId="3CC03F69">
      <w:pPr>
        <w:pageBreakBefore w:val="0"/>
        <w:kinsoku/>
        <w:overflowPunct/>
        <w:topLinePunct w:val="0"/>
        <w:autoSpaceDE w:val="0"/>
        <w:autoSpaceDN w:val="0"/>
        <w:bidi w:val="0"/>
        <w:spacing w:line="360" w:lineRule="auto"/>
        <w:ind w:firstLine="420" w:firstLineChars="200"/>
        <w:jc w:val="left"/>
        <w:rPr>
          <w:rFonts w:ascii="宋体" w:hAnsi="宋体"/>
          <w:szCs w:val="21"/>
          <w:highlight w:val="none"/>
        </w:rPr>
      </w:pPr>
      <w:r>
        <w:rPr>
          <w:rFonts w:hint="eastAsia" w:ascii="宋体" w:hAnsi="宋体"/>
          <w:szCs w:val="21"/>
          <w:highlight w:val="none"/>
        </w:rPr>
        <w:t>（6）项目合同变更后，增加的实施内容达到依法必须招标的规模标准的，增加的部分按重庆市有关规定执行。</w:t>
      </w:r>
    </w:p>
    <w:p w14:paraId="1F742D69">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25" w:name="_Toc33183757"/>
      <w:r>
        <w:rPr>
          <w:rFonts w:hint="eastAsia" w:ascii="宋体" w:hAnsi="宋体" w:cs="宋体"/>
          <w:szCs w:val="21"/>
          <w:highlight w:val="none"/>
        </w:rPr>
        <w:t>15.4 变更的估价原则</w:t>
      </w:r>
      <w:bookmarkEnd w:id="225"/>
    </w:p>
    <w:p w14:paraId="68540F0C">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当发生工程变更时，工程量</w:t>
      </w:r>
      <w:r>
        <w:rPr>
          <w:rFonts w:hint="eastAsia" w:ascii="宋体" w:hAnsi="宋体" w:cs="宋体"/>
          <w:kern w:val="0"/>
          <w:szCs w:val="21"/>
          <w:highlight w:val="none"/>
          <w:u w:val="single"/>
        </w:rPr>
        <w:t>按《水利水电工程设计工程量计算规定》（SL 328-2005）、</w:t>
      </w:r>
      <w:r>
        <w:rPr>
          <w:rFonts w:hint="eastAsia" w:ascii="宋体" w:hAnsi="宋体"/>
          <w:szCs w:val="21"/>
          <w:highlight w:val="none"/>
          <w:u w:val="single"/>
        </w:rPr>
        <w:t>《重庆市水利工程设计概（估）算 编制规定》（2021年版）、《重庆市水利建筑工程预算定额》（2021年版）、《重庆市水利工程机械台时费定额》（2021年版）及《重庆市中小型水利水电设备安装工程预算定额》（2008年版）</w:t>
      </w:r>
      <w:r>
        <w:rPr>
          <w:rFonts w:hint="eastAsia" w:ascii="宋体" w:hAnsi="宋体" w:cs="宋体"/>
          <w:kern w:val="0"/>
          <w:szCs w:val="21"/>
          <w:highlight w:val="none"/>
        </w:rPr>
        <w:t>等配套文件规定的计算规则及已标价工程量清单规定的工程量计算规则计量，按以下办法计价：</w:t>
      </w:r>
    </w:p>
    <w:p w14:paraId="32BB9AB1">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15.4.1已标价工程量清单中有相同项目的，按照相同项目单价计算；</w:t>
      </w:r>
    </w:p>
    <w:p w14:paraId="1CE88596">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15.4.2已标价工程量清单中有类似项目的，参考类似项目单价计算；</w:t>
      </w:r>
    </w:p>
    <w:p w14:paraId="60EE883C">
      <w:pPr>
        <w:pageBreakBefore w:val="0"/>
        <w:kinsoku/>
        <w:overflowPunct/>
        <w:topLinePunct w:val="0"/>
        <w:bidi w:val="0"/>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15.4.3已标价工程量清单中无相同项目亦无类似项目的，按以下定额组价后</w:t>
      </w:r>
      <w:r>
        <w:rPr>
          <w:rFonts w:hint="eastAsia" w:ascii="宋体" w:hAnsi="宋体" w:cs="宋体"/>
          <w:kern w:val="0"/>
          <w:szCs w:val="21"/>
          <w:highlight w:val="none"/>
          <w:u w:val="single"/>
        </w:rPr>
        <w:t>按承包人投标总报价</w:t>
      </w:r>
      <w:r>
        <w:rPr>
          <w:rFonts w:hint="eastAsia" w:ascii="宋体" w:hAnsi="宋体" w:cs="宋体"/>
          <w:szCs w:val="21"/>
          <w:highlight w:val="none"/>
          <w:u w:val="single"/>
        </w:rPr>
        <w:t>与招标控制价的下浮比例同比例下浮</w:t>
      </w:r>
      <w:r>
        <w:rPr>
          <w:rFonts w:hint="eastAsia" w:ascii="宋体" w:hAnsi="宋体" w:cs="宋体"/>
          <w:kern w:val="0"/>
          <w:szCs w:val="21"/>
          <w:highlight w:val="none"/>
          <w:u w:val="single"/>
        </w:rPr>
        <w:t>（税前）</w:t>
      </w:r>
      <w:r>
        <w:rPr>
          <w:rFonts w:hint="eastAsia" w:ascii="宋体" w:hAnsi="宋体" w:cs="宋体"/>
          <w:kern w:val="0"/>
          <w:szCs w:val="21"/>
          <w:highlight w:val="none"/>
        </w:rPr>
        <w:t>：</w:t>
      </w:r>
    </w:p>
    <w:p w14:paraId="62319BA7">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2021年重庆市水利局颁发的《重庆市水利局重庆市发展和改革委员会关于发布2021年版&lt;重庆市水利工程设计概（估）算编制规定&gt;的通知》（渝水建</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2021</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7号文）以及《重庆市水利局关于发布2021年版&lt;重庆市水利建筑工程概算定额&gt;&lt;重庆市水利建筑工程预算定额&gt;&lt;重庆市水利工程机械台时费定额&gt;的通知》（渝水建</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2021</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8号文），《关于水利工程营业税改增值税后计价依据调整的通知》（渝水〔2016〕151号），《关于适用增值税新税率调整水利工程计价依据的通知》（渝水〔2018〕31号）、《关于重新调整水利工程和水土保持工程计价依据中增值税税率的通知》（渝水（2019）55号）及相关配套文件。建筑工程主要采用渝水建</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2021</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8号文颁发的《重庆市水利建筑工程预算定额》（2021年版）；施工机械台班费采用渝水建</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2021</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8号文颁发的《重庆市水利工程机械台时费定额》（2021年版）；安装工程采用渝水基</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2008</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31号文颁发的《重庆市中小型水利水电设备安装工程预算定额》（2008年版）。</w:t>
      </w:r>
    </w:p>
    <w:p w14:paraId="7888C87D">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一）如果《重庆市水利建筑工程预算定额》（2021年版）及其配套定额、文件没有适用于变更（新增）项目单价编制的定额子目，可借用全国水利定额、水利电力定额、其他省、市及自治区的水利定额的定额消耗量，人、材、机预算单价需严格按《重庆市水利工程机械台时费定额》（2021年版）、《重庆市水利工程设计概（估）算编制规定》（2021年版）和重庆市水利工程造价管理站发布的《关于公布重庆市水利工程人工费价格信息的通知》及其他配套文件编制执行。</w:t>
      </w:r>
    </w:p>
    <w:p w14:paraId="5F66A965">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二）如果2021年版《重庆市水利定额》及其他《水利定额》和配套的定额、文件均没有适用于变更（新增）项目单价编制的定额子目，由承包人报建设单位同意后，可借用重庆市2018定额及相关配套文件编制执行。</w:t>
      </w:r>
    </w:p>
    <w:p w14:paraId="349768A7">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（三）变更（新增）项目中涉及的主要材料、设备</w:t>
      </w:r>
      <w:r>
        <w:rPr>
          <w:rFonts w:hint="eastAsia" w:ascii="宋体" w:hAnsi="宋体" w:cs="宋体"/>
          <w:kern w:val="0"/>
          <w:szCs w:val="21"/>
          <w:highlight w:val="none"/>
          <w:u w:val="single"/>
          <w:lang w:eastAsia="zh-CN"/>
        </w:rPr>
        <w:t>由发包方提供</w:t>
      </w:r>
      <w:r>
        <w:rPr>
          <w:rFonts w:hint="eastAsia" w:ascii="宋体" w:hAnsi="宋体" w:cs="宋体"/>
          <w:kern w:val="0"/>
          <w:szCs w:val="21"/>
          <w:highlight w:val="none"/>
          <w:u w:val="single"/>
        </w:rPr>
        <w:t>。</w:t>
      </w:r>
    </w:p>
    <w:p w14:paraId="3D3648F1">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u w:val="single"/>
        </w:rPr>
        <w:t>（四）变更（新增）项目中涉及的次要材料、设备部分预算单价的确定，按变更（新增）项目实施当月《重庆工程造价信息》发布的指导价格执行</w:t>
      </w:r>
      <w:r>
        <w:rPr>
          <w:rFonts w:hint="eastAsia" w:ascii="宋体" w:hAnsi="宋体" w:cs="宋体"/>
          <w:kern w:val="0"/>
          <w:szCs w:val="21"/>
          <w:highlight w:val="none"/>
        </w:rPr>
        <w:t>。</w:t>
      </w:r>
    </w:p>
    <w:p w14:paraId="017F336D">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承包人报价下浮比例按下列公式计算：承包人报价下浮比例=（1-中标价/招标控制价）×100%。</w:t>
      </w:r>
    </w:p>
    <w:p w14:paraId="4384ED83">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u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1）人工单价：人工价格按</w:t>
      </w:r>
      <w:r>
        <w:rPr>
          <w:rFonts w:hint="eastAsia" w:ascii="楷体_GB2312"/>
          <w:szCs w:val="28"/>
          <w:highlight w:val="none"/>
        </w:rPr>
        <w:t>重庆市水利工程20</w:t>
      </w:r>
      <w:r>
        <w:rPr>
          <w:rFonts w:hint="eastAsia" w:ascii="楷体_GB2312"/>
          <w:szCs w:val="28"/>
          <w:highlight w:val="none"/>
          <w:lang w:val="en-US" w:eastAsia="zh-CN"/>
        </w:rPr>
        <w:t>24</w:t>
      </w:r>
      <w:r>
        <w:rPr>
          <w:rFonts w:hint="eastAsia" w:ascii="楷体_GB2312"/>
          <w:szCs w:val="28"/>
          <w:highlight w:val="none"/>
        </w:rPr>
        <w:t>年第二期人工费价格信息</w:t>
      </w:r>
      <w:r>
        <w:rPr>
          <w:rFonts w:hint="eastAsia" w:ascii="宋体" w:hAnsi="宋体" w:cs="宋体"/>
          <w:kern w:val="0"/>
          <w:szCs w:val="21"/>
          <w:highlight w:val="none"/>
        </w:rPr>
        <w:t>和</w:t>
      </w:r>
      <w:r>
        <w:rPr>
          <w:rFonts w:hint="eastAsia" w:ascii="宋体" w:hAnsi="宋体" w:cs="宋体"/>
          <w:kern w:val="0"/>
          <w:szCs w:val="21"/>
          <w:highlight w:val="none"/>
          <w:u w:val="none"/>
          <w:lang w:eastAsia="zh-CN"/>
        </w:rPr>
        <w:t>《</w:t>
      </w:r>
      <w:r>
        <w:rPr>
          <w:rFonts w:hint="eastAsia" w:ascii="宋体" w:hAnsi="宋体" w:cs="宋体"/>
          <w:kern w:val="0"/>
          <w:szCs w:val="21"/>
          <w:highlight w:val="none"/>
          <w:u w:val="none"/>
        </w:rPr>
        <w:t>重庆工程造价信息》202</w:t>
      </w:r>
      <w:r>
        <w:rPr>
          <w:rFonts w:hint="eastAsia" w:ascii="宋体" w:hAnsi="宋体" w:cs="宋体"/>
          <w:kern w:val="0"/>
          <w:szCs w:val="21"/>
          <w:highlight w:val="none"/>
          <w:u w:val="none"/>
          <w:lang w:val="en-US" w:eastAsia="zh-CN"/>
        </w:rPr>
        <w:t>5</w:t>
      </w:r>
      <w:r>
        <w:rPr>
          <w:rFonts w:hint="eastAsia" w:ascii="宋体" w:hAnsi="宋体" w:cs="宋体"/>
          <w:kern w:val="0"/>
          <w:szCs w:val="21"/>
          <w:highlight w:val="none"/>
          <w:u w:val="none"/>
        </w:rPr>
        <w:t>年第</w:t>
      </w:r>
      <w:r>
        <w:rPr>
          <w:rFonts w:hint="eastAsia" w:ascii="宋体" w:hAnsi="宋体" w:cs="宋体"/>
          <w:kern w:val="0"/>
          <w:szCs w:val="21"/>
          <w:highlight w:val="none"/>
          <w:u w:val="none"/>
          <w:lang w:val="en-US" w:eastAsia="zh-CN"/>
        </w:rPr>
        <w:t>1</w:t>
      </w:r>
      <w:r>
        <w:rPr>
          <w:rFonts w:hint="eastAsia" w:ascii="宋体" w:hAnsi="宋体" w:cs="宋体"/>
          <w:kern w:val="0"/>
          <w:szCs w:val="21"/>
          <w:highlight w:val="none"/>
          <w:u w:val="none"/>
        </w:rPr>
        <w:t>期发布的</w:t>
      </w:r>
      <w:r>
        <w:rPr>
          <w:rFonts w:hint="eastAsia" w:ascii="楷体_GB2312" w:hAnsi="Times New Roman" w:cs="Times New Roman"/>
          <w:color w:val="auto"/>
          <w:szCs w:val="28"/>
          <w:highlight w:val="none"/>
          <w:u w:val="none"/>
          <w:lang w:val="en-US" w:eastAsia="zh-CN"/>
        </w:rPr>
        <w:t>202</w:t>
      </w:r>
      <w:r>
        <w:rPr>
          <w:rFonts w:hint="eastAsia" w:ascii="楷体_GB2312" w:cs="Times New Roman"/>
          <w:color w:val="auto"/>
          <w:szCs w:val="28"/>
          <w:highlight w:val="none"/>
          <w:u w:val="none"/>
          <w:lang w:val="en-US" w:eastAsia="zh-CN"/>
        </w:rPr>
        <w:t>4</w:t>
      </w:r>
      <w:r>
        <w:rPr>
          <w:rFonts w:hint="eastAsia" w:ascii="楷体_GB2312" w:hAnsi="Times New Roman" w:cs="Times New Roman"/>
          <w:color w:val="auto"/>
          <w:szCs w:val="28"/>
          <w:highlight w:val="none"/>
          <w:u w:val="none"/>
          <w:lang w:val="en-US" w:eastAsia="zh-CN"/>
        </w:rPr>
        <w:t>年第</w:t>
      </w:r>
      <w:r>
        <w:rPr>
          <w:rFonts w:hint="eastAsia" w:ascii="楷体_GB2312" w:cs="Times New Roman"/>
          <w:color w:val="auto"/>
          <w:szCs w:val="28"/>
          <w:highlight w:val="none"/>
          <w:u w:val="none"/>
          <w:lang w:val="en-US" w:eastAsia="zh-CN"/>
        </w:rPr>
        <w:t>三</w:t>
      </w:r>
      <w:r>
        <w:rPr>
          <w:rFonts w:hint="eastAsia" w:ascii="楷体_GB2312" w:hAnsi="Times New Roman" w:cs="Times New Roman"/>
          <w:color w:val="auto"/>
          <w:szCs w:val="28"/>
          <w:highlight w:val="none"/>
          <w:u w:val="none"/>
          <w:lang w:val="en-US" w:eastAsia="zh-CN"/>
        </w:rPr>
        <w:t>季度渝西片区人工价格</w:t>
      </w:r>
      <w:r>
        <w:rPr>
          <w:rFonts w:hint="eastAsia" w:ascii="宋体" w:hAnsi="宋体" w:cs="宋体"/>
          <w:kern w:val="0"/>
          <w:szCs w:val="21"/>
          <w:highlight w:val="none"/>
          <w:u w:val="none"/>
        </w:rPr>
        <w:t>计算。</w:t>
      </w:r>
    </w:p>
    <w:p w14:paraId="502E4932">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（2）材料单价：</w:t>
      </w:r>
    </w:p>
    <w:p w14:paraId="65F8EBBE">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u w:val="single"/>
        </w:rPr>
      </w:pPr>
      <w:r>
        <w:rPr>
          <w:rFonts w:hint="eastAsia" w:ascii="宋体" w:hAnsi="宋体" w:cs="宋体"/>
          <w:kern w:val="0"/>
          <w:szCs w:val="21"/>
          <w:highlight w:val="none"/>
          <w:u w:val="none"/>
        </w:rPr>
        <w:t>①</w:t>
      </w:r>
      <w:r>
        <w:rPr>
          <w:rFonts w:hint="eastAsia" w:ascii="宋体" w:hAnsi="宋体" w:eastAsia="宋体" w:cs="宋体"/>
          <w:kern w:val="0"/>
          <w:szCs w:val="21"/>
          <w:highlight w:val="none"/>
          <w:u w:val="single"/>
        </w:rPr>
        <w:t>按</w:t>
      </w:r>
      <w:r>
        <w:rPr>
          <w:rFonts w:hint="eastAsia" w:ascii="宋体" w:hAnsi="宋体" w:eastAsia="宋体" w:cs="宋体"/>
          <w:szCs w:val="28"/>
          <w:highlight w:val="none"/>
          <w:u w:val="single"/>
        </w:rPr>
        <w:t>南川区</w:t>
      </w:r>
      <w:r>
        <w:rPr>
          <w:rFonts w:hint="eastAsia" w:ascii="宋体" w:hAnsi="宋体" w:eastAsia="宋体" w:cs="宋体"/>
          <w:szCs w:val="28"/>
          <w:highlight w:val="none"/>
          <w:u w:val="single"/>
          <w:lang w:val="en-US" w:eastAsia="zh-CN"/>
        </w:rPr>
        <w:t>住房和城乡</w:t>
      </w:r>
      <w:r>
        <w:rPr>
          <w:rFonts w:hint="eastAsia" w:ascii="宋体" w:hAnsi="宋体" w:eastAsia="宋体" w:cs="宋体"/>
          <w:szCs w:val="28"/>
          <w:highlight w:val="none"/>
          <w:u w:val="single"/>
        </w:rPr>
        <w:t>建设委员会</w:t>
      </w:r>
      <w:r>
        <w:rPr>
          <w:rFonts w:hint="eastAsia" w:ascii="宋体" w:hAnsi="宋体" w:eastAsia="宋体" w:cs="宋体"/>
          <w:szCs w:val="28"/>
          <w:highlight w:val="none"/>
          <w:u w:val="single"/>
          <w:lang w:val="en-US" w:eastAsia="zh-CN"/>
        </w:rPr>
        <w:t>公布</w:t>
      </w:r>
      <w:r>
        <w:rPr>
          <w:rFonts w:hint="eastAsia" w:ascii="宋体" w:hAnsi="宋体" w:eastAsia="宋体" w:cs="宋体"/>
          <w:szCs w:val="28"/>
          <w:highlight w:val="none"/>
          <w:u w:val="single"/>
        </w:rPr>
        <w:t>的20</w:t>
      </w:r>
      <w:r>
        <w:rPr>
          <w:rFonts w:hint="eastAsia" w:ascii="宋体" w:hAnsi="宋体" w:eastAsia="宋体" w:cs="宋体"/>
          <w:szCs w:val="28"/>
          <w:highlight w:val="none"/>
          <w:u w:val="single"/>
          <w:lang w:val="en-US" w:eastAsia="zh-CN"/>
        </w:rPr>
        <w:t>24</w:t>
      </w:r>
      <w:r>
        <w:rPr>
          <w:rFonts w:hint="eastAsia" w:ascii="宋体" w:hAnsi="宋体" w:eastAsia="宋体" w:cs="宋体"/>
          <w:szCs w:val="28"/>
          <w:highlight w:val="none"/>
          <w:u w:val="single"/>
        </w:rPr>
        <w:t>年第</w:t>
      </w:r>
      <w:r>
        <w:rPr>
          <w:rFonts w:hint="eastAsia" w:ascii="宋体" w:hAnsi="宋体" w:eastAsia="宋体" w:cs="宋体"/>
          <w:szCs w:val="28"/>
          <w:highlight w:val="none"/>
          <w:u w:val="single"/>
          <w:lang w:val="en-US" w:eastAsia="zh-CN"/>
        </w:rPr>
        <w:t>三</w:t>
      </w:r>
      <w:r>
        <w:rPr>
          <w:rFonts w:hint="eastAsia" w:ascii="宋体" w:hAnsi="宋体" w:eastAsia="宋体" w:cs="宋体"/>
          <w:szCs w:val="28"/>
          <w:highlight w:val="none"/>
          <w:u w:val="single"/>
        </w:rPr>
        <w:t>季度主要建筑材料价格信息</w:t>
      </w:r>
      <w:r>
        <w:rPr>
          <w:rFonts w:hint="eastAsia" w:ascii="宋体" w:hAnsi="宋体" w:eastAsia="宋体" w:cs="宋体"/>
          <w:szCs w:val="28"/>
          <w:highlight w:val="none"/>
          <w:u w:val="single"/>
          <w:lang w:eastAsia="zh-CN"/>
        </w:rPr>
        <w:t>和</w:t>
      </w:r>
      <w:r>
        <w:rPr>
          <w:rFonts w:hint="eastAsia" w:ascii="宋体" w:hAnsi="宋体" w:eastAsia="宋体" w:cs="宋体"/>
          <w:kern w:val="0"/>
          <w:szCs w:val="21"/>
          <w:highlight w:val="none"/>
          <w:u w:val="single"/>
          <w:lang w:eastAsia="zh-CN"/>
        </w:rPr>
        <w:t>《</w:t>
      </w:r>
      <w:r>
        <w:rPr>
          <w:rFonts w:hint="eastAsia" w:ascii="宋体" w:hAnsi="宋体" w:eastAsia="宋体" w:cs="宋体"/>
          <w:color w:val="auto"/>
          <w:kern w:val="0"/>
          <w:szCs w:val="21"/>
          <w:highlight w:val="none"/>
          <w:u w:val="single"/>
        </w:rPr>
        <w:t>重庆</w:t>
      </w:r>
      <w:r>
        <w:rPr>
          <w:rFonts w:hint="eastAsia" w:ascii="宋体" w:hAnsi="宋体" w:cs="宋体"/>
          <w:color w:val="auto"/>
          <w:kern w:val="0"/>
          <w:szCs w:val="21"/>
          <w:highlight w:val="none"/>
          <w:u w:val="single"/>
        </w:rPr>
        <w:t>工程</w:t>
      </w:r>
      <w:r>
        <w:rPr>
          <w:rFonts w:hint="eastAsia" w:ascii="宋体" w:hAnsi="宋体" w:eastAsia="宋体" w:cs="宋体"/>
          <w:color w:val="auto"/>
          <w:kern w:val="0"/>
          <w:szCs w:val="21"/>
          <w:highlight w:val="none"/>
          <w:u w:val="single"/>
        </w:rPr>
        <w:t>造价信息》202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年第1期</w:t>
      </w:r>
      <w:r>
        <w:rPr>
          <w:rFonts w:hint="eastAsia" w:ascii="宋体" w:hAnsi="宋体" w:eastAsia="宋体" w:cs="宋体"/>
          <w:kern w:val="0"/>
          <w:szCs w:val="21"/>
          <w:highlight w:val="none"/>
          <w:u w:val="single"/>
        </w:rPr>
        <w:t>发布的</w:t>
      </w:r>
      <w:r>
        <w:rPr>
          <w:rFonts w:hint="eastAsia" w:ascii="宋体" w:hAnsi="宋体" w:eastAsia="宋体" w:cs="宋体"/>
          <w:color w:val="auto"/>
          <w:szCs w:val="28"/>
          <w:highlight w:val="none"/>
          <w:u w:val="single"/>
          <w:lang w:val="en-US" w:eastAsia="zh-CN"/>
        </w:rPr>
        <w:t>2024年第三季度渝西片区</w:t>
      </w:r>
      <w:r>
        <w:rPr>
          <w:rFonts w:hint="eastAsia" w:ascii="宋体" w:hAnsi="宋体" w:eastAsia="宋体" w:cs="宋体"/>
          <w:kern w:val="0"/>
          <w:szCs w:val="21"/>
          <w:highlight w:val="none"/>
          <w:u w:val="single"/>
        </w:rPr>
        <w:t>项目所在地的信息价执行；</w:t>
      </w:r>
    </w:p>
    <w:p w14:paraId="509D30A6">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cs="宋体"/>
          <w:kern w:val="0"/>
          <w:szCs w:val="21"/>
          <w:highlight w:val="none"/>
          <w:u w:val="none"/>
        </w:rPr>
        <w:t>②</w:t>
      </w:r>
      <w:r>
        <w:rPr>
          <w:rFonts w:hint="eastAsia" w:ascii="宋体" w:hAnsi="宋体" w:eastAsia="宋体" w:cs="宋体"/>
          <w:color w:val="auto"/>
          <w:kern w:val="0"/>
          <w:szCs w:val="21"/>
          <w:highlight w:val="none"/>
          <w:u w:val="single"/>
        </w:rPr>
        <w:t>南川区</w:t>
      </w:r>
      <w:r>
        <w:rPr>
          <w:rFonts w:hint="eastAsia" w:ascii="宋体" w:hAnsi="宋体" w:eastAsia="宋体" w:cs="宋体"/>
          <w:color w:val="auto"/>
          <w:kern w:val="0"/>
          <w:szCs w:val="21"/>
          <w:highlight w:val="none"/>
          <w:u w:val="single"/>
          <w:lang w:val="en-US" w:eastAsia="zh-CN"/>
        </w:rPr>
        <w:t>住房和城乡</w:t>
      </w:r>
      <w:r>
        <w:rPr>
          <w:rFonts w:hint="eastAsia" w:ascii="宋体" w:hAnsi="宋体" w:eastAsia="宋体" w:cs="宋体"/>
          <w:color w:val="auto"/>
          <w:kern w:val="0"/>
          <w:szCs w:val="21"/>
          <w:highlight w:val="none"/>
          <w:u w:val="single"/>
        </w:rPr>
        <w:t>建设委员会</w:t>
      </w:r>
      <w:r>
        <w:rPr>
          <w:rFonts w:hint="eastAsia" w:ascii="宋体" w:hAnsi="宋体" w:eastAsia="宋体" w:cs="宋体"/>
          <w:color w:val="auto"/>
          <w:kern w:val="0"/>
          <w:szCs w:val="21"/>
          <w:highlight w:val="none"/>
          <w:u w:val="single"/>
          <w:lang w:val="en-US" w:eastAsia="zh-CN"/>
        </w:rPr>
        <w:t>公布</w:t>
      </w:r>
      <w:r>
        <w:rPr>
          <w:rFonts w:hint="eastAsia" w:ascii="宋体" w:hAnsi="宋体" w:eastAsia="宋体" w:cs="宋体"/>
          <w:color w:val="auto"/>
          <w:kern w:val="0"/>
          <w:szCs w:val="21"/>
          <w:highlight w:val="none"/>
          <w:u w:val="single"/>
        </w:rPr>
        <w:t>的</w:t>
      </w:r>
      <w:r>
        <w:rPr>
          <w:rFonts w:hint="eastAsia" w:ascii="宋体" w:hAnsi="宋体" w:eastAsia="宋体" w:cs="宋体"/>
          <w:color w:val="auto"/>
          <w:kern w:val="0"/>
          <w:szCs w:val="21"/>
          <w:highlight w:val="none"/>
          <w:u w:val="single"/>
          <w:lang w:val="en-US" w:eastAsia="zh-CN"/>
        </w:rPr>
        <w:t>2024年第三季度</w:t>
      </w:r>
      <w:r>
        <w:rPr>
          <w:rFonts w:hint="eastAsia" w:ascii="宋体" w:hAnsi="宋体" w:eastAsia="宋体" w:cs="宋体"/>
          <w:color w:val="auto"/>
          <w:kern w:val="0"/>
          <w:szCs w:val="21"/>
          <w:highlight w:val="none"/>
          <w:u w:val="single"/>
        </w:rPr>
        <w:t>主要建筑材料价格信息</w:t>
      </w:r>
      <w:r>
        <w:rPr>
          <w:rFonts w:hint="eastAsia" w:ascii="宋体" w:hAnsi="宋体" w:eastAsia="宋体" w:cs="宋体"/>
          <w:color w:val="auto"/>
          <w:kern w:val="0"/>
          <w:szCs w:val="21"/>
          <w:highlight w:val="none"/>
          <w:u w:val="single"/>
          <w:lang w:eastAsia="zh-CN"/>
        </w:rPr>
        <w:t>和《</w:t>
      </w:r>
      <w:r>
        <w:rPr>
          <w:rFonts w:hint="eastAsia" w:ascii="宋体" w:hAnsi="宋体" w:eastAsia="宋体" w:cs="宋体"/>
          <w:color w:val="auto"/>
          <w:kern w:val="0"/>
          <w:szCs w:val="21"/>
          <w:highlight w:val="none"/>
          <w:u w:val="single"/>
        </w:rPr>
        <w:t>重庆工程造价信息》202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年第1期发布的</w:t>
      </w:r>
      <w:r>
        <w:rPr>
          <w:rFonts w:hint="eastAsia" w:ascii="宋体" w:hAnsi="宋体" w:eastAsia="宋体" w:cs="宋体"/>
          <w:color w:val="auto"/>
          <w:kern w:val="0"/>
          <w:szCs w:val="21"/>
          <w:highlight w:val="none"/>
          <w:u w:val="single"/>
          <w:lang w:val="en-US" w:eastAsia="zh-CN"/>
        </w:rPr>
        <w:t>2024年第三季度渝西片区</w:t>
      </w:r>
      <w:r>
        <w:rPr>
          <w:rFonts w:hint="eastAsia" w:ascii="宋体" w:hAnsi="宋体" w:eastAsia="宋体" w:cs="宋体"/>
          <w:color w:val="auto"/>
          <w:kern w:val="0"/>
          <w:szCs w:val="21"/>
          <w:highlight w:val="none"/>
          <w:u w:val="single"/>
        </w:rPr>
        <w:t>中没有的，承包人投标报价中有的，按承包人投标报价中相同材料单价的最低值执行；</w:t>
      </w:r>
    </w:p>
    <w:p w14:paraId="03F67714">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u w:val="single"/>
        </w:rPr>
      </w:pPr>
      <w:r>
        <w:rPr>
          <w:rFonts w:hint="eastAsia" w:ascii="宋体" w:hAnsi="宋体" w:cs="宋体"/>
          <w:kern w:val="0"/>
          <w:szCs w:val="21"/>
          <w:highlight w:val="none"/>
          <w:u w:val="none"/>
        </w:rPr>
        <w:t>③</w:t>
      </w:r>
      <w:r>
        <w:rPr>
          <w:rFonts w:hint="eastAsia" w:ascii="宋体" w:hAnsi="宋体" w:eastAsia="宋体" w:cs="宋体"/>
          <w:szCs w:val="28"/>
          <w:highlight w:val="none"/>
          <w:u w:val="single"/>
        </w:rPr>
        <w:t>南川区</w:t>
      </w:r>
      <w:r>
        <w:rPr>
          <w:rFonts w:hint="eastAsia" w:ascii="宋体" w:hAnsi="宋体" w:eastAsia="宋体" w:cs="宋体"/>
          <w:szCs w:val="28"/>
          <w:highlight w:val="none"/>
          <w:u w:val="single"/>
          <w:lang w:val="en-US" w:eastAsia="zh-CN"/>
        </w:rPr>
        <w:t>住房和城乡</w:t>
      </w:r>
      <w:r>
        <w:rPr>
          <w:rFonts w:hint="eastAsia" w:ascii="宋体" w:hAnsi="宋体" w:eastAsia="宋体" w:cs="宋体"/>
          <w:szCs w:val="28"/>
          <w:highlight w:val="none"/>
          <w:u w:val="single"/>
        </w:rPr>
        <w:t>建设委员会</w:t>
      </w:r>
      <w:r>
        <w:rPr>
          <w:rFonts w:hint="eastAsia" w:ascii="宋体" w:hAnsi="宋体" w:eastAsia="宋体" w:cs="宋体"/>
          <w:szCs w:val="28"/>
          <w:highlight w:val="none"/>
          <w:u w:val="single"/>
          <w:lang w:val="en-US" w:eastAsia="zh-CN"/>
        </w:rPr>
        <w:t>公布</w:t>
      </w:r>
      <w:r>
        <w:rPr>
          <w:rFonts w:hint="eastAsia" w:ascii="宋体" w:hAnsi="宋体" w:eastAsia="宋体" w:cs="宋体"/>
          <w:szCs w:val="28"/>
          <w:highlight w:val="none"/>
          <w:u w:val="single"/>
        </w:rPr>
        <w:t>的</w:t>
      </w:r>
      <w:r>
        <w:rPr>
          <w:rFonts w:hint="eastAsia" w:ascii="宋体" w:hAnsi="宋体" w:eastAsia="宋体" w:cs="宋体"/>
          <w:color w:val="auto"/>
          <w:szCs w:val="28"/>
          <w:highlight w:val="none"/>
          <w:u w:val="single"/>
          <w:lang w:val="en-US" w:eastAsia="zh-CN"/>
        </w:rPr>
        <w:t>2024年第三季度</w:t>
      </w:r>
      <w:r>
        <w:rPr>
          <w:rFonts w:hint="eastAsia" w:ascii="宋体" w:hAnsi="宋体" w:eastAsia="宋体" w:cs="宋体"/>
          <w:szCs w:val="28"/>
          <w:highlight w:val="none"/>
          <w:u w:val="single"/>
        </w:rPr>
        <w:t>主要建筑材料价格信息</w:t>
      </w:r>
      <w:r>
        <w:rPr>
          <w:rFonts w:hint="eastAsia" w:ascii="宋体" w:hAnsi="宋体" w:eastAsia="宋体" w:cs="宋体"/>
          <w:szCs w:val="28"/>
          <w:highlight w:val="none"/>
          <w:u w:val="single"/>
          <w:lang w:eastAsia="zh-CN"/>
        </w:rPr>
        <w:t>和</w:t>
      </w:r>
      <w:r>
        <w:rPr>
          <w:rFonts w:hint="eastAsia" w:ascii="宋体" w:hAnsi="宋体" w:eastAsia="宋体" w:cs="宋体"/>
          <w:kern w:val="0"/>
          <w:szCs w:val="21"/>
          <w:highlight w:val="none"/>
          <w:u w:val="single"/>
          <w:lang w:eastAsia="zh-CN"/>
        </w:rPr>
        <w:t>《</w:t>
      </w:r>
      <w:r>
        <w:rPr>
          <w:rFonts w:hint="eastAsia" w:ascii="宋体" w:hAnsi="宋体" w:eastAsia="宋体" w:cs="宋体"/>
          <w:kern w:val="0"/>
          <w:szCs w:val="21"/>
          <w:highlight w:val="none"/>
          <w:u w:val="single"/>
        </w:rPr>
        <w:t>重庆工程造价信息》202</w:t>
      </w:r>
      <w:r>
        <w:rPr>
          <w:rFonts w:hint="eastAsia" w:ascii="宋体" w:hAnsi="宋体" w:eastAsia="宋体" w:cs="宋体"/>
          <w:kern w:val="0"/>
          <w:szCs w:val="21"/>
          <w:highlight w:val="none"/>
          <w:u w:val="single"/>
          <w:lang w:val="en-US" w:eastAsia="zh-CN"/>
        </w:rPr>
        <w:t>5</w:t>
      </w:r>
      <w:r>
        <w:rPr>
          <w:rFonts w:hint="eastAsia" w:ascii="宋体" w:hAnsi="宋体" w:eastAsia="宋体" w:cs="宋体"/>
          <w:kern w:val="0"/>
          <w:szCs w:val="21"/>
          <w:highlight w:val="none"/>
          <w:u w:val="single"/>
        </w:rPr>
        <w:t>年第1期发布的</w:t>
      </w:r>
      <w:r>
        <w:rPr>
          <w:rFonts w:hint="eastAsia" w:ascii="宋体" w:hAnsi="宋体" w:eastAsia="宋体" w:cs="宋体"/>
          <w:color w:val="auto"/>
          <w:szCs w:val="28"/>
          <w:highlight w:val="none"/>
          <w:u w:val="single"/>
          <w:lang w:val="en-US" w:eastAsia="zh-CN"/>
        </w:rPr>
        <w:t>2024年第三季度度渝西片区</w:t>
      </w:r>
      <w:r>
        <w:rPr>
          <w:rFonts w:hint="eastAsia" w:ascii="宋体" w:hAnsi="宋体" w:eastAsia="宋体" w:cs="宋体"/>
          <w:kern w:val="0"/>
          <w:szCs w:val="21"/>
          <w:highlight w:val="none"/>
          <w:u w:val="single"/>
        </w:rPr>
        <w:t>和承包人投标报价没有的，由承包人申报、监理人会同跟审单位、发包人根据市场行情认质核价确定。</w:t>
      </w:r>
    </w:p>
    <w:p w14:paraId="390DFAF6">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本款补充15.4.4、15.4.5项如下：</w:t>
      </w:r>
    </w:p>
    <w:p w14:paraId="3A6EEF55">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rPr>
        <w:t>15.4.4</w:t>
      </w:r>
      <w:r>
        <w:rPr>
          <w:rFonts w:hint="eastAsia" w:ascii="宋体" w:hAnsi="宋体" w:eastAsia="宋体" w:cs="宋体"/>
          <w:kern w:val="0"/>
          <w:szCs w:val="21"/>
          <w:highlight w:val="none"/>
          <w:u w:val="single"/>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14:paraId="60E23D1F">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15.4.5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041636BD">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rPr>
        <w:t>（1）</w:t>
      </w:r>
      <w:r>
        <w:rPr>
          <w:rFonts w:hint="eastAsia" w:ascii="宋体" w:hAnsi="宋体" w:eastAsia="宋体" w:cs="宋体"/>
          <w:kern w:val="0"/>
          <w:szCs w:val="21"/>
          <w:highlight w:val="none"/>
        </w:rPr>
        <w:t>安全生产费应按照实际发生变化的工程项目依据按照财政部安全监督总局关于印发《企业安全生产费用提取和使用管理办法》的通知（财企</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2012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16号）要求和重庆市水利局办公室文件《重庆市水利局办公室关于进一步加强水利工程安全文明施工管理的通知》（渝水办建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2021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1号）的规定，按变更后建筑安装工程项目总造价（不含设备费）的2.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%标准计提安全生产费用；</w:t>
      </w:r>
    </w:p>
    <w:p w14:paraId="1D37AC74">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（2）按总价（或系数）计算的临时工程费，应按照实际发生变化的临时工程费按承包人报价浮动率下浮后的金额计算；</w:t>
      </w:r>
    </w:p>
    <w:p w14:paraId="3156D929">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（3）如果承包人未事前将拟实施的方案提交给发包人确认，则应视为工程变更不引起安全生产费和临时工程费的调整或承包人放弃调整该项费用的权利。</w:t>
      </w:r>
    </w:p>
    <w:p w14:paraId="782514D7">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bookmarkStart w:id="226" w:name="_Toc33183758"/>
      <w:r>
        <w:rPr>
          <w:rFonts w:hint="eastAsia" w:ascii="宋体" w:hAnsi="宋体" w:eastAsia="宋体" w:cs="宋体"/>
          <w:kern w:val="0"/>
          <w:szCs w:val="21"/>
          <w:highlight w:val="none"/>
        </w:rPr>
        <w:t>15.5承包人的合理化建议</w:t>
      </w:r>
      <w:bookmarkEnd w:id="226"/>
    </w:p>
    <w:p w14:paraId="3364DDCF">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15.5.1 承包人提出合理化建议的，应向监理人提交合理化建议说明，说明建议的内容和理由，以及实施该建议对合同价格和（或）工期和（或）工程经济效益的影响。</w:t>
      </w:r>
    </w:p>
    <w:p w14:paraId="32D55206">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监理人审查承包人合理化建议的期限：不超过14天。</w:t>
      </w:r>
    </w:p>
    <w:p w14:paraId="26B10806">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发包人审批承包人合理化建议的期限：不超过14天。</w:t>
      </w:r>
    </w:p>
    <w:p w14:paraId="4B56059C">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eastAsia="宋体" w:cs="宋体"/>
          <w:kern w:val="0"/>
          <w:szCs w:val="21"/>
          <w:highlight w:val="none"/>
        </w:rPr>
        <w:t xml:space="preserve">15.5.2 </w:t>
      </w:r>
      <w:bookmarkEnd w:id="223"/>
      <w:bookmarkStart w:id="227" w:name="_Toc221951219"/>
      <w:r>
        <w:rPr>
          <w:rFonts w:hint="eastAsia" w:ascii="宋体" w:hAnsi="宋体" w:eastAsia="宋体" w:cs="宋体"/>
          <w:kern w:val="0"/>
          <w:szCs w:val="21"/>
          <w:highlight w:val="none"/>
        </w:rPr>
        <w:t>承包人提出的合理化建议降低了合同价格或缩短了工期或者提高了工</w:t>
      </w:r>
      <w:r>
        <w:rPr>
          <w:rFonts w:hint="eastAsia" w:ascii="宋体" w:hAnsi="宋体" w:cs="宋体"/>
          <w:kern w:val="0"/>
          <w:szCs w:val="21"/>
          <w:highlight w:val="none"/>
        </w:rPr>
        <w:t>程经济效益的奖励的方法和金额为：</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w:t>
      </w:r>
    </w:p>
    <w:bookmarkEnd w:id="227"/>
    <w:p w14:paraId="1BA110E3">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bookmarkStart w:id="228" w:name="_Toc221951221"/>
      <w:r>
        <w:rPr>
          <w:rFonts w:hint="eastAsia" w:ascii="宋体" w:hAnsi="宋体" w:eastAsia="宋体" w:cs="宋体"/>
          <w:kern w:val="0"/>
          <w:szCs w:val="21"/>
          <w:highlight w:val="none"/>
        </w:rPr>
        <w:t>15.6暂列金额</w:t>
      </w:r>
    </w:p>
    <w:p w14:paraId="630900C0">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合同当事人关于暂列金额使用的约定：</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w:t>
      </w:r>
    </w:p>
    <w:p w14:paraId="79BEA97B">
      <w:pPr>
        <w:pageBreakBefore w:val="0"/>
        <w:kinsoku/>
        <w:overflowPunct/>
        <w:topLinePunct w:val="0"/>
        <w:bidi w:val="0"/>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15.8  暂估价</w:t>
      </w:r>
      <w:bookmarkEnd w:id="228"/>
    </w:p>
    <w:p w14:paraId="0FA1B498">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bookmarkStart w:id="229" w:name="_Toc221951222"/>
      <w:r>
        <w:rPr>
          <w:rFonts w:hint="eastAsia" w:ascii="宋体" w:hAnsi="宋体" w:cs="宋体"/>
          <w:color w:val="auto"/>
          <w:kern w:val="0"/>
          <w:szCs w:val="21"/>
          <w:highlight w:val="none"/>
        </w:rPr>
        <w:t>15.8.1（1）发包人和承包人组织招标的暂估价项目：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；发包人组织招标的暂估价项目：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EE50ED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（2）发包人和承包人以招标方式选择暂估价项目供应商或分包人时，双方的权利义务关系</w:t>
      </w:r>
      <w:r>
        <w:rPr>
          <w:rFonts w:hint="eastAsia" w:ascii="宋体" w:hAnsi="宋体" w:cs="宋体"/>
          <w:kern w:val="0"/>
          <w:szCs w:val="21"/>
          <w:highlight w:val="none"/>
          <w:lang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7C12FE6C">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2D365A07">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单项合同暂估价在国家相关法律法规规定必须招标规模以上的，需依法必须招标的，由承包人、发包人共同招标确定。</w:t>
      </w:r>
    </w:p>
    <w:bookmarkEnd w:id="229"/>
    <w:p w14:paraId="0569E33F">
      <w:pPr>
        <w:pageBreakBefore w:val="0"/>
        <w:kinsoku/>
        <w:overflowPunct/>
        <w:topLinePunct w:val="0"/>
        <w:bidi w:val="0"/>
        <w:spacing w:line="360" w:lineRule="auto"/>
        <w:ind w:firstLine="422" w:firstLineChars="200"/>
        <w:jc w:val="left"/>
        <w:rPr>
          <w:rFonts w:hint="eastAsia" w:ascii="宋体" w:hAnsi="宋体" w:cs="宋体"/>
          <w:b/>
          <w:bCs/>
          <w:kern w:val="0"/>
          <w:szCs w:val="21"/>
          <w:highlight w:val="none"/>
        </w:rPr>
      </w:pPr>
      <w:bookmarkStart w:id="230" w:name="_Toc12983"/>
      <w:bookmarkStart w:id="231" w:name="_Toc229305397"/>
      <w:bookmarkStart w:id="232" w:name="_Toc33183759"/>
      <w:bookmarkStart w:id="233" w:name="_Toc59810419"/>
      <w:bookmarkStart w:id="234" w:name="_Toc136350399"/>
      <w:r>
        <w:rPr>
          <w:rFonts w:hint="eastAsia" w:ascii="宋体" w:hAnsi="宋体" w:cs="宋体"/>
          <w:b/>
          <w:bCs/>
          <w:sz w:val="21"/>
          <w:szCs w:val="21"/>
          <w:highlight w:val="none"/>
        </w:rPr>
        <w:t>16</w:t>
      </w:r>
      <w:r>
        <w:rPr>
          <w:rFonts w:hint="eastAsia" w:ascii="宋体" w:hAnsi="宋体" w:cs="宋体"/>
          <w:b/>
          <w:bCs/>
          <w:kern w:val="0"/>
          <w:szCs w:val="21"/>
          <w:highlight w:val="none"/>
        </w:rPr>
        <w:t>.价格调整</w:t>
      </w:r>
      <w:bookmarkEnd w:id="230"/>
      <w:bookmarkEnd w:id="231"/>
      <w:bookmarkEnd w:id="232"/>
      <w:bookmarkEnd w:id="233"/>
      <w:bookmarkEnd w:id="234"/>
    </w:p>
    <w:p w14:paraId="014C7420">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物价波动原因是否调整合同价格的约定：</w:t>
      </w:r>
      <w:r>
        <w:rPr>
          <w:rFonts w:hint="eastAsia" w:ascii="宋体" w:hAnsi="宋体" w:cs="宋体"/>
          <w:kern w:val="0"/>
          <w:szCs w:val="21"/>
          <w:highlight w:val="none"/>
          <w:u w:val="single"/>
        </w:rPr>
        <w:t>不予调整</w:t>
      </w:r>
      <w:r>
        <w:rPr>
          <w:rFonts w:hint="eastAsia" w:ascii="宋体" w:hAnsi="宋体" w:cs="宋体"/>
          <w:kern w:val="0"/>
          <w:szCs w:val="21"/>
          <w:highlight w:val="none"/>
        </w:rPr>
        <w:t>。</w:t>
      </w:r>
    </w:p>
    <w:p w14:paraId="061F1084">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bookmarkStart w:id="235" w:name="_Toc33183760"/>
      <w:r>
        <w:rPr>
          <w:rFonts w:hint="eastAsia" w:ascii="宋体" w:hAnsi="宋体" w:cs="宋体"/>
          <w:kern w:val="0"/>
          <w:szCs w:val="21"/>
          <w:highlight w:val="none"/>
        </w:rPr>
        <w:t>16.1 物价波动引起的价格调整</w:t>
      </w:r>
      <w:bookmarkEnd w:id="235"/>
    </w:p>
    <w:p w14:paraId="2F5A0AD4">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物价波动引起的价格调整方式： </w:t>
      </w:r>
      <w:r>
        <w:rPr>
          <w:rFonts w:hint="eastAsia" w:ascii="宋体" w:hAnsi="宋体" w:cs="宋体"/>
          <w:kern w:val="0"/>
          <w:szCs w:val="21"/>
          <w:highlight w:val="none"/>
          <w:u w:val="single"/>
        </w:rPr>
        <w:t>不因物价波动作任何调整</w:t>
      </w:r>
      <w:r>
        <w:rPr>
          <w:rFonts w:hint="eastAsia" w:ascii="宋体" w:hAnsi="宋体" w:cs="宋体"/>
          <w:kern w:val="0"/>
          <w:szCs w:val="21"/>
          <w:highlight w:val="none"/>
        </w:rPr>
        <w:t xml:space="preserve"> 。</w:t>
      </w:r>
    </w:p>
    <w:p w14:paraId="56FC3253">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16.2 法律变化引起的调整</w:t>
      </w:r>
    </w:p>
    <w:p w14:paraId="21107253">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14:paraId="32644420">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本条补充16.3款如下;</w:t>
      </w:r>
    </w:p>
    <w:p w14:paraId="1B9F238C">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16.3 严重不平衡报价引起的调整</w:t>
      </w:r>
    </w:p>
    <w:p w14:paraId="19B81547">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u w:val="single"/>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15.4.3项〔变更的估价原则〕约定执行。</w:t>
      </w:r>
    </w:p>
    <w:p w14:paraId="30F0BBF3">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u w:val="single"/>
        </w:rPr>
        <w:t>严重不平衡报价是指：清单子目综合单价与发包人按照第15.4.3项〔变更的估价原则〕目约定确定的综合单价相比高于50%的报价，即为“【严重不平衡报价清单子目综合单价 - 按照第15.4.3项〔变更的估价原则〕约定确定的综合单价】/按照第15.4.3项〔变更的估价原则〕目约定确定的综合单价×100%”。</w:t>
      </w:r>
    </w:p>
    <w:p w14:paraId="0F7C5AFE">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16.4 因算术性错误导致的价格调整</w:t>
      </w:r>
    </w:p>
    <w:p w14:paraId="4FDFAAB7">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发包人在合同签订前将对承包人“已标价工程量清单”进行复核，若出现差错的按以下原则进行处理（或结算）：</w:t>
      </w:r>
    </w:p>
    <w:p w14:paraId="57EB3E58">
      <w:pPr>
        <w:pageBreakBefore w:val="0"/>
        <w:kinsoku/>
        <w:overflowPunct/>
        <w:topLinePunct w:val="0"/>
        <w:bidi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投标总报价汇总计算结果与投标函总报价不一致时，按就低不就高原则进行修正，即：汇总计算结果高于投标函总报价则以投标函总报价为准，按汇总计算结果与投标函总报价相比的降低幅度同比例修正分组报价和各清单子目单价；汇总计算结果低于投标函总报价则以投标总报价汇总计算结果为准进行签约或结算；</w:t>
      </w:r>
    </w:p>
    <w:p w14:paraId="3ACA850A">
      <w:pPr>
        <w:pStyle w:val="2"/>
        <w:pageBreakBefore w:val="0"/>
        <w:kinsoku/>
        <w:overflowPunct/>
        <w:topLinePunct w:val="0"/>
        <w:bidi w:val="0"/>
        <w:spacing w:line="360" w:lineRule="auto"/>
        <w:ind w:firstLine="420" w:firstLineChars="200"/>
        <w:rPr>
          <w:rFonts w:ascii="宋体" w:hAnsi="宋体" w:cs="宋体"/>
          <w:szCs w:val="21"/>
          <w:highlight w:val="none"/>
        </w:rPr>
      </w:pPr>
      <w:r>
        <w:rPr>
          <w:rFonts w:hint="eastAsia" w:ascii="宋体" w:hAnsi="宋体" w:cs="宋体"/>
          <w:szCs w:val="21"/>
          <w:highlight w:val="none"/>
        </w:rPr>
        <w:t>（2）依据单价和数量计算结果与其合价不符的，按不利于投标人原则（就低不就高）对其单价和合价进行修正。</w:t>
      </w:r>
    </w:p>
    <w:p w14:paraId="52A6566E">
      <w:pPr>
        <w:pStyle w:val="2"/>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（3）单价报价超过工程量清单综合单价最高限价的，以工程量清单综合单价最高限价为基础，按照中标总报价与总价最高限价的下浮比例进行同比例下调修正其单价和合价。</w:t>
      </w:r>
    </w:p>
    <w:p w14:paraId="56F1DC26">
      <w:pPr>
        <w:pStyle w:val="2"/>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szCs w:val="21"/>
          <w:highlight w:val="none"/>
        </w:rPr>
      </w:pPr>
      <w:r>
        <w:rPr>
          <w:rFonts w:hint="eastAsia" w:ascii="宋体" w:hAnsi="宋体" w:cs="宋体"/>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14:paraId="44A6341E">
      <w:pPr>
        <w:pStyle w:val="2"/>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szCs w:val="21"/>
          <w:highlight w:val="none"/>
        </w:rPr>
      </w:pPr>
      <w:r>
        <w:rPr>
          <w:rFonts w:hint="eastAsia" w:ascii="宋体" w:hAnsi="宋体" w:cs="宋体"/>
          <w:szCs w:val="21"/>
          <w:highlight w:val="none"/>
        </w:rPr>
        <w:t>上述内容，承包人必须无条件接受，否则按承包人违约处理。</w:t>
      </w:r>
    </w:p>
    <w:p w14:paraId="1CEFC1F2">
      <w:pPr>
        <w:pStyle w:val="2"/>
        <w:pageBreakBefore w:val="0"/>
        <w:widowControl/>
        <w:kinsoku/>
        <w:wordWrap/>
        <w:overflowPunct/>
        <w:topLinePunct w:val="0"/>
        <w:autoSpaceDE/>
        <w:autoSpaceDN/>
        <w:bidi w:val="0"/>
        <w:adjustRightInd/>
        <w:snapToGrid/>
        <w:spacing w:after="0" w:line="360" w:lineRule="auto"/>
        <w:ind w:firstLine="422" w:firstLineChars="200"/>
        <w:textAlignment w:val="baseline"/>
        <w:rPr>
          <w:rFonts w:hint="eastAsia" w:ascii="宋体" w:hAnsi="宋体" w:cs="宋体"/>
          <w:b/>
          <w:bCs/>
          <w:szCs w:val="21"/>
          <w:highlight w:val="none"/>
        </w:rPr>
      </w:pPr>
      <w:bookmarkStart w:id="236" w:name="_Toc222029540"/>
      <w:bookmarkStart w:id="237" w:name="_Toc33183761"/>
      <w:bookmarkStart w:id="238" w:name="_Toc16403"/>
      <w:bookmarkStart w:id="239" w:name="_Toc222033891"/>
      <w:bookmarkStart w:id="240" w:name="_Toc59810420"/>
      <w:bookmarkStart w:id="241" w:name="_Toc136350400"/>
      <w:bookmarkStart w:id="242" w:name="_Toc222032709"/>
      <w:bookmarkStart w:id="243" w:name="_Toc221951223"/>
      <w:bookmarkStart w:id="244" w:name="_Toc229305398"/>
      <w:bookmarkStart w:id="245" w:name="_Toc222031042"/>
      <w:r>
        <w:rPr>
          <w:rFonts w:hint="eastAsia" w:ascii="宋体" w:hAnsi="宋体" w:cs="宋体"/>
          <w:b/>
          <w:bCs/>
          <w:szCs w:val="21"/>
          <w:highlight w:val="none"/>
        </w:rPr>
        <w:t>17.计量与支付</w:t>
      </w:r>
      <w:bookmarkEnd w:id="236"/>
      <w:bookmarkEnd w:id="237"/>
      <w:bookmarkEnd w:id="238"/>
      <w:bookmarkEnd w:id="239"/>
      <w:bookmarkEnd w:id="240"/>
      <w:bookmarkEnd w:id="241"/>
      <w:bookmarkEnd w:id="242"/>
      <w:bookmarkEnd w:id="243"/>
      <w:bookmarkEnd w:id="244"/>
      <w:bookmarkEnd w:id="245"/>
    </w:p>
    <w:p w14:paraId="675BCAC4">
      <w:pPr>
        <w:pStyle w:val="2"/>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szCs w:val="21"/>
          <w:highlight w:val="none"/>
        </w:rPr>
      </w:pPr>
      <w:bookmarkStart w:id="246" w:name="_Toc33183762"/>
      <w:bookmarkStart w:id="247" w:name="_Toc221951224"/>
      <w:r>
        <w:rPr>
          <w:rFonts w:hint="eastAsia" w:ascii="宋体" w:hAnsi="宋体" w:cs="宋体"/>
          <w:szCs w:val="21"/>
          <w:highlight w:val="none"/>
        </w:rPr>
        <w:t>17.1 计量</w:t>
      </w:r>
      <w:bookmarkEnd w:id="246"/>
    </w:p>
    <w:p w14:paraId="393DC31E">
      <w:pPr>
        <w:pStyle w:val="2"/>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szCs w:val="21"/>
          <w:highlight w:val="none"/>
        </w:rPr>
      </w:pPr>
      <w:r>
        <w:rPr>
          <w:rFonts w:hint="eastAsia" w:ascii="宋体" w:hAnsi="宋体" w:cs="宋体"/>
          <w:szCs w:val="21"/>
          <w:highlight w:val="none"/>
        </w:rPr>
        <w:t>17.1.2 计量方法</w:t>
      </w:r>
    </w:p>
    <w:p w14:paraId="6615E94D">
      <w:pPr>
        <w:pageBreakBefore w:val="0"/>
        <w:tabs>
          <w:tab w:val="left" w:pos="1134"/>
        </w:tabs>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工程量</w:t>
      </w:r>
      <w:r>
        <w:rPr>
          <w:rFonts w:hint="eastAsia" w:ascii="宋体" w:hAnsi="宋体" w:cs="宋体"/>
          <w:kern w:val="0"/>
          <w:szCs w:val="21"/>
          <w:highlight w:val="none"/>
          <w:u w:val="single"/>
        </w:rPr>
        <w:t>按《水利水电工程设计工程量计算规定》（SL 328-2005）、《重庆市水利工程设计概（估）算 编制规定》（2021年版）、《重庆市水利建筑工程预算定额》（2021年版）、《重庆市水利工程机械台时费定额》（2021年版）及《重庆市中小型水利水电设备安装工程预算定额》（2008年版）等</w:t>
      </w:r>
      <w:r>
        <w:rPr>
          <w:rFonts w:hint="eastAsia" w:ascii="宋体" w:hAnsi="宋体" w:cs="宋体"/>
          <w:kern w:val="0"/>
          <w:szCs w:val="21"/>
          <w:highlight w:val="none"/>
        </w:rPr>
        <w:t>规定的计算规则及已标价工程量清单规定的工程量计算规则计量。</w:t>
      </w:r>
    </w:p>
    <w:p w14:paraId="42FBD7AD">
      <w:pPr>
        <w:pageBreakBefore w:val="0"/>
        <w:tabs>
          <w:tab w:val="left" w:pos="1134"/>
        </w:tabs>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17.1.3 计量周期</w:t>
      </w:r>
    </w:p>
    <w:p w14:paraId="374C0D2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关于计量周期的约定：</w:t>
      </w:r>
      <w:r>
        <w:rPr>
          <w:rFonts w:hint="eastAsia" w:ascii="宋体" w:hAnsi="宋体"/>
          <w:szCs w:val="21"/>
          <w:highlight w:val="none"/>
          <w:u w:val="single"/>
        </w:rPr>
        <w:t>按</w:t>
      </w:r>
      <w:r>
        <w:rPr>
          <w:rFonts w:hint="eastAsia" w:ascii="宋体" w:hAnsi="宋体" w:cs="宋体"/>
          <w:kern w:val="0"/>
          <w:szCs w:val="21"/>
          <w:highlight w:val="none"/>
          <w:u w:val="single"/>
        </w:rPr>
        <w:t>月</w:t>
      </w:r>
      <w:r>
        <w:rPr>
          <w:rFonts w:hint="eastAsia" w:ascii="宋体" w:hAnsi="宋体" w:cs="宋体"/>
          <w:kern w:val="0"/>
          <w:szCs w:val="21"/>
          <w:highlight w:val="none"/>
          <w:u w:val="single"/>
          <w:lang w:eastAsia="zh-CN"/>
        </w:rPr>
        <w:t>或季度</w:t>
      </w:r>
      <w:r>
        <w:rPr>
          <w:rFonts w:hint="eastAsia" w:ascii="宋体" w:hAnsi="宋体"/>
          <w:szCs w:val="21"/>
          <w:highlight w:val="none"/>
          <w:u w:val="single"/>
        </w:rPr>
        <w:t>计量</w:t>
      </w:r>
      <w:r>
        <w:rPr>
          <w:rFonts w:hint="eastAsia" w:ascii="宋体" w:hAnsi="宋体" w:cs="宋体"/>
          <w:kern w:val="0"/>
          <w:szCs w:val="21"/>
          <w:highlight w:val="none"/>
        </w:rPr>
        <w:t>。</w:t>
      </w:r>
    </w:p>
    <w:p w14:paraId="47D3CB3A">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17.1.4 单价子目的计量</w:t>
      </w:r>
    </w:p>
    <w:p w14:paraId="5ACC9ED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本项补充17.1.4.1、17.1.4.2目如下：</w:t>
      </w:r>
    </w:p>
    <w:p w14:paraId="2E0E6D8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17.1.4.1单价子目</w:t>
      </w:r>
    </w:p>
    <w:p w14:paraId="05DA46D2">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单价子目包含的风险范围：</w:t>
      </w:r>
      <w:r>
        <w:rPr>
          <w:rFonts w:hint="eastAsia" w:ascii="宋体" w:hAnsi="宋体" w:cs="宋体"/>
          <w:kern w:val="0"/>
          <w:szCs w:val="21"/>
          <w:highlight w:val="none"/>
          <w:u w:val="single"/>
        </w:rPr>
        <w:t>除第16条〔价格调整〕约定范围外的市场价格波动风险、政策性文件规定的各项应有费用、招标文件和合同明示或暗示的应由承包人承担的所有责任、义务和风险等所需的费用，包括但不限于为实施和完成合同工程所需的人工费、材料费、施工机械费、其他费用、其它直接费、间接费、利润、价差、税金及缺陷修复等费用</w:t>
      </w:r>
      <w:r>
        <w:rPr>
          <w:rFonts w:hint="eastAsia" w:ascii="宋体" w:hAnsi="宋体" w:cs="宋体"/>
          <w:kern w:val="0"/>
          <w:szCs w:val="21"/>
          <w:highlight w:val="none"/>
        </w:rPr>
        <w:t>。</w:t>
      </w:r>
    </w:p>
    <w:p w14:paraId="719635E6">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风险费用的计算方法：</w:t>
      </w:r>
      <w:r>
        <w:rPr>
          <w:rFonts w:hint="eastAsia" w:ascii="宋体" w:hAnsi="宋体" w:cs="宋体"/>
          <w:kern w:val="0"/>
          <w:szCs w:val="21"/>
          <w:highlight w:val="none"/>
          <w:u w:val="single"/>
        </w:rPr>
        <w:t>除第16条〔价格调整〕约定范围外，由承包人自行综合考虑并计入单价子目价格中，包干使用</w:t>
      </w:r>
      <w:r>
        <w:rPr>
          <w:rFonts w:hint="eastAsia" w:ascii="宋体" w:hAnsi="宋体" w:cs="宋体"/>
          <w:kern w:val="0"/>
          <w:szCs w:val="21"/>
          <w:highlight w:val="none"/>
        </w:rPr>
        <w:t>。</w:t>
      </w:r>
    </w:p>
    <w:p w14:paraId="5A10D399">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风险范围以外合同价格的调整方法：</w:t>
      </w:r>
      <w:r>
        <w:rPr>
          <w:rFonts w:hint="eastAsia" w:ascii="宋体" w:hAnsi="宋体" w:cs="宋体"/>
          <w:kern w:val="0"/>
          <w:szCs w:val="21"/>
          <w:highlight w:val="none"/>
          <w:u w:val="single"/>
        </w:rPr>
        <w:t>按照第16条〔价格调整〕约定执行</w:t>
      </w:r>
      <w:r>
        <w:rPr>
          <w:rFonts w:hint="eastAsia" w:ascii="宋体" w:hAnsi="宋体" w:cs="宋体"/>
          <w:kern w:val="0"/>
          <w:szCs w:val="21"/>
          <w:highlight w:val="none"/>
        </w:rPr>
        <w:t>。</w:t>
      </w:r>
    </w:p>
    <w:p w14:paraId="476BBB3F">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17.1.4.2关于单价合同计量的约定</w:t>
      </w:r>
    </w:p>
    <w:p w14:paraId="2B4244D1">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u w:val="single"/>
        </w:rPr>
        <w:t>（1）承包人应于当月</w:t>
      </w:r>
      <w:r>
        <w:rPr>
          <w:rFonts w:hint="eastAsia" w:ascii="宋体" w:hAnsi="宋体" w:cs="宋体"/>
          <w:kern w:val="0"/>
          <w:szCs w:val="21"/>
          <w:highlight w:val="none"/>
          <w:u w:val="single"/>
          <w:lang w:val="en-US" w:eastAsia="zh-CN"/>
        </w:rPr>
        <w:t>25</w:t>
      </w:r>
      <w:r>
        <w:rPr>
          <w:rFonts w:hint="eastAsia" w:ascii="宋体" w:hAnsi="宋体" w:cs="宋体"/>
          <w:kern w:val="0"/>
          <w:szCs w:val="21"/>
          <w:highlight w:val="none"/>
          <w:u w:val="single"/>
        </w:rPr>
        <w:t>日前向监理人报送上月已完成的工程量，并附进度付款申请单、已完成工程量报表和其他有关资料。</w:t>
      </w:r>
    </w:p>
    <w:p w14:paraId="5DBD518C">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u w:val="single"/>
        </w:rPr>
        <w:t>（2）承包人未在已标价的工程量清单中填入单价和（或）总价的子目，视为该子目的费用已包含合同工程的其他子目的单价或总价中，不再另行计量支付。</w:t>
      </w:r>
    </w:p>
    <w:p w14:paraId="50423C41">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6DB59445">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u w:val="single"/>
        </w:rPr>
        <w:t>（4）工程量的计量仅作为进度付款和工程施工进度控制的依据，不应认为是承包人履行合同义务完成工程的实际和准确的工程量，实际和准确工程量按完（竣）工图和第17.1.2项〔计量方法〕约定确认的工程量为准。</w:t>
      </w:r>
    </w:p>
    <w:p w14:paraId="0D559F44">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17.1.5 总价子目的计量</w:t>
      </w:r>
    </w:p>
    <w:p w14:paraId="2466C51A">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本项补充17.1.5.1、17.1.5.2目如下：</w:t>
      </w:r>
    </w:p>
    <w:p w14:paraId="063C322E">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17.1.5.1总价子目</w:t>
      </w:r>
    </w:p>
    <w:p w14:paraId="4900BB7A">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总价子目包含的风险范围：</w:t>
      </w:r>
      <w:r>
        <w:rPr>
          <w:rFonts w:hint="eastAsia" w:ascii="宋体" w:hAnsi="宋体" w:cs="宋体"/>
          <w:kern w:val="0"/>
          <w:szCs w:val="21"/>
          <w:highlight w:val="none"/>
          <w:u w:val="single"/>
        </w:rPr>
        <w:t>包括但不限于为实施和完成合同工程所需的人工费、材料费、施工机械费、其他费用、其它直接费、间接费、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14:paraId="314862D3">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风险费用的计算方法：</w:t>
      </w:r>
      <w:r>
        <w:rPr>
          <w:rFonts w:hint="eastAsia" w:ascii="宋体" w:hAnsi="宋体" w:cs="宋体"/>
          <w:kern w:val="0"/>
          <w:szCs w:val="21"/>
          <w:highlight w:val="none"/>
          <w:u w:val="single"/>
        </w:rPr>
        <w:t>由承包人自行考虑并计入签约合同价格中，包干使用。</w:t>
      </w:r>
    </w:p>
    <w:p w14:paraId="406E9202">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风险范围以外合同价格的调整方法：</w:t>
      </w:r>
      <w:r>
        <w:rPr>
          <w:rFonts w:hint="eastAsia" w:ascii="宋体" w:hAnsi="宋体" w:cs="宋体"/>
          <w:kern w:val="0"/>
          <w:szCs w:val="21"/>
          <w:highlight w:val="none"/>
          <w:u w:val="single"/>
        </w:rPr>
        <w:t>除本合同第15条（变更）约定的价格调整外，其余不作调整。</w:t>
      </w:r>
    </w:p>
    <w:p w14:paraId="6760A4B9">
      <w:pPr>
        <w:pageBreakBefore w:val="0"/>
        <w:kinsoku/>
        <w:overflowPunct/>
        <w:topLinePunct w:val="0"/>
        <w:bidi w:val="0"/>
        <w:spacing w:line="360" w:lineRule="auto"/>
        <w:ind w:firstLine="420" w:firstLineChars="200"/>
        <w:jc w:val="left"/>
        <w:rPr>
          <w:rFonts w:ascii="宋体" w:hAnsi="宋体" w:cs="宋体"/>
          <w:szCs w:val="21"/>
          <w:highlight w:val="none"/>
          <w:u w:val="single"/>
        </w:rPr>
      </w:pPr>
      <w:r>
        <w:rPr>
          <w:rFonts w:hint="eastAsia" w:ascii="宋体" w:hAnsi="宋体" w:cs="宋体"/>
          <w:kern w:val="0"/>
          <w:szCs w:val="21"/>
          <w:highlight w:val="none"/>
        </w:rPr>
        <w:t>17.1.5.2关于总价合同计量的约定：</w:t>
      </w:r>
      <w:r>
        <w:rPr>
          <w:rFonts w:hint="eastAsia" w:ascii="宋体" w:hAnsi="宋体" w:cs="宋体"/>
          <w:szCs w:val="21"/>
          <w:highlight w:val="none"/>
          <w:u w:val="single"/>
        </w:rPr>
        <w:t>承包人应按批准的各总价子目支付周期，以确定分阶段实际完成的工程量和工程形象目标，并对已完成的总价子目进行计量，从而确定分项的应付金额列入进度付款申请单中。</w:t>
      </w:r>
    </w:p>
    <w:p w14:paraId="66A0188F">
      <w:pPr>
        <w:pStyle w:val="2"/>
        <w:pageBreakBefore w:val="0"/>
        <w:kinsoku/>
        <w:overflowPunct/>
        <w:topLinePunct w:val="0"/>
        <w:bidi w:val="0"/>
        <w:spacing w:line="360" w:lineRule="auto"/>
        <w:ind w:firstLine="420" w:firstLineChars="200"/>
        <w:rPr>
          <w:highlight w:val="none"/>
        </w:rPr>
      </w:pPr>
      <w:r>
        <w:rPr>
          <w:rFonts w:hint="eastAsia" w:ascii="宋体" w:hAnsi="宋体" w:cs="宋体"/>
          <w:szCs w:val="21"/>
          <w:highlight w:val="none"/>
          <w:u w:val="single"/>
        </w:rPr>
        <w:t>本款补充17.1.6项如下：</w:t>
      </w:r>
    </w:p>
    <w:p w14:paraId="611C151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17.1.6 其他价格形式合同的计量</w:t>
      </w:r>
    </w:p>
    <w:p w14:paraId="322551BD">
      <w:pPr>
        <w:pageBreakBefore w:val="0"/>
        <w:kinsoku/>
        <w:overflowPunct/>
        <w:topLinePunct w:val="0"/>
        <w:bidi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其他价格形式的计量方式和程序：</w:t>
      </w:r>
      <w:r>
        <w:rPr>
          <w:rFonts w:hint="eastAsia" w:ascii="宋体" w:hAnsi="宋体" w:cs="宋体"/>
          <w:kern w:val="0"/>
          <w:szCs w:val="21"/>
          <w:highlight w:val="none"/>
          <w:u w:val="single"/>
        </w:rPr>
        <w:t xml:space="preserve"> 不采用 </w:t>
      </w:r>
      <w:r>
        <w:rPr>
          <w:rFonts w:hint="eastAsia" w:ascii="宋体" w:hAnsi="宋体" w:cs="宋体"/>
          <w:kern w:val="0"/>
          <w:szCs w:val="21"/>
          <w:highlight w:val="none"/>
        </w:rPr>
        <w:t>。</w:t>
      </w:r>
    </w:p>
    <w:p w14:paraId="559E239F">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48" w:name="_Toc33183763"/>
      <w:r>
        <w:rPr>
          <w:rFonts w:hint="eastAsia" w:ascii="宋体" w:hAnsi="宋体" w:cs="宋体"/>
          <w:szCs w:val="21"/>
          <w:highlight w:val="none"/>
        </w:rPr>
        <w:t>17.2  预付款</w:t>
      </w:r>
      <w:bookmarkEnd w:id="247"/>
      <w:bookmarkEnd w:id="248"/>
    </w:p>
    <w:p w14:paraId="6A416F1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bookmarkStart w:id="249" w:name="_Toc221951226"/>
      <w:r>
        <w:rPr>
          <w:rFonts w:hint="eastAsia" w:ascii="宋体" w:hAnsi="宋体" w:cs="宋体"/>
          <w:kern w:val="0"/>
          <w:szCs w:val="21"/>
          <w:highlight w:val="none"/>
        </w:rPr>
        <w:t>17.2.1</w:t>
      </w:r>
      <w:bookmarkEnd w:id="249"/>
      <w:r>
        <w:rPr>
          <w:rFonts w:hint="eastAsia" w:ascii="宋体" w:hAnsi="宋体" w:eastAsia="宋体" w:cs="宋体"/>
          <w:sz w:val="21"/>
          <w:szCs w:val="21"/>
          <w:lang w:val="en-US" w:eastAsia="zh-CN"/>
        </w:rPr>
        <w:t>施工合同签订后甲方向乙方预付合同金额的20%工程款（用于材料采购）。</w:t>
      </w:r>
    </w:p>
    <w:p w14:paraId="53D22E35">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50" w:name="_Toc33183764"/>
      <w:bookmarkStart w:id="251" w:name="_Toc221951260"/>
      <w:r>
        <w:rPr>
          <w:rFonts w:hint="eastAsia" w:ascii="宋体" w:hAnsi="宋体" w:cs="宋体"/>
          <w:szCs w:val="21"/>
          <w:highlight w:val="none"/>
        </w:rPr>
        <w:t>17.3 工程进度付款</w:t>
      </w:r>
      <w:bookmarkEnd w:id="250"/>
    </w:p>
    <w:p w14:paraId="17413368">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17.3.1 付款周期</w:t>
      </w:r>
    </w:p>
    <w:p w14:paraId="67DC8893">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kern w:val="0"/>
          <w:szCs w:val="21"/>
          <w:highlight w:val="none"/>
        </w:rPr>
        <w:t>关于付款周期的约定：</w:t>
      </w:r>
      <w:r>
        <w:rPr>
          <w:rFonts w:hint="eastAsia" w:ascii="宋体" w:hAnsi="宋体" w:cs="宋体"/>
          <w:kern w:val="0"/>
          <w:szCs w:val="21"/>
          <w:highlight w:val="none"/>
          <w:u w:val="single"/>
        </w:rPr>
        <w:t>按月</w:t>
      </w:r>
      <w:r>
        <w:rPr>
          <w:rFonts w:hint="eastAsia" w:ascii="宋体" w:hAnsi="宋体" w:cs="宋体"/>
          <w:kern w:val="0"/>
          <w:szCs w:val="21"/>
          <w:highlight w:val="none"/>
          <w:u w:val="single"/>
          <w:lang w:eastAsia="zh-CN"/>
        </w:rPr>
        <w:t>或季度</w:t>
      </w:r>
      <w:r>
        <w:rPr>
          <w:rFonts w:hint="eastAsia" w:ascii="宋体" w:hAnsi="宋体" w:cs="宋体"/>
          <w:kern w:val="0"/>
          <w:szCs w:val="21"/>
          <w:highlight w:val="none"/>
          <w:u w:val="single"/>
        </w:rPr>
        <w:t>计量支付进度款</w:t>
      </w:r>
      <w:r>
        <w:rPr>
          <w:rFonts w:hint="eastAsia" w:ascii="宋体" w:hAnsi="宋体" w:cs="宋体"/>
          <w:kern w:val="0"/>
          <w:szCs w:val="21"/>
          <w:highlight w:val="none"/>
        </w:rPr>
        <w:t>。</w:t>
      </w:r>
    </w:p>
    <w:p w14:paraId="05186106">
      <w:pPr>
        <w:keepNext w:val="0"/>
        <w:keepLines w:val="0"/>
        <w:pageBreakBefore w:val="0"/>
        <w:kinsoku/>
        <w:wordWrap/>
        <w:overflowPunct/>
        <w:topLinePunct w:val="0"/>
        <w:autoSpaceDE/>
        <w:autoSpaceDN/>
        <w:bidi w:val="0"/>
        <w:adjustRightInd/>
        <w:spacing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工程进度</w:t>
      </w:r>
      <w:r>
        <w:rPr>
          <w:rFonts w:hint="eastAsia" w:ascii="宋体" w:hAnsi="宋体" w:cs="宋体"/>
          <w:color w:val="auto"/>
          <w:kern w:val="0"/>
          <w:szCs w:val="21"/>
          <w:highlight w:val="none"/>
        </w:rPr>
        <w:t>款按月</w:t>
      </w:r>
      <w:r>
        <w:rPr>
          <w:rFonts w:hint="eastAsia" w:ascii="宋体" w:hAnsi="宋体" w:cs="宋体"/>
          <w:color w:val="auto"/>
          <w:kern w:val="0"/>
          <w:szCs w:val="21"/>
          <w:highlight w:val="none"/>
          <w:lang w:eastAsia="zh-CN"/>
        </w:rPr>
        <w:t>或季度</w:t>
      </w:r>
      <w:r>
        <w:rPr>
          <w:rFonts w:hint="eastAsia" w:ascii="宋体" w:hAnsi="宋体" w:cs="宋体"/>
          <w:color w:val="auto"/>
          <w:kern w:val="0"/>
          <w:szCs w:val="21"/>
          <w:highlight w:val="none"/>
        </w:rPr>
        <w:t>支付，承包人提交付款申请资料，经监理人和发包人审核后，按照审核工程进度造价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累计审核进度造价不超过暂定</w:t>
      </w:r>
      <w:r>
        <w:rPr>
          <w:rFonts w:hint="eastAsia" w:ascii="宋体" w:hAnsi="宋体" w:eastAsia="宋体" w:cs="宋体"/>
          <w:color w:val="auto"/>
          <w:kern w:val="0"/>
          <w:sz w:val="21"/>
          <w:szCs w:val="21"/>
          <w:highlight w:val="none"/>
          <w:lang w:bidi="ar"/>
        </w:rPr>
        <w:t>合同总价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0%支付。</w:t>
      </w:r>
    </w:p>
    <w:p w14:paraId="04E545AF">
      <w:pPr>
        <w:keepNext w:val="0"/>
        <w:keepLines w:val="0"/>
        <w:pageBreakBefore w:val="0"/>
        <w:widowControl w:val="0"/>
        <w:kinsoku/>
        <w:wordWrap/>
        <w:overflowPunct/>
        <w:topLinePunct w:val="0"/>
        <w:autoSpaceDE/>
        <w:autoSpaceDN/>
        <w:bidi w:val="0"/>
        <w:adjustRightInd/>
        <w:snapToGrid/>
        <w:spacing w:line="360" w:lineRule="auto"/>
        <w:ind w:right="-433" w:rightChars="-206" w:firstLine="420" w:firstLineChars="200"/>
        <w:textAlignment w:val="auto"/>
        <w:rPr>
          <w:rFonts w:hint="eastAsia" w:ascii="宋体" w:hAnsi="宋体" w:eastAsia="宋体" w:cs="宋体"/>
          <w:kern w:val="0"/>
          <w:szCs w:val="21"/>
          <w:highlight w:val="none"/>
          <w:lang w:eastAsia="zh-CN"/>
        </w:rPr>
      </w:pPr>
      <w:r>
        <w:rPr>
          <w:rFonts w:hint="eastAsia" w:ascii="宋体" w:hAnsi="宋体" w:cs="宋体"/>
          <w:kern w:val="0"/>
          <w:szCs w:val="21"/>
          <w:highlight w:val="none"/>
          <w:u w:val="none"/>
          <w:lang w:eastAsia="zh-CN"/>
        </w:rPr>
        <w:t>工程完工验收合格后，完成工程结算审计，并</w:t>
      </w:r>
      <w:r>
        <w:rPr>
          <w:rFonts w:hint="eastAsia" w:ascii="宋体" w:hAnsi="宋体" w:cs="宋体"/>
          <w:kern w:val="0"/>
          <w:szCs w:val="21"/>
          <w:highlight w:val="none"/>
          <w:u w:val="none"/>
        </w:rPr>
        <w:t>移交工程及档案资料后28天内，发包人向承包人支付至累计进度审定金额的</w:t>
      </w:r>
      <w:r>
        <w:rPr>
          <w:rFonts w:hint="eastAsia" w:ascii="宋体" w:hAnsi="宋体" w:cs="宋体"/>
          <w:kern w:val="0"/>
          <w:szCs w:val="21"/>
          <w:highlight w:val="none"/>
          <w:u w:val="none"/>
          <w:lang w:val="en-US" w:eastAsia="zh-CN"/>
        </w:rPr>
        <w:t>80</w:t>
      </w:r>
      <w:r>
        <w:rPr>
          <w:rFonts w:hint="eastAsia" w:ascii="宋体" w:hAnsi="宋体" w:cs="宋体"/>
          <w:kern w:val="0"/>
          <w:szCs w:val="21"/>
          <w:highlight w:val="none"/>
          <w:u w:val="none"/>
        </w:rPr>
        <w:t>%</w:t>
      </w:r>
      <w:r>
        <w:rPr>
          <w:rFonts w:hint="eastAsia" w:ascii="宋体" w:hAnsi="宋体" w:cs="宋体"/>
          <w:kern w:val="0"/>
          <w:szCs w:val="21"/>
          <w:highlight w:val="none"/>
          <w:u w:val="none"/>
          <w:lang w:eastAsia="zh-CN"/>
        </w:rPr>
        <w:t>；</w:t>
      </w:r>
      <w:r>
        <w:rPr>
          <w:rFonts w:hint="eastAsia" w:ascii="宋体" w:hAnsi="宋体" w:cs="宋体"/>
          <w:kern w:val="0"/>
          <w:szCs w:val="21"/>
          <w:highlight w:val="none"/>
        </w:rPr>
        <w:t>承包人将完整竣工资料交付</w:t>
      </w:r>
      <w:r>
        <w:rPr>
          <w:rFonts w:hint="eastAsia" w:ascii="宋体" w:hAnsi="宋体" w:cs="宋体"/>
          <w:kern w:val="0"/>
          <w:szCs w:val="21"/>
          <w:highlight w:val="none"/>
          <w:lang w:eastAsia="zh-CN"/>
        </w:rPr>
        <w:t>发包人</w:t>
      </w:r>
      <w:r>
        <w:rPr>
          <w:rFonts w:hint="eastAsia" w:ascii="宋体" w:hAnsi="宋体" w:cs="宋体"/>
          <w:kern w:val="0"/>
          <w:szCs w:val="21"/>
          <w:highlight w:val="none"/>
        </w:rPr>
        <w:t>，完成</w:t>
      </w:r>
      <w:r>
        <w:rPr>
          <w:rFonts w:hint="eastAsia" w:ascii="宋体" w:hAnsi="宋体" w:cs="宋体"/>
          <w:kern w:val="0"/>
          <w:szCs w:val="21"/>
          <w:highlight w:val="none"/>
          <w:lang w:eastAsia="zh-CN"/>
        </w:rPr>
        <w:t>工程竣工验收</w:t>
      </w:r>
      <w:r>
        <w:rPr>
          <w:rFonts w:hint="eastAsia" w:ascii="宋体" w:hAnsi="宋体" w:cs="宋体"/>
          <w:kern w:val="0"/>
          <w:szCs w:val="21"/>
          <w:highlight w:val="none"/>
        </w:rPr>
        <w:t>后，支付至</w:t>
      </w:r>
      <w:r>
        <w:rPr>
          <w:rFonts w:hint="eastAsia" w:ascii="宋体" w:hAnsi="宋体" w:cs="宋体"/>
          <w:kern w:val="0"/>
          <w:szCs w:val="21"/>
          <w:highlight w:val="none"/>
          <w:lang w:eastAsia="zh-CN"/>
        </w:rPr>
        <w:t>工程结算</w:t>
      </w:r>
      <w:r>
        <w:rPr>
          <w:rFonts w:hint="eastAsia" w:ascii="宋体" w:hAnsi="宋体" w:cs="宋体"/>
          <w:kern w:val="0"/>
          <w:szCs w:val="21"/>
          <w:highlight w:val="none"/>
        </w:rPr>
        <w:t>审定金额的97%</w:t>
      </w:r>
      <w:r>
        <w:rPr>
          <w:rFonts w:hint="eastAsia" w:ascii="宋体" w:hAnsi="宋体" w:cs="宋体"/>
          <w:kern w:val="0"/>
          <w:szCs w:val="21"/>
          <w:highlight w:val="none"/>
          <w:lang w:eastAsia="zh-CN"/>
        </w:rPr>
        <w:t>；</w:t>
      </w:r>
      <w:r>
        <w:rPr>
          <w:rFonts w:hint="eastAsia" w:ascii="宋体" w:hAnsi="宋体" w:cs="宋体"/>
          <w:kern w:val="0"/>
          <w:szCs w:val="21"/>
          <w:highlight w:val="none"/>
        </w:rPr>
        <w:t>扣留结算金额的3%作为质量保证金，质量保证金在缺陷责任期（24个月）满按合同规定递</w:t>
      </w:r>
      <w:r>
        <w:rPr>
          <w:rFonts w:hint="eastAsia" w:ascii="宋体" w:hAnsi="宋体" w:cs="宋体"/>
          <w:kern w:val="0"/>
          <w:szCs w:val="21"/>
          <w:highlight w:val="none"/>
          <w:u w:val="none"/>
        </w:rPr>
        <w:t>交最终结清申请单后28天内一次性无息退还</w:t>
      </w:r>
      <w:r>
        <w:rPr>
          <w:rFonts w:hint="eastAsia" w:ascii="宋体" w:hAnsi="宋体" w:cs="宋体"/>
          <w:kern w:val="0"/>
          <w:szCs w:val="21"/>
          <w:highlight w:val="none"/>
          <w:u w:val="none"/>
          <w:lang w:eastAsia="zh-CN"/>
        </w:rPr>
        <w:t>，</w:t>
      </w:r>
      <w:r>
        <w:rPr>
          <w:rFonts w:hint="default" w:ascii="宋体" w:hAnsi="宋体" w:cs="宋体"/>
          <w:kern w:val="0"/>
          <w:szCs w:val="21"/>
          <w:highlight w:val="none"/>
          <w:u w:val="none"/>
          <w:lang w:val="en-US" w:eastAsia="zh-CN"/>
        </w:rPr>
        <w:t>质保期内工程质量问题由乙方负责处理，甲方不予承担任何费用。</w:t>
      </w:r>
    </w:p>
    <w:p w14:paraId="251C827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17.3.2 进度付款申请单</w:t>
      </w:r>
    </w:p>
    <w:p w14:paraId="7BC92995">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本项补充细化17.3.2.1、17.3.2.2目如下：</w:t>
      </w:r>
    </w:p>
    <w:p w14:paraId="672F62A6">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17.3.2.1进度付款申请单应包括下列内容：</w:t>
      </w:r>
    </w:p>
    <w:p w14:paraId="7994BE48">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（1）截至本次付款周期已完成工作对应的金额；</w:t>
      </w:r>
    </w:p>
    <w:p w14:paraId="1DC7A525">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（2）根据第15条〔变更〕应增加和扣减的已审定变更金额；</w:t>
      </w:r>
    </w:p>
    <w:p w14:paraId="046978D0">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（3）根据第17.2款〔预付款〕约定应支付的预付款和扣减的返还预付款；</w:t>
      </w:r>
    </w:p>
    <w:p w14:paraId="7CC7B0E5">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szCs w:val="21"/>
          <w:highlight w:val="none"/>
          <w:u w:val="single"/>
        </w:rPr>
        <w:t>（4）根据第17.4款〔质量保证金〕约定应扣减的质量保证金；</w:t>
      </w:r>
    </w:p>
    <w:p w14:paraId="2A09770A">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（5）根据第23条〔索赔〕应增加和扣减的已审定索赔金额；</w:t>
      </w:r>
    </w:p>
    <w:p w14:paraId="7AC00FF8">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（6）根据第16条〔价格调整〕应增加和扣减的价格调整金额；</w:t>
      </w:r>
    </w:p>
    <w:p w14:paraId="4F60212E">
      <w:pPr>
        <w:pageBreakBefore w:val="0"/>
        <w:kinsoku/>
        <w:overflowPunct/>
        <w:topLinePunct w:val="0"/>
        <w:bidi w:val="0"/>
        <w:snapToGrid w:val="0"/>
        <w:spacing w:line="360" w:lineRule="auto"/>
        <w:ind w:firstLine="480"/>
        <w:jc w:val="left"/>
        <w:rPr>
          <w:rFonts w:ascii="宋体" w:hAnsi="宋体" w:cs="宋体"/>
          <w:kern w:val="0"/>
          <w:szCs w:val="21"/>
          <w:highlight w:val="none"/>
          <w:u w:val="single"/>
        </w:rPr>
      </w:pPr>
      <w:r>
        <w:rPr>
          <w:rFonts w:hint="eastAsia" w:ascii="宋体" w:hAnsi="宋体" w:cs="宋体"/>
          <w:kern w:val="0"/>
          <w:szCs w:val="21"/>
          <w:highlight w:val="none"/>
          <w:u w:val="single"/>
        </w:rPr>
        <w:t>（7）对已签发的进度款支付证书中出现错误的修正，应在本次进度付款中支付或扣除的金额；</w:t>
      </w:r>
    </w:p>
    <w:p w14:paraId="018D1AE6">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（8）根据合同约定承包人应向发包人支付的违约金；</w:t>
      </w:r>
    </w:p>
    <w:p w14:paraId="7F3D8AE4">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（9）根据合同约定发包人应向承包人支付的违约金和（或）奖励；</w:t>
      </w:r>
    </w:p>
    <w:p w14:paraId="32C16A43">
      <w:pPr>
        <w:pageBreakBefore w:val="0"/>
        <w:kinsoku/>
        <w:overflowPunct/>
        <w:topLinePunct w:val="0"/>
        <w:bidi w:val="0"/>
        <w:snapToGrid w:val="0"/>
        <w:spacing w:line="360" w:lineRule="auto"/>
        <w:ind w:firstLine="470"/>
        <w:jc w:val="left"/>
        <w:rPr>
          <w:rFonts w:ascii="宋体" w:hAnsi="宋体" w:cs="宋体"/>
          <w:kern w:val="0"/>
          <w:szCs w:val="21"/>
          <w:highlight w:val="none"/>
          <w:u w:val="single"/>
        </w:rPr>
      </w:pPr>
      <w:r>
        <w:rPr>
          <w:rFonts w:hint="eastAsia" w:ascii="宋体" w:hAnsi="宋体" w:cs="宋体"/>
          <w:kern w:val="0"/>
          <w:szCs w:val="21"/>
          <w:highlight w:val="none"/>
          <w:u w:val="single"/>
        </w:rPr>
        <w:t>（10）根据合同约定应增加和扣减的其他金额。</w:t>
      </w:r>
    </w:p>
    <w:p w14:paraId="6F4DA8D0">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17.3.2.2进度付款申请单的提交：</w:t>
      </w:r>
    </w:p>
    <w:p w14:paraId="5ACCE1EE">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（1）单价合同进度付款申请单提交的约定：</w:t>
      </w:r>
      <w:r>
        <w:rPr>
          <w:rFonts w:hint="eastAsia" w:ascii="宋体" w:hAnsi="宋体" w:cs="宋体"/>
          <w:kern w:val="0"/>
          <w:szCs w:val="21"/>
          <w:highlight w:val="none"/>
          <w:u w:val="single"/>
        </w:rPr>
        <w:t>按照第17.1.4项〔单价子目的计量〕约定的时间按月向监理人提交，并附上已完成工程量报表、经审核的农民工工资发放的情况说明及有关资料。单价合同中的总价子目按工程形象进度分月计量后汇总列入当期进度付款申请</w:t>
      </w:r>
      <w:r>
        <w:rPr>
          <w:rFonts w:hint="eastAsia" w:ascii="宋体" w:hAnsi="宋体" w:cs="宋体"/>
          <w:kern w:val="0"/>
          <w:szCs w:val="21"/>
          <w:highlight w:val="none"/>
        </w:rPr>
        <w:t>单。</w:t>
      </w:r>
    </w:p>
    <w:p w14:paraId="5E6EC1FC">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（2）总价合同进度付款申请单提交的约定：</w:t>
      </w:r>
      <w:r>
        <w:rPr>
          <w:rFonts w:hint="eastAsia" w:ascii="宋体" w:hAnsi="宋体" w:cs="宋体"/>
          <w:kern w:val="0"/>
          <w:szCs w:val="21"/>
          <w:highlight w:val="none"/>
          <w:u w:val="single"/>
        </w:rPr>
        <w:t>按照合同约定的形象进度的计量约定的时间向监理人提交，并附上已完成工程量报表、经审核情况说明有关资料</w:t>
      </w:r>
      <w:r>
        <w:rPr>
          <w:rFonts w:hint="eastAsia" w:ascii="宋体" w:hAnsi="宋体" w:cs="宋体"/>
          <w:kern w:val="0"/>
          <w:szCs w:val="21"/>
          <w:highlight w:val="none"/>
        </w:rPr>
        <w:t>。</w:t>
      </w:r>
    </w:p>
    <w:p w14:paraId="65391A84">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（3）其他价格形式合同进度付款申请单提交的约定：</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18288DC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17.3.3 进度付款证书和支付时间</w:t>
      </w:r>
    </w:p>
    <w:p w14:paraId="14996F7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（1）监理人审查并报送发包人的期限：</w:t>
      </w:r>
      <w:r>
        <w:rPr>
          <w:rFonts w:hint="eastAsia" w:ascii="宋体" w:hAnsi="宋体" w:cs="宋体"/>
          <w:kern w:val="0"/>
          <w:szCs w:val="21"/>
          <w:highlight w:val="none"/>
          <w:u w:val="single"/>
        </w:rPr>
        <w:t>收到完整资料后7天内</w:t>
      </w:r>
      <w:r>
        <w:rPr>
          <w:rFonts w:hint="eastAsia" w:ascii="宋体" w:hAnsi="宋体" w:cs="宋体"/>
          <w:kern w:val="0"/>
          <w:szCs w:val="21"/>
          <w:highlight w:val="none"/>
        </w:rPr>
        <w:t>。</w:t>
      </w:r>
    </w:p>
    <w:p w14:paraId="7950294B">
      <w:pPr>
        <w:pageBreakBefore w:val="0"/>
        <w:kinsoku/>
        <w:overflowPunct/>
        <w:topLinePunct w:val="0"/>
        <w:bidi w:val="0"/>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发包人完成审批并签发进度款支付证书的期限：</w:t>
      </w:r>
      <w:r>
        <w:rPr>
          <w:rFonts w:hint="eastAsia" w:ascii="宋体" w:hAnsi="宋体" w:cs="宋体"/>
          <w:kern w:val="0"/>
          <w:szCs w:val="21"/>
          <w:highlight w:val="none"/>
          <w:u w:val="single"/>
        </w:rPr>
        <w:t>发包人收到监理人报送资料后7天内完成审查并签发进度款支付证书</w:t>
      </w:r>
      <w:r>
        <w:rPr>
          <w:rFonts w:hint="eastAsia" w:ascii="宋体" w:hAnsi="宋体" w:cs="宋体"/>
          <w:kern w:val="0"/>
          <w:szCs w:val="21"/>
          <w:highlight w:val="none"/>
        </w:rPr>
        <w:t>。</w:t>
      </w:r>
    </w:p>
    <w:p w14:paraId="4F137979">
      <w:pPr>
        <w:pageBreakBefore w:val="0"/>
        <w:kinsoku/>
        <w:overflowPunct/>
        <w:topLinePunct w:val="0"/>
        <w:bidi w:val="0"/>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u w:val="single"/>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r>
        <w:rPr>
          <w:rFonts w:hint="eastAsia" w:ascii="宋体" w:hAnsi="宋体" w:cs="宋体"/>
          <w:kern w:val="0"/>
          <w:szCs w:val="21"/>
          <w:highlight w:val="none"/>
        </w:rPr>
        <w:t>。</w:t>
      </w:r>
    </w:p>
    <w:p w14:paraId="055283C6">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u w:val="single"/>
        </w:rPr>
        <w:t>发包人签发进度款支付证书或临时进度款支付证书，不表明发包人已同意、批准或接受了承包人完成的相应部分的工作</w:t>
      </w:r>
      <w:r>
        <w:rPr>
          <w:rFonts w:hint="eastAsia" w:ascii="宋体" w:hAnsi="宋体" w:cs="宋体"/>
          <w:kern w:val="0"/>
          <w:szCs w:val="21"/>
          <w:highlight w:val="none"/>
        </w:rPr>
        <w:t>。</w:t>
      </w:r>
    </w:p>
    <w:p w14:paraId="3DCBCA51">
      <w:pPr>
        <w:pageBreakBefore w:val="0"/>
        <w:numPr>
          <w:ilvl w:val="0"/>
          <w:numId w:val="3"/>
        </w:numPr>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价款的支付 </w:t>
      </w:r>
    </w:p>
    <w:p w14:paraId="7E4BD328">
      <w:pPr>
        <w:pStyle w:val="2"/>
        <w:pageBreakBefore w:val="0"/>
        <w:kinsoku/>
        <w:overflowPunct/>
        <w:topLinePunct w:val="0"/>
        <w:bidi w:val="0"/>
        <w:spacing w:line="360" w:lineRule="auto"/>
        <w:ind w:firstLine="420" w:firstLineChars="200"/>
        <w:rPr>
          <w:highlight w:val="none"/>
        </w:rPr>
      </w:pPr>
      <w:r>
        <w:rPr>
          <w:rFonts w:hint="eastAsia" w:ascii="宋体" w:hAnsi="宋体" w:cs="宋体"/>
          <w:kern w:val="0"/>
          <w:szCs w:val="21"/>
          <w:highlight w:val="none"/>
        </w:rPr>
        <w:t>本项17.3.3（2）目细化如下：</w:t>
      </w:r>
    </w:p>
    <w:p w14:paraId="3EC1EB0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①安全生产费支付比例和支付期限：</w:t>
      </w:r>
      <w:r>
        <w:rPr>
          <w:rFonts w:hint="eastAsia" w:ascii="宋体" w:hAnsi="宋体" w:cs="宋体"/>
          <w:kern w:val="0"/>
          <w:szCs w:val="21"/>
          <w:highlight w:val="none"/>
          <w:u w:val="single"/>
        </w:rPr>
        <w:t>施工合同签订后30天内按照《关于落实水利工程建设安全生产费用及使用管理问题的通知》（渝水基〔2009〕28号）文件规定支付安全生产费的30%（合同期在一年以上的）或50%（合同期在一年以下（含一年）的），其余部分与进度款同期支付</w:t>
      </w:r>
      <w:r>
        <w:rPr>
          <w:rFonts w:hint="eastAsia" w:ascii="宋体" w:hAnsi="宋体" w:cs="宋体"/>
          <w:kern w:val="0"/>
          <w:szCs w:val="21"/>
          <w:highlight w:val="none"/>
          <w:u w:val="none"/>
        </w:rPr>
        <w:t>。</w:t>
      </w:r>
    </w:p>
    <w:p w14:paraId="7D2646C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②</w:t>
      </w:r>
      <w:r>
        <w:rPr>
          <w:rFonts w:hint="eastAsia" w:ascii="宋体" w:hAnsi="宋体" w:cs="宋体"/>
          <w:kern w:val="0"/>
          <w:szCs w:val="21"/>
          <w:highlight w:val="none"/>
          <w:u w:val="single"/>
        </w:rPr>
        <w:t>本项目涉及政府投资资金的按17.3.3（4）目规定执行。</w:t>
      </w:r>
      <w:r>
        <w:rPr>
          <w:rFonts w:hint="eastAsia" w:ascii="宋体" w:hAnsi="宋体" w:cs="宋体"/>
          <w:szCs w:val="21"/>
          <w:highlight w:val="none"/>
        </w:rPr>
        <w:t>不涉及政府投资资金的，进度付款、完工付款及最终结清按以下约定办理：</w:t>
      </w:r>
    </w:p>
    <w:p w14:paraId="765870F1">
      <w:pPr>
        <w:keepNext w:val="0"/>
        <w:keepLines w:val="0"/>
        <w:pageBreakBefore w:val="0"/>
        <w:kinsoku/>
        <w:wordWrap/>
        <w:overflowPunct/>
        <w:topLinePunct w:val="0"/>
        <w:autoSpaceDE/>
        <w:autoSpaceDN/>
        <w:bidi w:val="0"/>
        <w:adjustRightInd/>
        <w:spacing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工程进度</w:t>
      </w:r>
      <w:r>
        <w:rPr>
          <w:rFonts w:hint="eastAsia" w:ascii="宋体" w:hAnsi="宋体" w:cs="宋体"/>
          <w:color w:val="auto"/>
          <w:kern w:val="0"/>
          <w:szCs w:val="21"/>
          <w:highlight w:val="none"/>
        </w:rPr>
        <w:t>款按月</w:t>
      </w:r>
      <w:r>
        <w:rPr>
          <w:rFonts w:hint="eastAsia" w:ascii="宋体" w:hAnsi="宋体" w:cs="宋体"/>
          <w:color w:val="auto"/>
          <w:kern w:val="0"/>
          <w:szCs w:val="21"/>
          <w:highlight w:val="none"/>
          <w:lang w:eastAsia="zh-CN"/>
        </w:rPr>
        <w:t>或季度</w:t>
      </w:r>
      <w:r>
        <w:rPr>
          <w:rFonts w:hint="eastAsia" w:ascii="宋体" w:hAnsi="宋体" w:cs="宋体"/>
          <w:color w:val="auto"/>
          <w:kern w:val="0"/>
          <w:szCs w:val="21"/>
          <w:highlight w:val="none"/>
        </w:rPr>
        <w:t>支付，承包人提交付款申请资料，经监理人和发包人审核后，按照审核工程进度造价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累计审核进度造价不超过暂定</w:t>
      </w:r>
      <w:r>
        <w:rPr>
          <w:rFonts w:hint="eastAsia" w:ascii="宋体" w:hAnsi="宋体" w:eastAsia="宋体" w:cs="宋体"/>
          <w:color w:val="auto"/>
          <w:kern w:val="0"/>
          <w:sz w:val="21"/>
          <w:szCs w:val="21"/>
          <w:highlight w:val="none"/>
          <w:lang w:bidi="ar"/>
        </w:rPr>
        <w:t>合同总价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0%支付。</w:t>
      </w:r>
    </w:p>
    <w:p w14:paraId="1631881F">
      <w:pPr>
        <w:keepNext w:val="0"/>
        <w:keepLines w:val="0"/>
        <w:pageBreakBefore w:val="0"/>
        <w:widowControl w:val="0"/>
        <w:kinsoku/>
        <w:wordWrap/>
        <w:overflowPunct/>
        <w:topLinePunct w:val="0"/>
        <w:autoSpaceDE/>
        <w:autoSpaceDN/>
        <w:bidi w:val="0"/>
        <w:adjustRightInd/>
        <w:snapToGrid/>
        <w:spacing w:line="360" w:lineRule="auto"/>
        <w:ind w:right="-433" w:rightChars="-206" w:firstLine="420" w:firstLineChars="200"/>
        <w:textAlignment w:val="auto"/>
        <w:rPr>
          <w:highlight w:val="none"/>
        </w:rPr>
      </w:pPr>
      <w:r>
        <w:rPr>
          <w:rFonts w:hint="eastAsia" w:ascii="宋体" w:hAnsi="宋体" w:cs="宋体"/>
          <w:kern w:val="0"/>
          <w:szCs w:val="21"/>
          <w:highlight w:val="none"/>
          <w:u w:val="none"/>
          <w:lang w:eastAsia="zh-CN"/>
        </w:rPr>
        <w:t>工程完工验收合格后，完成工程结算审计，并</w:t>
      </w:r>
      <w:r>
        <w:rPr>
          <w:rFonts w:hint="eastAsia" w:ascii="宋体" w:hAnsi="宋体" w:cs="宋体"/>
          <w:kern w:val="0"/>
          <w:szCs w:val="21"/>
          <w:highlight w:val="none"/>
          <w:u w:val="none"/>
        </w:rPr>
        <w:t>移交工程及档案资料后28天内，发包人向承包人支付至累计进度审定金额的</w:t>
      </w:r>
      <w:r>
        <w:rPr>
          <w:rFonts w:hint="eastAsia" w:ascii="宋体" w:hAnsi="宋体" w:cs="宋体"/>
          <w:kern w:val="0"/>
          <w:szCs w:val="21"/>
          <w:highlight w:val="none"/>
          <w:u w:val="none"/>
          <w:lang w:val="en-US" w:eastAsia="zh-CN"/>
        </w:rPr>
        <w:t>80</w:t>
      </w:r>
      <w:r>
        <w:rPr>
          <w:rFonts w:hint="eastAsia" w:ascii="宋体" w:hAnsi="宋体" w:cs="宋体"/>
          <w:kern w:val="0"/>
          <w:szCs w:val="21"/>
          <w:highlight w:val="none"/>
          <w:u w:val="none"/>
        </w:rPr>
        <w:t>%</w:t>
      </w:r>
      <w:r>
        <w:rPr>
          <w:rFonts w:hint="eastAsia" w:ascii="宋体" w:hAnsi="宋体" w:cs="宋体"/>
          <w:kern w:val="0"/>
          <w:szCs w:val="21"/>
          <w:highlight w:val="none"/>
          <w:u w:val="none"/>
          <w:lang w:eastAsia="zh-CN"/>
        </w:rPr>
        <w:t>；</w:t>
      </w:r>
      <w:r>
        <w:rPr>
          <w:rFonts w:hint="eastAsia" w:ascii="宋体" w:hAnsi="宋体" w:cs="宋体"/>
          <w:kern w:val="0"/>
          <w:szCs w:val="21"/>
          <w:highlight w:val="none"/>
        </w:rPr>
        <w:t>承包人将完整竣工资料交付</w:t>
      </w:r>
      <w:r>
        <w:rPr>
          <w:rFonts w:hint="eastAsia" w:ascii="宋体" w:hAnsi="宋体" w:cs="宋体"/>
          <w:kern w:val="0"/>
          <w:szCs w:val="21"/>
          <w:highlight w:val="none"/>
          <w:lang w:eastAsia="zh-CN"/>
        </w:rPr>
        <w:t>发包人</w:t>
      </w:r>
      <w:r>
        <w:rPr>
          <w:rFonts w:hint="eastAsia" w:ascii="宋体" w:hAnsi="宋体" w:cs="宋体"/>
          <w:kern w:val="0"/>
          <w:szCs w:val="21"/>
          <w:highlight w:val="none"/>
        </w:rPr>
        <w:t>，完成</w:t>
      </w:r>
      <w:r>
        <w:rPr>
          <w:rFonts w:hint="eastAsia" w:ascii="宋体" w:hAnsi="宋体" w:cs="宋体"/>
          <w:kern w:val="0"/>
          <w:szCs w:val="21"/>
          <w:highlight w:val="none"/>
          <w:lang w:eastAsia="zh-CN"/>
        </w:rPr>
        <w:t>工程竣工验收</w:t>
      </w:r>
      <w:r>
        <w:rPr>
          <w:rFonts w:hint="eastAsia" w:ascii="宋体" w:hAnsi="宋体" w:cs="宋体"/>
          <w:kern w:val="0"/>
          <w:szCs w:val="21"/>
          <w:highlight w:val="none"/>
        </w:rPr>
        <w:t>后，支付至</w:t>
      </w:r>
      <w:r>
        <w:rPr>
          <w:rFonts w:hint="eastAsia" w:ascii="宋体" w:hAnsi="宋体" w:cs="宋体"/>
          <w:kern w:val="0"/>
          <w:szCs w:val="21"/>
          <w:highlight w:val="none"/>
          <w:lang w:eastAsia="zh-CN"/>
        </w:rPr>
        <w:t>工程结算</w:t>
      </w:r>
      <w:r>
        <w:rPr>
          <w:rFonts w:hint="eastAsia" w:ascii="宋体" w:hAnsi="宋体" w:cs="宋体"/>
          <w:kern w:val="0"/>
          <w:szCs w:val="21"/>
          <w:highlight w:val="none"/>
        </w:rPr>
        <w:t>审定金额的97%</w:t>
      </w:r>
      <w:r>
        <w:rPr>
          <w:rFonts w:hint="eastAsia" w:ascii="宋体" w:hAnsi="宋体" w:cs="宋体"/>
          <w:kern w:val="0"/>
          <w:szCs w:val="21"/>
          <w:highlight w:val="none"/>
          <w:lang w:eastAsia="zh-CN"/>
        </w:rPr>
        <w:t>；</w:t>
      </w:r>
      <w:r>
        <w:rPr>
          <w:rFonts w:hint="eastAsia" w:ascii="宋体" w:hAnsi="宋体" w:cs="宋体"/>
          <w:kern w:val="0"/>
          <w:szCs w:val="21"/>
          <w:highlight w:val="none"/>
        </w:rPr>
        <w:t>扣留结算金额的3%作为质量保证金，质量保证金在缺陷责任期（24个月）满按合同规定递</w:t>
      </w:r>
      <w:r>
        <w:rPr>
          <w:rFonts w:hint="eastAsia" w:ascii="宋体" w:hAnsi="宋体" w:cs="宋体"/>
          <w:kern w:val="0"/>
          <w:szCs w:val="21"/>
          <w:highlight w:val="none"/>
          <w:u w:val="none"/>
        </w:rPr>
        <w:t>交最终结清申请单后28天内一次性无息退还</w:t>
      </w:r>
      <w:r>
        <w:rPr>
          <w:rFonts w:hint="eastAsia" w:ascii="宋体" w:hAnsi="宋体" w:cs="宋体"/>
          <w:kern w:val="0"/>
          <w:szCs w:val="21"/>
          <w:highlight w:val="none"/>
          <w:u w:val="none"/>
          <w:lang w:eastAsia="zh-CN"/>
        </w:rPr>
        <w:t>，</w:t>
      </w:r>
      <w:r>
        <w:rPr>
          <w:rFonts w:hint="default" w:ascii="宋体" w:hAnsi="宋体" w:cs="宋体"/>
          <w:kern w:val="0"/>
          <w:szCs w:val="21"/>
          <w:highlight w:val="none"/>
          <w:u w:val="none"/>
          <w:lang w:val="en-US" w:eastAsia="zh-CN"/>
        </w:rPr>
        <w:t>质保期内工程质量问题由乙方负责处理，甲方不予承担任何费用。</w:t>
      </w:r>
    </w:p>
    <w:p w14:paraId="54793D04">
      <w:pPr>
        <w:pageBreakBefore w:val="0"/>
        <w:kinsoku/>
        <w:overflowPunct/>
        <w:topLinePunct w:val="0"/>
        <w:bidi w:val="0"/>
        <w:snapToGrid w:val="0"/>
        <w:spacing w:line="360" w:lineRule="auto"/>
        <w:ind w:firstLine="420" w:firstLineChars="200"/>
        <w:jc w:val="left"/>
        <w:rPr>
          <w:highlight w:val="none"/>
        </w:rPr>
      </w:pPr>
      <w:r>
        <w:rPr>
          <w:rFonts w:hint="eastAsia" w:ascii="宋体" w:hAnsi="宋体" w:cs="宋体"/>
          <w:kern w:val="0"/>
          <w:szCs w:val="21"/>
          <w:highlight w:val="none"/>
        </w:rPr>
        <w:t>③ 发包人应按规定时间支付承包人费用，逾期付款违约金的利率：</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w:t>
      </w:r>
    </w:p>
    <w:p w14:paraId="64FADBC7">
      <w:pPr>
        <w:pStyle w:val="2"/>
        <w:pageBreakBefore w:val="0"/>
        <w:kinsoku/>
        <w:overflowPunct/>
        <w:topLinePunct w:val="0"/>
        <w:bidi w:val="0"/>
        <w:spacing w:line="360" w:lineRule="auto"/>
        <w:ind w:firstLine="210" w:firstLineChars="100"/>
        <w:rPr>
          <w:highlight w:val="none"/>
        </w:rPr>
      </w:pPr>
      <w:r>
        <w:rPr>
          <w:rFonts w:hint="eastAsia" w:ascii="宋体" w:hAnsi="宋体" w:cs="宋体"/>
          <w:kern w:val="0"/>
          <w:szCs w:val="21"/>
          <w:highlight w:val="none"/>
        </w:rPr>
        <w:t>（4）本项目</w:t>
      </w:r>
      <w:r>
        <w:rPr>
          <w:rFonts w:hint="eastAsia" w:ascii="宋体" w:hAnsi="宋体" w:cs="宋体"/>
          <w:szCs w:val="21"/>
          <w:highlight w:val="none"/>
        </w:rPr>
        <w:t>进度付款、完工付款及最终结清付款涉及政府投资资金的，按照国库集中支付等国家相关规定及以下规定办理：</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3604A5D2">
      <w:pPr>
        <w:keepNext/>
        <w:keepLines/>
        <w:pageBreakBefore w:val="0"/>
        <w:kinsoku/>
        <w:overflowPunct/>
        <w:topLinePunct w:val="0"/>
        <w:bidi w:val="0"/>
        <w:spacing w:line="360" w:lineRule="auto"/>
        <w:ind w:firstLine="420" w:firstLineChars="200"/>
        <w:outlineLvl w:val="4"/>
        <w:rPr>
          <w:rFonts w:ascii="宋体" w:hAnsi="宋体" w:cs="宋体"/>
          <w:kern w:val="0"/>
          <w:szCs w:val="21"/>
          <w:highlight w:val="none"/>
        </w:rPr>
      </w:pPr>
      <w:r>
        <w:rPr>
          <w:rFonts w:hint="eastAsia" w:ascii="宋体" w:hAnsi="宋体" w:cs="宋体"/>
          <w:kern w:val="0"/>
          <w:szCs w:val="21"/>
          <w:highlight w:val="none"/>
        </w:rPr>
        <w:t>17.3.5支付账户</w:t>
      </w:r>
    </w:p>
    <w:p w14:paraId="023041F9">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发包人应将合同价款支付至如下承包人指定的开户银行及银行账户：</w:t>
      </w:r>
    </w:p>
    <w:p w14:paraId="7A874358">
      <w:pPr>
        <w:pageBreakBefore w:val="0"/>
        <w:kinsoku/>
        <w:overflowPunct/>
        <w:topLinePunct w:val="0"/>
        <w:bidi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收款单位名称：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6F89F906">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收款账号 </w:t>
      </w:r>
      <w:r>
        <w:rPr>
          <w:rFonts w:hint="eastAsia" w:ascii="宋体" w:hAnsi="宋体" w:cs="宋体"/>
          <w:kern w:val="0"/>
          <w:szCs w:val="21"/>
          <w:highlight w:val="none"/>
          <w:u w:val="single"/>
        </w:rPr>
        <w:t xml:space="preserve">    </w:t>
      </w:r>
      <w:r>
        <w:rPr>
          <w:rFonts w:hint="eastAsia" w:ascii="宋体" w:hAnsi="宋体" w:cs="宋体"/>
          <w:snapToGrid w:val="0"/>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DFEF367">
      <w:pPr>
        <w:pageBreakBefore w:val="0"/>
        <w:kinsoku/>
        <w:overflowPunct/>
        <w:topLinePunct w:val="0"/>
        <w:bidi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收款开户银行：</w:t>
      </w:r>
      <w:r>
        <w:rPr>
          <w:rFonts w:hint="eastAsia" w:ascii="宋体" w:hAnsi="宋体" w:cs="宋体"/>
          <w:kern w:val="0"/>
          <w:szCs w:val="21"/>
          <w:highlight w:val="none"/>
          <w:u w:val="single"/>
        </w:rPr>
        <w:t xml:space="preserve">  </w:t>
      </w:r>
      <w:r>
        <w:rPr>
          <w:rFonts w:hint="eastAsia" w:ascii="宋体" w:hAnsi="宋体" w:cs="宋体"/>
          <w:snapToGrid w:val="0"/>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27F85E0A">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52" w:name="_Toc33183765"/>
      <w:r>
        <w:rPr>
          <w:rFonts w:hint="eastAsia" w:ascii="宋体" w:hAnsi="宋体" w:cs="宋体"/>
          <w:szCs w:val="21"/>
          <w:highlight w:val="none"/>
        </w:rPr>
        <w:t>17.4  质量保证金</w:t>
      </w:r>
      <w:bookmarkEnd w:id="251"/>
      <w:bookmarkEnd w:id="252"/>
    </w:p>
    <w:p w14:paraId="2DA27125">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17.4.1</w:t>
      </w:r>
      <w:r>
        <w:rPr>
          <w:rFonts w:hint="eastAsia" w:ascii="宋体" w:hAnsi="宋体" w:cs="宋体"/>
          <w:szCs w:val="21"/>
          <w:highlight w:val="none"/>
        </w:rPr>
        <w:t>工程质量保证金总额：</w:t>
      </w:r>
      <w:r>
        <w:rPr>
          <w:rFonts w:hint="eastAsia" w:ascii="宋体" w:hAnsi="宋体" w:cs="宋体"/>
          <w:kern w:val="0"/>
          <w:szCs w:val="21"/>
          <w:highlight w:val="none"/>
          <w:u w:val="single"/>
        </w:rPr>
        <w:t>合同工程完工</w:t>
      </w:r>
      <w:r>
        <w:rPr>
          <w:rFonts w:hint="eastAsia" w:ascii="宋体" w:hAnsi="宋体" w:cs="宋体"/>
          <w:kern w:val="0"/>
          <w:szCs w:val="21"/>
          <w:highlight w:val="none"/>
          <w:u w:val="single"/>
          <w:lang w:eastAsia="zh-CN"/>
        </w:rPr>
        <w:t>审计金额</w:t>
      </w:r>
      <w:r>
        <w:rPr>
          <w:rFonts w:hint="eastAsia" w:ascii="宋体" w:hAnsi="宋体" w:cs="宋体"/>
          <w:kern w:val="0"/>
          <w:szCs w:val="21"/>
          <w:highlight w:val="none"/>
          <w:u w:val="single"/>
        </w:rPr>
        <w:t xml:space="preserve">总价的3% </w:t>
      </w:r>
      <w:r>
        <w:rPr>
          <w:rFonts w:hint="eastAsia" w:ascii="宋体" w:hAnsi="宋体" w:cs="宋体"/>
          <w:szCs w:val="21"/>
          <w:highlight w:val="none"/>
        </w:rPr>
        <w:t>。</w:t>
      </w:r>
    </w:p>
    <w:p w14:paraId="58C5DCC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u w:val="single"/>
        </w:rPr>
      </w:pPr>
      <w:r>
        <w:rPr>
          <w:rFonts w:hint="eastAsia" w:ascii="宋体" w:hAnsi="宋体" w:cs="宋体"/>
          <w:szCs w:val="21"/>
          <w:highlight w:val="none"/>
        </w:rPr>
        <w:t>质量保证金的扣留（或提交）方式：监理人应从第一个工程进度付款周期开始，在发包人的进度付款中，按</w:t>
      </w:r>
      <w:r>
        <w:rPr>
          <w:rFonts w:hint="eastAsia" w:ascii="宋体" w:hAnsi="宋体" w:cs="宋体"/>
          <w:kern w:val="0"/>
          <w:szCs w:val="21"/>
          <w:highlight w:val="none"/>
        </w:rPr>
        <w:t>每次应付进度款金额的</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w:t>
      </w:r>
      <w:r>
        <w:rPr>
          <w:rFonts w:hint="eastAsia" w:ascii="宋体" w:hAnsi="宋体" w:cs="宋体"/>
          <w:szCs w:val="21"/>
          <w:highlight w:val="none"/>
        </w:rPr>
        <w:t>扣留质量保证金，直至扣留的工程质量保证金总额达到</w:t>
      </w:r>
      <w:r>
        <w:rPr>
          <w:rFonts w:hint="eastAsia"/>
          <w:highlight w:val="none"/>
        </w:rPr>
        <w:t>约定的金额或比例</w:t>
      </w:r>
      <w:r>
        <w:rPr>
          <w:rFonts w:hint="eastAsia" w:ascii="宋体" w:hAnsi="宋体" w:cs="宋体"/>
          <w:szCs w:val="21"/>
          <w:highlight w:val="none"/>
        </w:rPr>
        <w:t>为止。</w:t>
      </w:r>
      <w:r>
        <w:rPr>
          <w:rFonts w:hint="eastAsia" w:ascii="宋体" w:hAnsi="宋体" w:cs="宋体"/>
          <w:kern w:val="0"/>
          <w:szCs w:val="21"/>
          <w:highlight w:val="none"/>
          <w:u w:val="single"/>
        </w:rPr>
        <w:t>在此情形下，进度款扣留的质量保证金的计算基数不包括预付款的支付、扣回以及价格调整的金额。</w:t>
      </w:r>
    </w:p>
    <w:p w14:paraId="7B0FD57E">
      <w:pPr>
        <w:pStyle w:val="2"/>
        <w:pageBreakBefore w:val="0"/>
        <w:kinsoku/>
        <w:overflowPunct/>
        <w:topLinePunct w:val="0"/>
        <w:bidi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本款补充17.4.4</w:t>
      </w:r>
      <w:r>
        <w:rPr>
          <w:rFonts w:hint="eastAsia" w:ascii="宋体" w:hAnsi="宋体"/>
          <w:szCs w:val="21"/>
          <w:highlight w:val="none"/>
        </w:rPr>
        <w:t>～17.4.6</w:t>
      </w:r>
      <w:r>
        <w:rPr>
          <w:rFonts w:hint="eastAsia" w:ascii="宋体" w:hAnsi="宋体" w:cs="宋体"/>
          <w:kern w:val="0"/>
          <w:szCs w:val="21"/>
          <w:highlight w:val="none"/>
        </w:rPr>
        <w:t>项如下：</w:t>
      </w:r>
    </w:p>
    <w:p w14:paraId="4FC72AEB">
      <w:pPr>
        <w:pStyle w:val="2"/>
        <w:pageBreakBefore w:val="0"/>
        <w:kinsoku/>
        <w:overflowPunct/>
        <w:topLinePunct w:val="0"/>
        <w:bidi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17.4.4质量保证金的扣留(或提交)方式</w:t>
      </w:r>
    </w:p>
    <w:p w14:paraId="2CA9D28A">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质量保证金的扣留（或提交）采取以下第</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（2）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种方式：</w:t>
      </w:r>
    </w:p>
    <w:p w14:paraId="21B0DD4C">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u w:val="single"/>
        </w:rPr>
        <w:t>（1）采用本合同条款17.4.1约定方式</w:t>
      </w:r>
      <w:r>
        <w:rPr>
          <w:rFonts w:hint="eastAsia" w:ascii="宋体" w:hAnsi="宋体" w:cs="宋体"/>
          <w:kern w:val="0"/>
          <w:szCs w:val="21"/>
          <w:highlight w:val="none"/>
        </w:rPr>
        <w:t>；</w:t>
      </w:r>
    </w:p>
    <w:p w14:paraId="56CACF61">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kern w:val="0"/>
          <w:szCs w:val="21"/>
          <w:highlight w:val="none"/>
          <w:u w:val="single"/>
        </w:rPr>
        <w:t>（2）</w:t>
      </w:r>
      <w:r>
        <w:rPr>
          <w:rFonts w:hint="eastAsia" w:ascii="宋体" w:hAnsi="宋体" w:cs="宋体"/>
          <w:color w:val="auto"/>
          <w:kern w:val="0"/>
          <w:szCs w:val="21"/>
          <w:highlight w:val="none"/>
          <w:u w:val="single"/>
        </w:rPr>
        <w:t>在合同工程</w:t>
      </w:r>
      <w:r>
        <w:rPr>
          <w:rFonts w:hint="eastAsia" w:ascii="宋体" w:hAnsi="宋体"/>
          <w:color w:val="auto"/>
          <w:szCs w:val="21"/>
          <w:highlight w:val="none"/>
          <w:u w:val="single"/>
        </w:rPr>
        <w:t>完工</w:t>
      </w:r>
      <w:r>
        <w:rPr>
          <w:rFonts w:hint="eastAsia" w:ascii="宋体" w:hAnsi="宋体" w:cs="宋体"/>
          <w:color w:val="auto"/>
          <w:kern w:val="0"/>
          <w:szCs w:val="21"/>
          <w:highlight w:val="none"/>
          <w:u w:val="single"/>
        </w:rPr>
        <w:t>结算时一次性扣留质量保证金</w:t>
      </w:r>
      <w:r>
        <w:rPr>
          <w:rFonts w:hint="eastAsia" w:ascii="宋体" w:hAnsi="宋体" w:cs="宋体"/>
          <w:color w:val="auto"/>
          <w:kern w:val="0"/>
          <w:szCs w:val="21"/>
          <w:highlight w:val="none"/>
        </w:rPr>
        <w:t>；</w:t>
      </w:r>
    </w:p>
    <w:p w14:paraId="64C20FD2">
      <w:pPr>
        <w:pageBreakBefore w:val="0"/>
        <w:kinsoku/>
        <w:overflowPunct/>
        <w:topLinePunct w:val="0"/>
        <w:autoSpaceDE w:val="0"/>
        <w:autoSpaceDN w:val="0"/>
        <w:bidi w:val="0"/>
        <w:adjustRightInd w:val="0"/>
        <w:spacing w:line="360" w:lineRule="auto"/>
        <w:ind w:firstLine="420" w:firstLineChars="200"/>
        <w:jc w:val="left"/>
        <w:rPr>
          <w:highlight w:val="none"/>
        </w:rPr>
      </w:pPr>
      <w:r>
        <w:rPr>
          <w:rFonts w:hint="eastAsia" w:ascii="宋体" w:hAnsi="宋体" w:cs="宋体"/>
          <w:kern w:val="0"/>
          <w:szCs w:val="21"/>
          <w:highlight w:val="none"/>
          <w:u w:val="single"/>
        </w:rPr>
        <w:t xml:space="preserve">（3）其他扣留方式: / </w:t>
      </w:r>
      <w:r>
        <w:rPr>
          <w:rFonts w:hint="eastAsia" w:ascii="宋体" w:hAnsi="宋体" w:cs="宋体"/>
          <w:kern w:val="0"/>
          <w:szCs w:val="21"/>
          <w:highlight w:val="none"/>
        </w:rPr>
        <w:t>。</w:t>
      </w:r>
    </w:p>
    <w:p w14:paraId="46A8F80F">
      <w:pPr>
        <w:pStyle w:val="2"/>
        <w:pageBreakBefore w:val="0"/>
        <w:kinsoku/>
        <w:overflowPunct/>
        <w:topLinePunct w:val="0"/>
        <w:bidi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17.4.5质量保证金的退还方式</w:t>
      </w:r>
    </w:p>
    <w:p w14:paraId="65D6855B">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质量保证金的退还采取以下第</w:t>
      </w:r>
      <w:r>
        <w:rPr>
          <w:rFonts w:hint="eastAsia" w:ascii="宋体" w:hAnsi="宋体" w:cs="宋体"/>
          <w:kern w:val="0"/>
          <w:szCs w:val="21"/>
          <w:highlight w:val="none"/>
          <w:u w:val="single"/>
        </w:rPr>
        <w:t>（2）</w:t>
      </w:r>
      <w:r>
        <w:rPr>
          <w:rFonts w:hint="eastAsia" w:ascii="宋体" w:hAnsi="宋体" w:cs="宋体"/>
          <w:kern w:val="0"/>
          <w:szCs w:val="21"/>
          <w:highlight w:val="none"/>
        </w:rPr>
        <w:t>种方式：</w:t>
      </w:r>
    </w:p>
    <w:p w14:paraId="5C44D940">
      <w:pPr>
        <w:pageBreakBefore w:val="0"/>
        <w:kinsoku/>
        <w:overflowPunct/>
        <w:topLinePunct w:val="0"/>
        <w:bidi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（1）采用本合同条款17.4.2、17.4.3约定方式；</w:t>
      </w:r>
    </w:p>
    <w:p w14:paraId="54421875">
      <w:pPr>
        <w:pageBreakBefore w:val="0"/>
        <w:kinsoku/>
        <w:overflowPunct/>
        <w:topLinePunct w:val="0"/>
        <w:bidi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（2）缺陷责任期满且承包人按合同规定递交最终结清申请单后28天内，发包人一次性无息退还质量保证金。</w:t>
      </w:r>
    </w:p>
    <w:p w14:paraId="617616C2">
      <w:pPr>
        <w:pStyle w:val="2"/>
        <w:pageBreakBefore w:val="0"/>
        <w:kinsoku/>
        <w:overflowPunct/>
        <w:topLinePunct w:val="0"/>
        <w:bidi w:val="0"/>
        <w:spacing w:line="360" w:lineRule="auto"/>
        <w:rPr>
          <w:highlight w:val="none"/>
        </w:rPr>
      </w:pPr>
      <w:r>
        <w:rPr>
          <w:rFonts w:hint="eastAsia" w:ascii="宋体" w:hAnsi="宋体" w:cs="宋体"/>
          <w:kern w:val="0"/>
          <w:szCs w:val="21"/>
          <w:highlight w:val="none"/>
        </w:rPr>
        <w:t xml:space="preserve">    （3）其他退还方式：</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14:paraId="02653928">
      <w:pPr>
        <w:pStyle w:val="2"/>
        <w:pageBreakBefore w:val="0"/>
        <w:kinsoku/>
        <w:overflowPunct/>
        <w:topLinePunct w:val="0"/>
        <w:bidi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17.4.6质量保证金利息的支付</w:t>
      </w:r>
    </w:p>
    <w:p w14:paraId="6BC3215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质量保证金利息的支付，采取以下第</w:t>
      </w:r>
      <w:r>
        <w:rPr>
          <w:rFonts w:hint="eastAsia" w:ascii="宋体" w:hAnsi="宋体" w:cs="宋体"/>
          <w:kern w:val="0"/>
          <w:szCs w:val="21"/>
          <w:highlight w:val="none"/>
          <w:u w:val="single"/>
        </w:rPr>
        <w:t xml:space="preserve"> （2） </w:t>
      </w:r>
      <w:r>
        <w:rPr>
          <w:rFonts w:hint="eastAsia" w:ascii="宋体" w:hAnsi="宋体" w:cs="宋体"/>
          <w:kern w:val="0"/>
          <w:szCs w:val="21"/>
          <w:highlight w:val="none"/>
        </w:rPr>
        <w:t>种方式：</w:t>
      </w:r>
    </w:p>
    <w:p w14:paraId="3286372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u w:val="single"/>
        </w:rPr>
        <w:t>（1）</w:t>
      </w:r>
      <w:r>
        <w:rPr>
          <w:rFonts w:hint="eastAsia" w:ascii="宋体" w:hAnsi="宋体"/>
          <w:szCs w:val="21"/>
          <w:highlight w:val="none"/>
          <w:u w:val="single"/>
        </w:rPr>
        <w:t>按照中国人民银行   年   月公布的5年期贷款市场报价利率支付利息</w:t>
      </w:r>
      <w:r>
        <w:rPr>
          <w:rFonts w:hint="eastAsia" w:ascii="宋体" w:hAnsi="宋体"/>
          <w:szCs w:val="21"/>
          <w:highlight w:val="none"/>
        </w:rPr>
        <w:t>。</w:t>
      </w:r>
    </w:p>
    <w:p w14:paraId="08DB986A">
      <w:pPr>
        <w:pageBreakBefore w:val="0"/>
        <w:kinsoku/>
        <w:overflowPunct/>
        <w:topLinePunct w:val="0"/>
        <w:bidi w:val="0"/>
        <w:snapToGrid w:val="0"/>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（2）不采用</w:t>
      </w:r>
      <w:r>
        <w:rPr>
          <w:rFonts w:hint="eastAsia" w:ascii="宋体" w:hAnsi="宋体" w:cs="宋体"/>
          <w:kern w:val="0"/>
          <w:szCs w:val="21"/>
          <w:highlight w:val="none"/>
        </w:rPr>
        <w:t>。</w:t>
      </w:r>
    </w:p>
    <w:p w14:paraId="60CE6A2C">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53" w:name="_Toc221951262"/>
      <w:r>
        <w:rPr>
          <w:rFonts w:hint="eastAsia" w:ascii="宋体" w:hAnsi="宋体" w:cs="宋体"/>
          <w:szCs w:val="21"/>
          <w:highlight w:val="none"/>
        </w:rPr>
        <w:t xml:space="preserve"> </w:t>
      </w:r>
      <w:bookmarkEnd w:id="253"/>
      <w:bookmarkStart w:id="254" w:name="_Toc221951265"/>
      <w:bookmarkStart w:id="255" w:name="_Toc33183766"/>
      <w:r>
        <w:rPr>
          <w:rFonts w:hint="eastAsia" w:ascii="宋体" w:hAnsi="宋体" w:cs="宋体"/>
          <w:szCs w:val="21"/>
          <w:highlight w:val="none"/>
        </w:rPr>
        <w:t>17.5  竣工（完工）结算</w:t>
      </w:r>
      <w:bookmarkEnd w:id="254"/>
      <w:bookmarkEnd w:id="255"/>
    </w:p>
    <w:p w14:paraId="5A6906C9">
      <w:pPr>
        <w:pageBreakBefore w:val="0"/>
        <w:kinsoku/>
        <w:overflowPunct/>
        <w:topLinePunct w:val="0"/>
        <w:bidi w:val="0"/>
        <w:spacing w:line="360" w:lineRule="auto"/>
        <w:ind w:right="248" w:firstLine="480"/>
        <w:rPr>
          <w:rFonts w:ascii="宋体" w:hAnsi="宋体" w:cs="宋体"/>
          <w:szCs w:val="21"/>
          <w:highlight w:val="none"/>
        </w:rPr>
      </w:pPr>
      <w:bookmarkStart w:id="256" w:name="_Toc221951266"/>
      <w:r>
        <w:rPr>
          <w:rFonts w:hint="eastAsia" w:ascii="宋体" w:hAnsi="宋体" w:cs="宋体"/>
          <w:szCs w:val="21"/>
          <w:highlight w:val="none"/>
        </w:rPr>
        <w:t>17.5.1  竣工（完工）付款申请单</w:t>
      </w:r>
      <w:bookmarkEnd w:id="256"/>
      <w:r>
        <w:rPr>
          <w:rFonts w:hint="eastAsia" w:ascii="宋体" w:hAnsi="宋体" w:cs="宋体"/>
          <w:szCs w:val="21"/>
          <w:highlight w:val="none"/>
        </w:rPr>
        <w:t xml:space="preserve"> </w:t>
      </w:r>
    </w:p>
    <w:p w14:paraId="40C6EE54">
      <w:pPr>
        <w:pageBreakBefore w:val="0"/>
        <w:kinsoku/>
        <w:overflowPunct/>
        <w:topLinePunct w:val="0"/>
        <w:bidi w:val="0"/>
        <w:spacing w:line="360" w:lineRule="auto"/>
        <w:ind w:right="248" w:firstLine="480"/>
        <w:rPr>
          <w:rFonts w:ascii="宋体" w:hAnsi="宋体" w:cs="宋体"/>
          <w:szCs w:val="21"/>
          <w:highlight w:val="none"/>
        </w:rPr>
      </w:pPr>
      <w:bookmarkStart w:id="257" w:name="_Toc221951267"/>
      <w:r>
        <w:rPr>
          <w:rFonts w:hint="eastAsia" w:ascii="宋体" w:hAnsi="宋体" w:cs="宋体"/>
          <w:szCs w:val="21"/>
          <w:highlight w:val="none"/>
        </w:rPr>
        <w:t>承包人应提交完工付款申请单一式</w:t>
      </w:r>
      <w:r>
        <w:rPr>
          <w:rFonts w:hint="eastAsia" w:ascii="宋体" w:hAnsi="宋体" w:cs="宋体"/>
          <w:szCs w:val="21"/>
          <w:highlight w:val="none"/>
          <w:u w:val="single"/>
        </w:rPr>
        <w:t xml:space="preserve"> 五 </w:t>
      </w:r>
      <w:r>
        <w:rPr>
          <w:rFonts w:hint="eastAsia" w:ascii="宋体" w:hAnsi="宋体" w:cs="宋体"/>
          <w:szCs w:val="21"/>
          <w:highlight w:val="none"/>
        </w:rPr>
        <w:t>份。</w:t>
      </w:r>
      <w:bookmarkEnd w:id="257"/>
    </w:p>
    <w:p w14:paraId="735E281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承包人提交</w:t>
      </w:r>
      <w:r>
        <w:rPr>
          <w:rFonts w:hint="eastAsia" w:ascii="宋体" w:hAnsi="宋体" w:cs="宋体"/>
          <w:szCs w:val="21"/>
          <w:highlight w:val="none"/>
        </w:rPr>
        <w:t>完工</w:t>
      </w:r>
      <w:r>
        <w:rPr>
          <w:rFonts w:hint="eastAsia" w:ascii="宋体" w:hAnsi="宋体" w:cs="宋体"/>
          <w:kern w:val="0"/>
          <w:szCs w:val="21"/>
          <w:highlight w:val="none"/>
        </w:rPr>
        <w:t>结算申请单的期限：</w:t>
      </w:r>
      <w:r>
        <w:rPr>
          <w:rFonts w:hint="eastAsia" w:ascii="宋体" w:hAnsi="宋体" w:cs="宋体"/>
          <w:kern w:val="0"/>
          <w:szCs w:val="21"/>
          <w:highlight w:val="none"/>
          <w:u w:val="single"/>
        </w:rPr>
        <w:t>承包人应在工程完工验收合格之日且报送完成的完工资料之日起28天内向监理人、发包人提交完工结算申请单，并向发包人报送完整的工程竣工资料及经监理人初审确认的完整的完工结算资料。监理人或发包人对完工结算申请单有异议的，应在接到完工结算申请单后14天内要求承包人进行修正和提供补充资料，承包人在接到监理人或发包人提出的审核意见后，应在28天内按监理人或发包人提出的合理要求补充资料、修改完工结算资料，并再次提交监理人或发包人审核。承包人未在规定时间内报送完工结算资料给发包人造成经济损失的，承包人应承担赔偿责任</w:t>
      </w:r>
      <w:r>
        <w:rPr>
          <w:rFonts w:hint="eastAsia" w:ascii="宋体" w:hAnsi="宋体" w:cs="宋体"/>
          <w:kern w:val="0"/>
          <w:szCs w:val="21"/>
          <w:highlight w:val="none"/>
        </w:rPr>
        <w:t>。</w:t>
      </w:r>
    </w:p>
    <w:p w14:paraId="79F08442">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完工</w:t>
      </w:r>
      <w:r>
        <w:rPr>
          <w:rFonts w:hint="eastAsia" w:ascii="宋体" w:hAnsi="宋体" w:cs="宋体"/>
          <w:kern w:val="0"/>
          <w:szCs w:val="21"/>
          <w:highlight w:val="none"/>
        </w:rPr>
        <w:t>结算申请单包括但不限于以下内容：</w:t>
      </w:r>
    </w:p>
    <w:p w14:paraId="5DCD5241">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zCs w:val="21"/>
          <w:highlight w:val="none"/>
        </w:rPr>
        <w:t>完工</w:t>
      </w:r>
      <w:r>
        <w:rPr>
          <w:rFonts w:hint="eastAsia" w:ascii="宋体" w:hAnsi="宋体" w:cs="宋体"/>
          <w:kern w:val="0"/>
          <w:szCs w:val="21"/>
          <w:highlight w:val="none"/>
        </w:rPr>
        <w:t>结算合同价格；</w:t>
      </w:r>
    </w:p>
    <w:p w14:paraId="199270C1">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（2）变更增减金额；</w:t>
      </w:r>
    </w:p>
    <w:p w14:paraId="53F2FBBD">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（3）现场签证增减金额；</w:t>
      </w:r>
    </w:p>
    <w:p w14:paraId="1D2FD554">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（4）价格调整；</w:t>
      </w:r>
    </w:p>
    <w:p w14:paraId="44EC11EC">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（5）索赔增减金额；</w:t>
      </w:r>
    </w:p>
    <w:p w14:paraId="40B398DC">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（6）奖励、罚金及违约金；</w:t>
      </w:r>
    </w:p>
    <w:p w14:paraId="496CF843">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（7）发包人已支付承包人的款项；</w:t>
      </w:r>
    </w:p>
    <w:p w14:paraId="556F2B61">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（8）应扣留的质量保证金；</w:t>
      </w:r>
    </w:p>
    <w:p w14:paraId="18DFA675">
      <w:pPr>
        <w:pageBreakBefore w:val="0"/>
        <w:kinsoku/>
        <w:overflowPunct/>
        <w:topLinePunct w:val="0"/>
        <w:bidi w:val="0"/>
        <w:snapToGrid w:val="0"/>
        <w:spacing w:line="360" w:lineRule="auto"/>
        <w:ind w:firstLine="470"/>
        <w:jc w:val="left"/>
        <w:rPr>
          <w:rFonts w:ascii="宋体" w:hAnsi="宋体" w:cs="宋体"/>
          <w:kern w:val="0"/>
          <w:szCs w:val="21"/>
          <w:highlight w:val="none"/>
        </w:rPr>
      </w:pPr>
      <w:r>
        <w:rPr>
          <w:rFonts w:hint="eastAsia" w:ascii="宋体" w:hAnsi="宋体" w:cs="宋体"/>
          <w:kern w:val="0"/>
          <w:szCs w:val="21"/>
          <w:highlight w:val="none"/>
        </w:rPr>
        <w:t>（9）发包人应支付承包人的合同价款。</w:t>
      </w:r>
    </w:p>
    <w:p w14:paraId="2C9DEB51">
      <w:pPr>
        <w:pageBreakBefore w:val="0"/>
        <w:kinsoku/>
        <w:overflowPunct/>
        <w:topLinePunct w:val="0"/>
        <w:bidi w:val="0"/>
        <w:snapToGrid w:val="0"/>
        <w:spacing w:line="360" w:lineRule="auto"/>
        <w:ind w:firstLine="470"/>
        <w:jc w:val="left"/>
        <w:rPr>
          <w:rFonts w:ascii="宋体" w:hAnsi="宋体" w:cs="宋体"/>
          <w:szCs w:val="21"/>
          <w:highlight w:val="none"/>
        </w:rPr>
      </w:pPr>
      <w:r>
        <w:rPr>
          <w:rFonts w:hint="eastAsia" w:ascii="宋体" w:hAnsi="宋体" w:cs="宋体"/>
          <w:kern w:val="0"/>
          <w:szCs w:val="21"/>
          <w:highlight w:val="none"/>
        </w:rPr>
        <w:t>（10）</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443D0AA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17.5.1.1 </w:t>
      </w:r>
      <w:r>
        <w:rPr>
          <w:rFonts w:hint="eastAsia" w:ascii="宋体" w:hAnsi="宋体" w:cs="宋体"/>
          <w:szCs w:val="21"/>
          <w:highlight w:val="none"/>
        </w:rPr>
        <w:t>完工</w:t>
      </w:r>
      <w:r>
        <w:rPr>
          <w:rFonts w:hint="eastAsia" w:ascii="宋体" w:hAnsi="宋体" w:cs="宋体"/>
          <w:kern w:val="0"/>
          <w:szCs w:val="21"/>
          <w:highlight w:val="none"/>
        </w:rPr>
        <w:t>结算办法</w:t>
      </w:r>
    </w:p>
    <w:p w14:paraId="00E23F3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17.5.1.1.1计量原则</w:t>
      </w:r>
    </w:p>
    <w:p w14:paraId="22FD03F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按照第17.1.2项〔计量方法〕约定执行。</w:t>
      </w:r>
    </w:p>
    <w:p w14:paraId="66C287B0">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17.5.1.2计价原则</w:t>
      </w:r>
    </w:p>
    <w:p w14:paraId="5E0E70E5">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合同完工结算总价=完工结算合同价格+变更增减金额+现场签证增减金额±价格调整（如有）±索赔增减金额±奖励、罚金及违约金及其他费用</w:t>
      </w:r>
      <w:r>
        <w:rPr>
          <w:rFonts w:hint="eastAsia" w:ascii="宋体" w:hAnsi="宋体" w:cs="宋体"/>
          <w:kern w:val="0"/>
          <w:szCs w:val="21"/>
          <w:highlight w:val="none"/>
        </w:rPr>
        <w:t>。</w:t>
      </w:r>
    </w:p>
    <w:p w14:paraId="2479D39F">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17.5.1.3</w:t>
      </w:r>
      <w:r>
        <w:rPr>
          <w:rFonts w:hint="eastAsia" w:ascii="宋体" w:hAnsi="宋体" w:cs="宋体"/>
          <w:szCs w:val="21"/>
          <w:highlight w:val="none"/>
        </w:rPr>
        <w:t>完工</w:t>
      </w:r>
      <w:r>
        <w:rPr>
          <w:rFonts w:hint="eastAsia" w:ascii="宋体" w:hAnsi="宋体" w:cs="宋体"/>
          <w:kern w:val="0"/>
          <w:szCs w:val="21"/>
          <w:highlight w:val="none"/>
        </w:rPr>
        <w:t>结算总价</w:t>
      </w:r>
    </w:p>
    <w:p w14:paraId="2D818243">
      <w:pPr>
        <w:pageBreakBefore w:val="0"/>
        <w:tabs>
          <w:tab w:val="left" w:pos="711"/>
          <w:tab w:val="left" w:pos="2580"/>
        </w:tabs>
        <w:kinsoku/>
        <w:overflowPunct/>
        <w:topLinePunct w:val="0"/>
        <w:bidi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发包人、审计单位、监理人、承包人根据有效资料共同确定</w:t>
      </w:r>
      <w:r>
        <w:rPr>
          <w:rFonts w:hint="eastAsia" w:ascii="宋体" w:hAnsi="宋体" w:cs="宋体"/>
          <w:szCs w:val="21"/>
          <w:highlight w:val="none"/>
        </w:rPr>
        <w:t>完工</w:t>
      </w:r>
      <w:r>
        <w:rPr>
          <w:rFonts w:hint="eastAsia" w:ascii="宋体" w:hAnsi="宋体" w:cs="宋体"/>
          <w:kern w:val="0"/>
          <w:szCs w:val="21"/>
          <w:highlight w:val="none"/>
        </w:rPr>
        <w:t>结算金额作为合同</w:t>
      </w:r>
      <w:r>
        <w:rPr>
          <w:rFonts w:hint="eastAsia" w:ascii="宋体" w:hAnsi="宋体" w:cs="宋体"/>
          <w:szCs w:val="21"/>
          <w:highlight w:val="none"/>
        </w:rPr>
        <w:t>竣工（完工）</w:t>
      </w:r>
      <w:r>
        <w:rPr>
          <w:rFonts w:hint="eastAsia" w:ascii="宋体" w:hAnsi="宋体" w:cs="宋体"/>
          <w:kern w:val="0"/>
          <w:szCs w:val="21"/>
          <w:highlight w:val="none"/>
        </w:rPr>
        <w:t>结算总价。</w:t>
      </w:r>
    </w:p>
    <w:p w14:paraId="4554B378">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17.5.2完工付款证书及支付时间</w:t>
      </w:r>
    </w:p>
    <w:p w14:paraId="04E51EF3">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监理人审核完工付款申请单的期限：</w:t>
      </w:r>
      <w:r>
        <w:rPr>
          <w:rFonts w:hint="eastAsia" w:ascii="宋体" w:hAnsi="宋体" w:cs="宋体"/>
          <w:kern w:val="0"/>
          <w:szCs w:val="21"/>
          <w:highlight w:val="none"/>
          <w:u w:val="single"/>
        </w:rPr>
        <w:t>不超过14日</w:t>
      </w:r>
      <w:r>
        <w:rPr>
          <w:rFonts w:hint="eastAsia" w:ascii="宋体" w:hAnsi="宋体" w:cs="宋体"/>
          <w:kern w:val="0"/>
          <w:szCs w:val="21"/>
          <w:highlight w:val="none"/>
        </w:rPr>
        <w:t>。</w:t>
      </w:r>
    </w:p>
    <w:p w14:paraId="2DB3615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发包人审核完工付款申请单的期限：</w:t>
      </w:r>
      <w:r>
        <w:rPr>
          <w:rFonts w:hint="eastAsia" w:ascii="宋体" w:hAnsi="宋体" w:cs="宋体"/>
          <w:kern w:val="0"/>
          <w:szCs w:val="21"/>
          <w:highlight w:val="none"/>
          <w:u w:val="single"/>
        </w:rPr>
        <w:t>不超过56日</w:t>
      </w:r>
      <w:r>
        <w:rPr>
          <w:rFonts w:hint="eastAsia" w:ascii="宋体" w:hAnsi="宋体" w:cs="宋体"/>
          <w:kern w:val="0"/>
          <w:szCs w:val="21"/>
          <w:highlight w:val="none"/>
        </w:rPr>
        <w:t>。</w:t>
      </w:r>
    </w:p>
    <w:p w14:paraId="0B3148A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发包人完成完工付款的期限：</w:t>
      </w:r>
      <w:r>
        <w:rPr>
          <w:rFonts w:hint="eastAsia" w:ascii="宋体" w:hAnsi="宋体" w:cs="宋体"/>
          <w:kern w:val="0"/>
          <w:szCs w:val="21"/>
          <w:highlight w:val="none"/>
          <w:u w:val="single"/>
        </w:rPr>
        <w:t>完成完工付款申请单审核后28天内</w:t>
      </w:r>
      <w:r>
        <w:rPr>
          <w:rFonts w:hint="eastAsia" w:ascii="宋体" w:hAnsi="宋体" w:cs="宋体"/>
          <w:kern w:val="0"/>
          <w:szCs w:val="21"/>
          <w:highlight w:val="none"/>
        </w:rPr>
        <w:t>。</w:t>
      </w:r>
    </w:p>
    <w:p w14:paraId="4487CCB2">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关于完工付款证书异议部分复核的方式和程序：</w:t>
      </w:r>
      <w:r>
        <w:rPr>
          <w:rFonts w:hint="eastAsia" w:ascii="宋体" w:hAnsi="宋体" w:cs="宋体"/>
          <w:kern w:val="0"/>
          <w:szCs w:val="21"/>
          <w:highlight w:val="none"/>
          <w:u w:val="single"/>
        </w:rPr>
        <w:t>按照第24条〔争议的解决〕约定处理</w:t>
      </w:r>
      <w:r>
        <w:rPr>
          <w:rFonts w:hint="eastAsia" w:ascii="宋体" w:hAnsi="宋体" w:cs="宋体"/>
          <w:kern w:val="0"/>
          <w:szCs w:val="21"/>
          <w:highlight w:val="none"/>
        </w:rPr>
        <w:t>。</w:t>
      </w:r>
    </w:p>
    <w:p w14:paraId="11E83DF4">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58" w:name="_Toc221951268"/>
      <w:bookmarkStart w:id="259" w:name="_Toc33183767"/>
      <w:r>
        <w:rPr>
          <w:rFonts w:hint="eastAsia" w:ascii="宋体" w:hAnsi="宋体" w:cs="宋体"/>
          <w:szCs w:val="21"/>
          <w:highlight w:val="none"/>
        </w:rPr>
        <w:t>17.6  最终结清</w:t>
      </w:r>
      <w:bookmarkEnd w:id="258"/>
      <w:bookmarkEnd w:id="259"/>
    </w:p>
    <w:p w14:paraId="033F40AE">
      <w:pPr>
        <w:pageBreakBefore w:val="0"/>
        <w:kinsoku/>
        <w:overflowPunct/>
        <w:topLinePunct w:val="0"/>
        <w:bidi w:val="0"/>
        <w:spacing w:line="360" w:lineRule="auto"/>
        <w:ind w:right="248" w:firstLine="480"/>
        <w:rPr>
          <w:rFonts w:ascii="宋体" w:hAnsi="宋体" w:cs="宋体"/>
          <w:szCs w:val="21"/>
          <w:highlight w:val="none"/>
        </w:rPr>
      </w:pPr>
      <w:bookmarkStart w:id="260" w:name="_Toc221951269"/>
      <w:r>
        <w:rPr>
          <w:rFonts w:hint="eastAsia" w:ascii="宋体" w:hAnsi="宋体" w:cs="宋体"/>
          <w:szCs w:val="21"/>
          <w:highlight w:val="none"/>
        </w:rPr>
        <w:t>17.6 1  最终结清申请单</w:t>
      </w:r>
      <w:bookmarkEnd w:id="260"/>
    </w:p>
    <w:p w14:paraId="7ECD2E46">
      <w:pPr>
        <w:pageBreakBefore w:val="0"/>
        <w:kinsoku/>
        <w:overflowPunct/>
        <w:topLinePunct w:val="0"/>
        <w:bidi w:val="0"/>
        <w:spacing w:line="360" w:lineRule="auto"/>
        <w:ind w:firstLine="420" w:firstLineChars="200"/>
        <w:jc w:val="left"/>
        <w:rPr>
          <w:rFonts w:ascii="宋体" w:hAnsi="宋体" w:cs="宋体"/>
          <w:kern w:val="0"/>
          <w:szCs w:val="21"/>
          <w:highlight w:val="none"/>
        </w:rPr>
      </w:pPr>
      <w:bookmarkStart w:id="261" w:name="_Toc221951270"/>
      <w:r>
        <w:rPr>
          <w:rFonts w:hint="eastAsia" w:ascii="宋体" w:hAnsi="宋体" w:cs="宋体"/>
          <w:kern w:val="0"/>
          <w:szCs w:val="21"/>
          <w:highlight w:val="none"/>
        </w:rPr>
        <w:t>承包人提交最终结清申请单的份数：</w:t>
      </w:r>
      <w:r>
        <w:rPr>
          <w:rFonts w:hint="eastAsia" w:ascii="宋体" w:hAnsi="宋体" w:cs="宋体"/>
          <w:kern w:val="0"/>
          <w:szCs w:val="21"/>
          <w:highlight w:val="none"/>
          <w:u w:val="single"/>
        </w:rPr>
        <w:t xml:space="preserve"> 四 份</w:t>
      </w:r>
      <w:r>
        <w:rPr>
          <w:rFonts w:hint="eastAsia" w:ascii="宋体" w:hAnsi="宋体" w:cs="宋体"/>
          <w:kern w:val="0"/>
          <w:szCs w:val="21"/>
          <w:highlight w:val="none"/>
        </w:rPr>
        <w:t>。</w:t>
      </w:r>
    </w:p>
    <w:p w14:paraId="459B90A8">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承包人提交最终结算申请单的期限：</w:t>
      </w:r>
      <w:r>
        <w:rPr>
          <w:rFonts w:hint="eastAsia" w:ascii="宋体" w:hAnsi="宋体" w:cs="宋体"/>
          <w:kern w:val="0"/>
          <w:szCs w:val="21"/>
          <w:highlight w:val="none"/>
          <w:u w:val="single"/>
        </w:rPr>
        <w:t>缺陷责任期终止证书颁发后14天内</w:t>
      </w:r>
      <w:r>
        <w:rPr>
          <w:rFonts w:hint="eastAsia" w:ascii="宋体" w:hAnsi="宋体" w:cs="宋体"/>
          <w:kern w:val="0"/>
          <w:szCs w:val="21"/>
          <w:highlight w:val="none"/>
        </w:rPr>
        <w:t>。</w:t>
      </w:r>
    </w:p>
    <w:p w14:paraId="582437F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17.6.2</w:t>
      </w:r>
      <w:r>
        <w:rPr>
          <w:rFonts w:hint="eastAsia" w:ascii="宋体" w:hAnsi="宋体" w:cs="宋体"/>
          <w:kern w:val="0"/>
          <w:szCs w:val="21"/>
          <w:highlight w:val="none"/>
        </w:rPr>
        <w:t>最终结清证书和支付时间</w:t>
      </w:r>
    </w:p>
    <w:p w14:paraId="34CF5EB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（1）监理人完成最终结清申请单的审批并颁发最终结清证书的期限：</w:t>
      </w:r>
      <w:r>
        <w:rPr>
          <w:rFonts w:hint="eastAsia" w:ascii="宋体" w:hAnsi="宋体" w:cs="宋体"/>
          <w:kern w:val="0"/>
          <w:szCs w:val="21"/>
          <w:highlight w:val="none"/>
          <w:u w:val="single"/>
        </w:rPr>
        <w:t>监理人收到承包人提交的最终结清申请单后的14天内，提出发包人应支付给承包人的价款送发包人审核并抄送承包人。发包人应在收到后28天内审核完毕，由监理人向承包人出具经发包人签认的最终结清证书</w:t>
      </w:r>
      <w:r>
        <w:rPr>
          <w:rFonts w:hint="eastAsia" w:ascii="宋体" w:hAnsi="宋体" w:cs="宋体"/>
          <w:kern w:val="0"/>
          <w:szCs w:val="21"/>
          <w:highlight w:val="none"/>
        </w:rPr>
        <w:t>。</w:t>
      </w:r>
    </w:p>
    <w:p w14:paraId="646861F1">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（2）发包人付款的期限：</w:t>
      </w:r>
      <w:r>
        <w:rPr>
          <w:rFonts w:hint="eastAsia" w:ascii="宋体" w:hAnsi="宋体" w:cs="宋体"/>
          <w:kern w:val="0"/>
          <w:szCs w:val="21"/>
          <w:highlight w:val="none"/>
          <w:u w:val="single"/>
        </w:rPr>
        <w:t>颁发最终结清证书的 28天内</w:t>
      </w:r>
      <w:r>
        <w:rPr>
          <w:rFonts w:hint="eastAsia" w:ascii="宋体" w:hAnsi="宋体" w:cs="宋体"/>
          <w:kern w:val="0"/>
          <w:szCs w:val="21"/>
          <w:highlight w:val="none"/>
        </w:rPr>
        <w:t>。</w:t>
      </w:r>
    </w:p>
    <w:p w14:paraId="3B8405C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本款补充17.6.3项如下：</w:t>
      </w:r>
    </w:p>
    <w:p w14:paraId="401D9FA8">
      <w:pPr>
        <w:keepNext/>
        <w:keepLines/>
        <w:pageBreakBefore w:val="0"/>
        <w:kinsoku/>
        <w:overflowPunct/>
        <w:topLinePunct w:val="0"/>
        <w:bidi w:val="0"/>
        <w:spacing w:line="360" w:lineRule="auto"/>
        <w:ind w:firstLine="420" w:firstLineChars="200"/>
        <w:outlineLvl w:val="4"/>
        <w:rPr>
          <w:rFonts w:ascii="宋体" w:hAnsi="宋体" w:cs="宋体"/>
          <w:kern w:val="0"/>
          <w:szCs w:val="21"/>
          <w:highlight w:val="none"/>
        </w:rPr>
      </w:pPr>
      <w:r>
        <w:rPr>
          <w:rFonts w:hint="eastAsia" w:ascii="宋体" w:hAnsi="宋体" w:cs="宋体"/>
          <w:kern w:val="0"/>
          <w:szCs w:val="21"/>
          <w:highlight w:val="none"/>
        </w:rPr>
        <w:t>17.6.3逾期办理或不配合办理完工结算的处理</w:t>
      </w:r>
    </w:p>
    <w:p w14:paraId="310EB5E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有下列情形之一的，视为承包人放弃与发包人共同办理完工结算的权利，发包人有权会同审计单位、监理人根据有效资料共同确定完工结算金额。</w:t>
      </w:r>
    </w:p>
    <w:p w14:paraId="367A1B9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（1）承包人具备报送条件但逾期未报送完工结算资料，亦未获得发包人批准延期报送，经发包人两次书面催告仍未在限期内报送的。</w:t>
      </w:r>
    </w:p>
    <w:p w14:paraId="3BD4104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承包人在接到监理人或发包人对完工结算申请单提出的审核意见后，未在限期内按监理人或发包人提出的合理要求补充资料和（或）修改完工结算资料，亦未获得发包人批准延期报送，经发包人两次书面催告仍未在限期内报送的。</w:t>
      </w:r>
    </w:p>
    <w:p w14:paraId="7EB4D35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（3）承包人不配合发包人、审计单位、监理人、发包人委托的工程造价咨询服务单位办理完工结算的，经发包人两次书面函告仍未改正的。</w:t>
      </w:r>
    </w:p>
    <w:p w14:paraId="387807D1">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kern w:val="0"/>
          <w:szCs w:val="21"/>
          <w:highlight w:val="none"/>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bookmarkEnd w:id="261"/>
    </w:p>
    <w:p w14:paraId="03FACBD3">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62" w:name="_Toc33183768"/>
      <w:r>
        <w:rPr>
          <w:rFonts w:hint="eastAsia" w:ascii="宋体" w:hAnsi="宋体" w:cs="宋体"/>
          <w:szCs w:val="21"/>
          <w:highlight w:val="none"/>
        </w:rPr>
        <w:t>17.7  竣工财务决算</w:t>
      </w:r>
      <w:bookmarkEnd w:id="262"/>
    </w:p>
    <w:p w14:paraId="7F32D254">
      <w:pPr>
        <w:pageBreakBefore w:val="0"/>
        <w:kinsoku/>
        <w:overflowPunct/>
        <w:topLinePunct w:val="0"/>
        <w:bidi w:val="0"/>
        <w:spacing w:line="360" w:lineRule="auto"/>
        <w:ind w:right="248" w:firstLine="480"/>
        <w:rPr>
          <w:rFonts w:hint="eastAsia"/>
          <w:szCs w:val="21"/>
          <w:highlight w:val="none"/>
          <w:u w:val="single"/>
        </w:rPr>
      </w:pPr>
      <w:r>
        <w:rPr>
          <w:rFonts w:hint="eastAsia" w:ascii="宋体" w:hAnsi="宋体" w:cs="宋体"/>
          <w:szCs w:val="21"/>
          <w:highlight w:val="none"/>
        </w:rPr>
        <w:t>承包人应为竣工财务决算编制提供的资料：</w:t>
      </w:r>
      <w:r>
        <w:rPr>
          <w:rFonts w:hint="eastAsia" w:ascii="宋体" w:hAnsi="宋体" w:cs="宋体"/>
          <w:szCs w:val="21"/>
          <w:highlight w:val="none"/>
          <w:u w:val="single"/>
        </w:rPr>
        <w:t xml:space="preserve"> </w:t>
      </w:r>
      <w:r>
        <w:rPr>
          <w:rFonts w:hint="eastAsia"/>
          <w:szCs w:val="21"/>
          <w:highlight w:val="none"/>
          <w:u w:val="single"/>
        </w:rPr>
        <w:t xml:space="preserve">竣工图、评定资料、质保资料、综合资料、施 </w:t>
      </w:r>
    </w:p>
    <w:p w14:paraId="75CD0A79">
      <w:pPr>
        <w:pStyle w:val="2"/>
        <w:pageBreakBefore w:val="0"/>
        <w:kinsoku/>
        <w:overflowPunct/>
        <w:topLinePunct w:val="0"/>
        <w:bidi w:val="0"/>
        <w:spacing w:line="360" w:lineRule="auto"/>
        <w:rPr>
          <w:highlight w:val="none"/>
          <w:u w:val="single"/>
        </w:rPr>
      </w:pPr>
      <w:r>
        <w:rPr>
          <w:rFonts w:hint="eastAsia"/>
          <w:highlight w:val="none"/>
          <w:u w:val="single"/>
        </w:rPr>
        <w:t>工日志及工程影像资料。</w:t>
      </w:r>
    </w:p>
    <w:p w14:paraId="4196CC7F">
      <w:pPr>
        <w:keepNext w:val="0"/>
        <w:keepLines w:val="0"/>
        <w:pageBreakBefore w:val="0"/>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 xml:space="preserve"> 结算原则 </w:t>
      </w:r>
    </w:p>
    <w:p w14:paraId="49364EF2">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工程主要材料及设备由发包人提供，材料及设备采购费用不计入本合同结算金额。</w:t>
      </w:r>
    </w:p>
    <w:p w14:paraId="35FF7EC2">
      <w:pPr>
        <w:pageBreakBefore w:val="0"/>
        <w:kinsoku/>
        <w:overflowPunct/>
        <w:topLinePunct w:val="0"/>
        <w:bidi w:val="0"/>
        <w:snapToGrid w:val="0"/>
        <w:spacing w:line="360" w:lineRule="auto"/>
        <w:ind w:left="420" w:leftChars="20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.2、投标工程量清单里未约定的子项按以下原则办理结算: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(1)按渝水基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2005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56 号文颁发的《重庆市水利工程施工机械台时费定额》、渝水〔2016〕 </w:t>
      </w:r>
    </w:p>
    <w:p w14:paraId="5AC8CF6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151 号《关于水利工程营业税改增值税后计价依据调整的通知》、渝水〔2019〕55 号《关于重新 调整水利工程和水土保持工程计价依据中增值税税率的通知》、渝建〔2019〕143 号《重庆市住 房和城乡建设委员会关于适用增值税新税率调整建设工程计价依据的通知》、《重庆市水利建筑 工程预算定额》(2021 年版)、《重庆市水利工程施工机械台时费定额》(2021 年版)、《重庆 市市政工程计价定额》(CQSZDE-2018)及相关配套文件进行组价。 </w:t>
      </w:r>
    </w:p>
    <w:p w14:paraId="692B8D02">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(2)材料设备价格: 缺项材料</w:t>
      </w:r>
      <w:r>
        <w:rPr>
          <w:rFonts w:hint="eastAsia" w:ascii="楷体_GB2312"/>
          <w:szCs w:val="28"/>
        </w:rPr>
        <w:t>参照重庆市南川区住房和城乡建设委员会发布的《南川区2024年第三季度主要建筑材料价格信息》，缺项的参照</w:t>
      </w:r>
      <w:r>
        <w:rPr>
          <w:rFonts w:hint="eastAsia" w:ascii="楷体_GB2312" w:hAnsi="宋体"/>
          <w:szCs w:val="28"/>
        </w:rPr>
        <w:t>2025年第1期《重庆工程造价信息》</w:t>
      </w:r>
      <w:r>
        <w:rPr>
          <w:rFonts w:hint="eastAsia" w:ascii="宋体" w:hAnsi="宋体" w:cs="宋体"/>
          <w:color w:val="auto"/>
          <w:kern w:val="0"/>
          <w:szCs w:val="21"/>
          <w:highlight w:val="none"/>
        </w:rPr>
        <w:t>并结合市场价不含税价格及自身实力进行自主报价。</w:t>
      </w:r>
    </w:p>
    <w:p w14:paraId="3757876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工程量清单未约定子项新增所需材料、设备由中标人采购，但所采购的材料、设备必须符合 国家及重庆市规范标准及设计文件、招标文件要求，并提供相应合格证明资料 、质保书等(若有)， 并由监理方、招标人验收合格后方可用于施工，如果中标人采购的材料、设备未经监理方和招标 人验收直接用于施工，则招标人有权要求中标人无条件的更换至符合招标人要求，中标人不得延 误工期和提出任何费用补偿。 </w:t>
      </w:r>
    </w:p>
    <w:p w14:paraId="6EC8A28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(3)人工价格: </w:t>
      </w:r>
      <w:r>
        <w:rPr>
          <w:rFonts w:hint="eastAsia" w:ascii="宋体" w:hAnsi="宋体" w:cs="宋体"/>
          <w:color w:val="auto"/>
          <w:kern w:val="0"/>
          <w:szCs w:val="21"/>
          <w:highlight w:val="none"/>
          <w:lang w:eastAsia="zh-CN"/>
        </w:rPr>
        <w:t>建筑工程部分</w:t>
      </w:r>
      <w:r>
        <w:rPr>
          <w:rFonts w:hint="eastAsia" w:ascii="宋体" w:hAnsi="宋体" w:cs="宋体"/>
          <w:color w:val="auto"/>
          <w:kern w:val="0"/>
          <w:szCs w:val="21"/>
          <w:highlight w:val="none"/>
        </w:rPr>
        <w:t>按照重庆市水利工程造价站</w:t>
      </w:r>
      <w:r>
        <w:rPr>
          <w:rFonts w:hint="eastAsia" w:ascii="宋体" w:hAnsi="宋体" w:cs="宋体"/>
          <w:color w:val="auto"/>
          <w:kern w:val="0"/>
          <w:szCs w:val="21"/>
          <w:highlight w:val="none"/>
          <w:lang w:val="en-US" w:eastAsia="zh-CN"/>
        </w:rPr>
        <w:t>公布的</w:t>
      </w:r>
      <w:r>
        <w:rPr>
          <w:rFonts w:hint="eastAsia" w:ascii="宋体" w:hAnsi="宋体" w:cs="宋体"/>
          <w:color w:val="auto"/>
          <w:kern w:val="0"/>
          <w:szCs w:val="21"/>
          <w:highlight w:val="none"/>
        </w:rPr>
        <w:t>《重庆市水利工程20</w:t>
      </w:r>
      <w:r>
        <w:rPr>
          <w:rFonts w:hint="eastAsia" w:ascii="宋体" w:hAnsi="宋体" w:cs="宋体"/>
          <w:color w:val="auto"/>
          <w:kern w:val="0"/>
          <w:szCs w:val="21"/>
          <w:highlight w:val="none"/>
          <w:lang w:val="en-US" w:eastAsia="zh-CN"/>
        </w:rPr>
        <w:t>24</w:t>
      </w:r>
      <w:r>
        <w:rPr>
          <w:rFonts w:hint="eastAsia" w:ascii="宋体" w:hAnsi="宋体" w:cs="宋体"/>
          <w:color w:val="auto"/>
          <w:kern w:val="0"/>
          <w:szCs w:val="21"/>
          <w:highlight w:val="none"/>
        </w:rPr>
        <w:t>年第二期人工费价格信息的通知》中所发布的人工价格</w:t>
      </w:r>
      <w:r>
        <w:rPr>
          <w:rFonts w:hint="eastAsia" w:ascii="宋体" w:hAnsi="宋体" w:cs="宋体"/>
          <w:color w:val="auto"/>
          <w:kern w:val="0"/>
          <w:szCs w:val="21"/>
          <w:highlight w:val="none"/>
          <w:lang w:eastAsia="zh-CN"/>
        </w:rPr>
        <w:t>计算，</w:t>
      </w:r>
      <w:r>
        <w:rPr>
          <w:rFonts w:hint="eastAsia" w:ascii="宋体" w:hAnsi="宋体" w:cs="宋体"/>
          <w:color w:val="auto"/>
          <w:kern w:val="0"/>
          <w:szCs w:val="21"/>
          <w:highlight w:val="none"/>
        </w:rPr>
        <w:t>参照《重庆工程造价信息》2025年第1期渝西片区人工价格执行。</w:t>
      </w:r>
    </w:p>
    <w:p w14:paraId="1042B18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(4)安全生产费用:采用财政部安全监督总局关于印发《企业 安全生产费用提取和使用管 理办法》的通知(财企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2012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16 号)要求和重庆市水利局办公室文件《重庆市水利局办公室关于 进一步加强水利工程安全文明施工管理的通知》(渝水办建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2021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 号)的规定,按建筑安装工程总造价的 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按实结算。如果安全生产施工综合评定结果为不合格，则不计取安全生产费。 </w:t>
      </w:r>
    </w:p>
    <w:p w14:paraId="212A2E93">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(5)规费:按规定费率计算。</w:t>
      </w:r>
    </w:p>
    <w:p w14:paraId="04641CC3">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(6)税金:按规定费率计算。 </w:t>
      </w:r>
    </w:p>
    <w:p w14:paraId="3B454101">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(7)增值税计税方法由招标人依据国家税法规定选择:一般计税法</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w:t>
      </w:r>
    </w:p>
    <w:p w14:paraId="3FE4901D">
      <w:pPr>
        <w:pStyle w:val="2"/>
        <w:pageBreakBefore w:val="0"/>
        <w:kinsoku/>
        <w:overflowPunct/>
        <w:topLinePunct w:val="0"/>
        <w:bidi w:val="0"/>
        <w:spacing w:line="360" w:lineRule="auto"/>
        <w:rPr>
          <w:rFonts w:hint="default"/>
          <w:color w:val="auto"/>
          <w:highlight w:val="none"/>
          <w:lang w:val="en-US" w:eastAsia="zh-CN"/>
        </w:rPr>
      </w:pPr>
      <w:r>
        <w:rPr>
          <w:rFonts w:hint="eastAsia" w:ascii="宋体" w:hAnsi="宋体" w:cs="宋体"/>
          <w:color w:val="auto"/>
          <w:kern w:val="0"/>
          <w:szCs w:val="21"/>
          <w:highlight w:val="none"/>
          <w:lang w:val="en-US" w:eastAsia="zh-CN"/>
        </w:rPr>
        <w:t xml:space="preserve">   （8）</w:t>
      </w:r>
      <w:r>
        <w:rPr>
          <w:rFonts w:hint="eastAsia" w:ascii="宋体" w:hAnsi="宋体" w:eastAsia="宋体" w:cs="宋体"/>
          <w:color w:val="auto"/>
          <w:sz w:val="21"/>
          <w:szCs w:val="21"/>
          <w:highlight w:val="none"/>
        </w:rPr>
        <w:t>本工程结算审</w:t>
      </w:r>
      <w:r>
        <w:rPr>
          <w:rFonts w:hint="eastAsia" w:ascii="宋体" w:hAnsi="宋体" w:cs="宋体"/>
          <w:color w:val="auto"/>
          <w:sz w:val="21"/>
          <w:szCs w:val="21"/>
          <w:highlight w:val="none"/>
          <w:lang w:eastAsia="zh-CN"/>
        </w:rPr>
        <w:t>计审</w:t>
      </w:r>
      <w:r>
        <w:rPr>
          <w:rFonts w:hint="eastAsia" w:ascii="宋体" w:hAnsi="宋体" w:eastAsia="宋体" w:cs="宋体"/>
          <w:color w:val="auto"/>
          <w:sz w:val="21"/>
          <w:szCs w:val="21"/>
          <w:highlight w:val="none"/>
        </w:rPr>
        <w:t>减率在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%以内的审计费</w:t>
      </w:r>
      <w:r>
        <w:rPr>
          <w:rFonts w:hint="eastAsia" w:ascii="宋体" w:hAnsi="宋体" w:cs="宋体"/>
          <w:color w:val="auto"/>
          <w:sz w:val="21"/>
          <w:szCs w:val="21"/>
          <w:highlight w:val="none"/>
          <w:lang w:eastAsia="zh-CN"/>
        </w:rPr>
        <w:t>及审减效益费</w:t>
      </w:r>
      <w:r>
        <w:rPr>
          <w:rFonts w:hint="eastAsia" w:ascii="宋体" w:hAnsi="宋体" w:eastAsia="宋体" w:cs="宋体"/>
          <w:color w:val="auto"/>
          <w:sz w:val="21"/>
          <w:szCs w:val="21"/>
          <w:highlight w:val="none"/>
        </w:rPr>
        <w:t>由发包人承担，审减率超过</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工程结算审计审计费由发包人承担，全部</w:t>
      </w:r>
      <w:r>
        <w:rPr>
          <w:rFonts w:hint="eastAsia" w:ascii="宋体" w:hAnsi="宋体" w:eastAsia="宋体" w:cs="宋体"/>
          <w:color w:val="auto"/>
          <w:sz w:val="21"/>
          <w:szCs w:val="21"/>
          <w:highlight w:val="none"/>
        </w:rPr>
        <w:t>审减效益费由承包人承担。</w:t>
      </w:r>
    </w:p>
    <w:p w14:paraId="689130F7">
      <w:pPr>
        <w:pStyle w:val="4"/>
        <w:pageBreakBefore w:val="0"/>
        <w:kinsoku/>
        <w:overflowPunct/>
        <w:topLinePunct w:val="0"/>
        <w:bidi w:val="0"/>
        <w:spacing w:line="360" w:lineRule="auto"/>
        <w:rPr>
          <w:rFonts w:ascii="宋体" w:hAnsi="宋体" w:cs="宋体"/>
          <w:sz w:val="21"/>
          <w:szCs w:val="21"/>
          <w:highlight w:val="none"/>
        </w:rPr>
      </w:pPr>
      <w:bookmarkStart w:id="263" w:name="_Toc222029541"/>
      <w:bookmarkStart w:id="264" w:name="_Toc222031043"/>
      <w:bookmarkStart w:id="265" w:name="_Toc221951271"/>
      <w:bookmarkStart w:id="266" w:name="_Toc229305399"/>
      <w:bookmarkStart w:id="267" w:name="_Toc222033892"/>
      <w:bookmarkStart w:id="268" w:name="_Toc222032710"/>
      <w:bookmarkStart w:id="269" w:name="_Toc136350401"/>
      <w:bookmarkStart w:id="270" w:name="_Toc3708"/>
      <w:bookmarkStart w:id="271" w:name="_Toc59810421"/>
      <w:bookmarkStart w:id="272" w:name="_Toc33183769"/>
      <w:r>
        <w:rPr>
          <w:rFonts w:hint="eastAsia" w:ascii="宋体" w:hAnsi="宋体" w:cs="宋体"/>
          <w:sz w:val="21"/>
          <w:szCs w:val="21"/>
          <w:highlight w:val="none"/>
        </w:rPr>
        <w:t>18.竣工验收</w:t>
      </w:r>
      <w:bookmarkEnd w:id="263"/>
      <w:bookmarkEnd w:id="264"/>
      <w:bookmarkEnd w:id="265"/>
      <w:bookmarkEnd w:id="266"/>
      <w:bookmarkEnd w:id="267"/>
      <w:bookmarkEnd w:id="268"/>
      <w:r>
        <w:rPr>
          <w:rFonts w:hint="eastAsia" w:ascii="宋体" w:hAnsi="宋体" w:cs="宋体"/>
          <w:sz w:val="21"/>
          <w:szCs w:val="21"/>
          <w:highlight w:val="none"/>
        </w:rPr>
        <w:t>（验收）</w:t>
      </w:r>
      <w:bookmarkEnd w:id="269"/>
      <w:bookmarkEnd w:id="270"/>
      <w:bookmarkEnd w:id="271"/>
      <w:bookmarkEnd w:id="272"/>
    </w:p>
    <w:p w14:paraId="1F43592E">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73" w:name="_Toc221951272"/>
      <w:bookmarkStart w:id="274" w:name="_Toc33183770"/>
      <w:r>
        <w:rPr>
          <w:rFonts w:hint="eastAsia" w:ascii="宋体" w:hAnsi="宋体" w:cs="宋体"/>
          <w:szCs w:val="21"/>
          <w:highlight w:val="none"/>
        </w:rPr>
        <w:t xml:space="preserve">18.1 </w:t>
      </w:r>
      <w:bookmarkEnd w:id="273"/>
      <w:r>
        <w:rPr>
          <w:rFonts w:hint="eastAsia" w:ascii="宋体" w:hAnsi="宋体" w:cs="宋体"/>
          <w:szCs w:val="21"/>
          <w:highlight w:val="none"/>
        </w:rPr>
        <w:t>验收工作分类</w:t>
      </w:r>
      <w:bookmarkEnd w:id="274"/>
    </w:p>
    <w:p w14:paraId="6A237625">
      <w:pPr>
        <w:pageBreakBefore w:val="0"/>
        <w:kinsoku/>
        <w:overflowPunct/>
        <w:topLinePunct w:val="0"/>
        <w:bidi w:val="0"/>
        <w:spacing w:line="360" w:lineRule="auto"/>
        <w:ind w:firstLine="420" w:firstLineChars="200"/>
        <w:jc w:val="left"/>
        <w:rPr>
          <w:rFonts w:ascii="宋体" w:hAnsi="宋体" w:cs="宋体"/>
          <w:kern w:val="0"/>
          <w:szCs w:val="21"/>
          <w:highlight w:val="none"/>
        </w:rPr>
      </w:pPr>
      <w:bookmarkStart w:id="275" w:name="_Toc221951274"/>
      <w:r>
        <w:rPr>
          <w:rFonts w:hint="eastAsia" w:ascii="宋体" w:hAnsi="宋体" w:cs="宋体"/>
          <w:kern w:val="0"/>
          <w:szCs w:val="21"/>
          <w:highlight w:val="none"/>
        </w:rPr>
        <w:t>本款补充细化如下：</w:t>
      </w:r>
    </w:p>
    <w:p w14:paraId="24B8D9C3">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法人验收包括：</w:t>
      </w:r>
      <w:r>
        <w:rPr>
          <w:rFonts w:hint="eastAsia" w:ascii="宋体" w:hAnsi="宋体" w:cs="宋体"/>
          <w:kern w:val="0"/>
          <w:szCs w:val="21"/>
          <w:highlight w:val="none"/>
          <w:u w:val="single"/>
        </w:rPr>
        <w:t>分部工程验收、单位工程验收、完工验收</w:t>
      </w:r>
      <w:r>
        <w:rPr>
          <w:rFonts w:hint="eastAsia" w:ascii="宋体" w:hAnsi="宋体" w:cs="宋体"/>
          <w:kern w:val="0"/>
          <w:szCs w:val="21"/>
          <w:highlight w:val="none"/>
        </w:rPr>
        <w:t>。</w:t>
      </w:r>
    </w:p>
    <w:p w14:paraId="7D99396C">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政府验收包括：</w:t>
      </w:r>
      <w:r>
        <w:rPr>
          <w:rFonts w:hint="eastAsia" w:ascii="宋体" w:hAnsi="宋体" w:cs="宋体"/>
          <w:kern w:val="0"/>
          <w:szCs w:val="21"/>
          <w:highlight w:val="none"/>
          <w:u w:val="single"/>
        </w:rPr>
        <w:t>专项验收（环境保护、移民安置、工程档案等）、阶段验收（枢纽工程导截流、水库下闸蓄水、引调排水工程通水、首末台机组启动等）、竣工验收。政府验收是指由有关人民政府、水行政主管部门或者其他有关部门组织进行的验收。</w:t>
      </w:r>
    </w:p>
    <w:p w14:paraId="5C588EC9">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验收条件：</w:t>
      </w:r>
      <w:r>
        <w:rPr>
          <w:rFonts w:hint="eastAsia" w:ascii="宋体" w:hAnsi="宋体" w:cs="宋体"/>
          <w:kern w:val="0"/>
          <w:szCs w:val="21"/>
          <w:highlight w:val="none"/>
          <w:u w:val="single"/>
        </w:rPr>
        <w:t>应符合国家有关规定及《水利水电建设工程验收规程》的要求和合同约定。承包人应按照规范规定准备验收资料、参加验收会议，按合同的约定配合发包人完成政府验收工作。</w:t>
      </w:r>
    </w:p>
    <w:p w14:paraId="19273F9E">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验收程序：</w:t>
      </w:r>
      <w:r>
        <w:rPr>
          <w:rFonts w:hint="eastAsia" w:ascii="宋体" w:hAnsi="宋体" w:cs="宋体"/>
          <w:kern w:val="0"/>
          <w:szCs w:val="21"/>
          <w:highlight w:val="none"/>
          <w:u w:val="single"/>
        </w:rPr>
        <w:t>按渝水基〔2008〕47号文件和现行的验收规程执行。</w:t>
      </w:r>
    </w:p>
    <w:p w14:paraId="1F0DA4B6">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具体验收条件及程序如下：</w:t>
      </w:r>
    </w:p>
    <w:p w14:paraId="3DDAE99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18.1.1合同工程完工验收条件及程序</w:t>
      </w:r>
    </w:p>
    <w:p w14:paraId="6385F0C8">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具备《水利水电建设工程验收规程》要求的合同完工验收条件的，承包人可以申请合同完工验收。承包人申请合同完工验收的，应当按照以下程序进行： </w:t>
      </w:r>
    </w:p>
    <w:p w14:paraId="7D82EDC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承包人向监理人报送合同完工验收申请报告，监理人应在收到合同完工验收申请报告后14天内完成审查并报送发包人。监理人审查后认为尚不具备验收条件的，应通知承包人在合同完工验收前承包人还需完成的工作内容，承包人应在完成监理人通知的全部工作内容后，再次提交合同完工验收申请报告。</w:t>
      </w:r>
    </w:p>
    <w:p w14:paraId="21437984">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监理人审查后认为已具备合同完工验收条件的，应将竣工验收申请报告提交发包人，发包人应在收到经监理人审核的合同完工验收申请报告后28天内审批完毕并组织监理人、承包人、设计人等相关单位完成合同完工验收。</w:t>
      </w:r>
    </w:p>
    <w:p w14:paraId="33350C1C">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（3）合同完工验收合格的，发包人应在验收合格后14天内向承包人签发工程移交证书。发包人无正当理由逾期不颁发工程移交证书的，自验收合格后第15天起视为已颁发工程移交证书。</w:t>
      </w:r>
    </w:p>
    <w:p w14:paraId="51EFECCF">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合同完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8A74FB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（5）工程未经验收或验收不合格，发包人擅自使用的，应在转移占有工程后7天内向承包人颁发工程移交证书；发包人无正当理由逾期不颁发工程移交证书的，自转移占有后第15天起视为已颁发工程移交证书。</w:t>
      </w:r>
    </w:p>
    <w:p w14:paraId="37E3AD4E">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发包人不按照本项约定组织合同完工验收、颁发工程移交证书的，每逾期一天，应以签约合同价为基数，</w:t>
      </w:r>
      <w:r>
        <w:rPr>
          <w:rFonts w:hint="eastAsia" w:ascii="宋体" w:hAnsi="宋体"/>
          <w:szCs w:val="21"/>
          <w:highlight w:val="none"/>
          <w:u w:val="single"/>
        </w:rPr>
        <w:t>按照中国人民银行202</w:t>
      </w:r>
      <w:r>
        <w:rPr>
          <w:rFonts w:hint="eastAsia" w:ascii="宋体" w:hAnsi="宋体"/>
          <w:szCs w:val="21"/>
          <w:highlight w:val="none"/>
          <w:u w:val="single"/>
          <w:lang w:val="en-US" w:eastAsia="zh-CN"/>
        </w:rPr>
        <w:t>4</w:t>
      </w:r>
      <w:r>
        <w:rPr>
          <w:rFonts w:hint="eastAsia" w:ascii="宋体" w:hAnsi="宋体"/>
          <w:szCs w:val="21"/>
          <w:highlight w:val="none"/>
          <w:u w:val="single"/>
        </w:rPr>
        <w:t>年</w:t>
      </w:r>
      <w:r>
        <w:rPr>
          <w:rFonts w:hint="eastAsia" w:ascii="宋体" w:hAnsi="宋体"/>
          <w:szCs w:val="21"/>
          <w:highlight w:val="none"/>
          <w:u w:val="single"/>
          <w:lang w:val="en-US" w:eastAsia="zh-CN"/>
        </w:rPr>
        <w:t>3</w:t>
      </w:r>
      <w:r>
        <w:rPr>
          <w:rFonts w:hint="eastAsia" w:ascii="宋体" w:hAnsi="宋体"/>
          <w:szCs w:val="21"/>
          <w:highlight w:val="none"/>
          <w:u w:val="single"/>
        </w:rPr>
        <w:t>月公布的5年期贷款市场报价利率</w:t>
      </w:r>
      <w:r>
        <w:rPr>
          <w:rFonts w:hint="eastAsia" w:ascii="宋体" w:hAnsi="宋体" w:cs="宋体"/>
          <w:kern w:val="0"/>
          <w:szCs w:val="21"/>
          <w:highlight w:val="none"/>
        </w:rPr>
        <w:t>支付违约金。</w:t>
      </w:r>
    </w:p>
    <w:p w14:paraId="6CF7BF9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工程完工及竣工资料、完工及竣工验收程序的约定：</w:t>
      </w:r>
      <w:r>
        <w:rPr>
          <w:rFonts w:hint="eastAsia" w:ascii="宋体" w:hAnsi="宋体" w:cs="宋体"/>
          <w:kern w:val="0"/>
          <w:szCs w:val="21"/>
          <w:highlight w:val="none"/>
          <w:u w:val="single"/>
        </w:rPr>
        <w:t>按照《水利水电建设工程验收规程》和《水利工程建设项目验收管理规定》执行</w:t>
      </w:r>
      <w:r>
        <w:rPr>
          <w:rFonts w:hint="eastAsia" w:ascii="宋体" w:hAnsi="宋体" w:cs="宋体"/>
          <w:kern w:val="0"/>
          <w:szCs w:val="21"/>
          <w:highlight w:val="none"/>
        </w:rPr>
        <w:t>。</w:t>
      </w:r>
    </w:p>
    <w:p w14:paraId="5E93B2A3">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18.1.2完工日期的界定</w:t>
      </w:r>
    </w:p>
    <w:p w14:paraId="7D26BE96">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工程</w:t>
      </w:r>
      <w:r>
        <w:rPr>
          <w:rFonts w:hint="eastAsia" w:ascii="宋体" w:hAnsi="宋体" w:cs="宋体"/>
          <w:kern w:val="0"/>
          <w:szCs w:val="21"/>
          <w:highlight w:val="none"/>
          <w:u w:val="single"/>
          <w:lang w:eastAsia="zh-CN"/>
        </w:rPr>
        <w:t>按</w:t>
      </w:r>
      <w:r>
        <w:rPr>
          <w:rFonts w:hint="eastAsia" w:ascii="宋体" w:hAnsi="宋体" w:cs="宋体"/>
          <w:kern w:val="0"/>
          <w:szCs w:val="21"/>
          <w:highlight w:val="none"/>
          <w:u w:val="single"/>
        </w:rPr>
        <w:t>合同完工验收合格的，以承包人提交合同完工验收申请报告之日为实际竣工日期，并在工程移交证书中载明；因发包人原因，未在监理人收到承包人提交的合同完工验收申请报告42天内完成合同完工验收，或完成合同完工验收不予签发工程移交证书的，以提交合同完工验收申请报告的日期为实际完工日期；工程未经合同完工验收，发包人擅自使用的，以转移占有工程之日为实际完工日期</w:t>
      </w:r>
      <w:r>
        <w:rPr>
          <w:rFonts w:hint="eastAsia" w:ascii="宋体" w:hAnsi="宋体" w:cs="宋体"/>
          <w:kern w:val="0"/>
          <w:szCs w:val="21"/>
          <w:highlight w:val="none"/>
        </w:rPr>
        <w:t>。</w:t>
      </w:r>
    </w:p>
    <w:p w14:paraId="3BCC27C3">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18.1.3拒绝接收全部或部分工程</w:t>
      </w:r>
    </w:p>
    <w:p w14:paraId="4B9C6B68">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对于合同完工验收不合格的工程，承包人完成整改后，应当重新进行合同完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hint="eastAsia" w:ascii="宋体" w:hAnsi="宋体" w:cs="宋体"/>
          <w:kern w:val="0"/>
          <w:szCs w:val="21"/>
          <w:highlight w:val="none"/>
        </w:rPr>
        <w:t>。</w:t>
      </w:r>
    </w:p>
    <w:p w14:paraId="69F987E2">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18.1.4移交、接收全部与部分工程</w:t>
      </w:r>
    </w:p>
    <w:p w14:paraId="2BEB85F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承包人向发包人移交工程的期限：</w:t>
      </w:r>
      <w:r>
        <w:rPr>
          <w:rFonts w:hint="eastAsia" w:ascii="宋体" w:hAnsi="宋体" w:cs="宋体"/>
          <w:kern w:val="0"/>
          <w:szCs w:val="21"/>
          <w:highlight w:val="none"/>
          <w:u w:val="single"/>
        </w:rPr>
        <w:t>颁发工程移交证书后7天内完成工程的移交</w:t>
      </w:r>
      <w:r>
        <w:rPr>
          <w:rFonts w:hint="eastAsia" w:ascii="宋体" w:hAnsi="宋体" w:cs="宋体"/>
          <w:kern w:val="0"/>
          <w:szCs w:val="21"/>
          <w:highlight w:val="none"/>
        </w:rPr>
        <w:t>。</w:t>
      </w:r>
    </w:p>
    <w:p w14:paraId="2CCACF80">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发包人未按合同约定接收全部或部分工程的，违约金的计算方法为：</w:t>
      </w:r>
      <w:r>
        <w:rPr>
          <w:rFonts w:hint="eastAsia" w:ascii="宋体" w:hAnsi="宋体" w:cs="宋体"/>
          <w:kern w:val="0"/>
          <w:szCs w:val="21"/>
          <w:highlight w:val="none"/>
          <w:u w:val="single"/>
        </w:rPr>
        <w:t>发包人自应当接收工程之日起承担工程照管、成品保护、保管等与工程有关的各项费用</w:t>
      </w:r>
      <w:r>
        <w:rPr>
          <w:rFonts w:hint="eastAsia" w:ascii="宋体" w:hAnsi="宋体" w:cs="宋体"/>
          <w:kern w:val="0"/>
          <w:szCs w:val="21"/>
          <w:highlight w:val="none"/>
        </w:rPr>
        <w:t>。</w:t>
      </w:r>
    </w:p>
    <w:p w14:paraId="5B29017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因承包人自身原因未按时移交工程的，违约金的计算方法为：</w:t>
      </w:r>
      <w:r>
        <w:rPr>
          <w:rFonts w:hint="eastAsia" w:ascii="宋体" w:hAnsi="宋体" w:cs="宋体"/>
          <w:kern w:val="0"/>
          <w:szCs w:val="21"/>
          <w:highlight w:val="none"/>
          <w:u w:val="single"/>
        </w:rPr>
        <w:t>承包人应承担工程照管、成品保护、保管等与工程有关的各项费用，并按经审定结算金额的0.5‰/天支付违约金</w:t>
      </w:r>
      <w:r>
        <w:rPr>
          <w:rFonts w:hint="eastAsia" w:ascii="宋体" w:hAnsi="宋体" w:cs="宋体"/>
          <w:kern w:val="0"/>
          <w:szCs w:val="21"/>
          <w:highlight w:val="none"/>
        </w:rPr>
        <w:t>。</w:t>
      </w:r>
    </w:p>
    <w:p w14:paraId="0A4CEBCF">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需要在施工期运行的单位工程或工程设备为：</w:t>
      </w:r>
      <w:r>
        <w:rPr>
          <w:rFonts w:hint="eastAsia" w:ascii="宋体" w:hAnsi="宋体" w:cs="宋体"/>
          <w:kern w:val="0"/>
          <w:szCs w:val="21"/>
          <w:highlight w:val="none"/>
          <w:u w:val="single"/>
        </w:rPr>
        <w:t>根据工程项目划分后确定</w:t>
      </w:r>
      <w:r>
        <w:rPr>
          <w:rFonts w:hint="eastAsia" w:ascii="宋体" w:hAnsi="宋体" w:cs="宋体"/>
          <w:kern w:val="0"/>
          <w:szCs w:val="21"/>
          <w:highlight w:val="none"/>
        </w:rPr>
        <w:t>。</w:t>
      </w:r>
    </w:p>
    <w:p w14:paraId="2A17F92D">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szCs w:val="21"/>
          <w:highlight w:val="none"/>
        </w:rPr>
      </w:pPr>
      <w:bookmarkStart w:id="276" w:name="_Toc33183771"/>
      <w:r>
        <w:rPr>
          <w:rFonts w:hint="eastAsia" w:ascii="宋体" w:hAnsi="宋体" w:cs="宋体"/>
          <w:szCs w:val="21"/>
          <w:highlight w:val="none"/>
        </w:rPr>
        <w:t>18.2  分部工程验收</w:t>
      </w:r>
      <w:bookmarkEnd w:id="276"/>
    </w:p>
    <w:p w14:paraId="4B0EDC9E">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18.2.2本工程由发包人主持的分部工程验收为</w:t>
      </w:r>
      <w:r>
        <w:rPr>
          <w:rFonts w:hint="eastAsia" w:ascii="宋体" w:hAnsi="宋体" w:cs="宋体"/>
          <w:szCs w:val="21"/>
          <w:highlight w:val="none"/>
          <w:u w:val="single"/>
        </w:rPr>
        <w:t xml:space="preserve">  </w:t>
      </w:r>
      <w:r>
        <w:rPr>
          <w:rFonts w:hint="eastAsia" w:ascii="宋体" w:hAnsi="宋体" w:cs="宋体"/>
          <w:kern w:val="0"/>
          <w:szCs w:val="21"/>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，其余由监理主持。</w:t>
      </w:r>
    </w:p>
    <w:p w14:paraId="794643E5">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szCs w:val="21"/>
          <w:highlight w:val="none"/>
        </w:rPr>
      </w:pPr>
      <w:bookmarkStart w:id="277" w:name="_Toc33183772"/>
      <w:r>
        <w:rPr>
          <w:rFonts w:hint="eastAsia" w:ascii="宋体" w:hAnsi="宋体" w:cs="宋体"/>
          <w:szCs w:val="21"/>
          <w:highlight w:val="none"/>
        </w:rPr>
        <w:t>18.3  单位工程验收</w:t>
      </w:r>
      <w:bookmarkEnd w:id="277"/>
    </w:p>
    <w:p w14:paraId="4F051441">
      <w:pPr>
        <w:pageBreakBefore w:val="0"/>
        <w:widowControl w:val="0"/>
        <w:kinsoku/>
        <w:wordWrap/>
        <w:overflowPunct/>
        <w:topLinePunct w:val="0"/>
        <w:autoSpaceDE/>
        <w:autoSpaceDN/>
        <w:bidi w:val="0"/>
        <w:adjustRightInd/>
        <w:spacing w:line="360" w:lineRule="auto"/>
        <w:ind w:right="248" w:firstLine="480"/>
        <w:textAlignment w:val="auto"/>
        <w:rPr>
          <w:rFonts w:ascii="宋体" w:hAnsi="宋体" w:cs="宋体"/>
          <w:szCs w:val="21"/>
          <w:highlight w:val="none"/>
        </w:rPr>
      </w:pPr>
      <w:r>
        <w:rPr>
          <w:rFonts w:hint="eastAsia" w:ascii="宋体" w:hAnsi="宋体" w:cs="宋体"/>
          <w:szCs w:val="21"/>
          <w:highlight w:val="none"/>
        </w:rPr>
        <w:t>18.3.4  提前投入使用的单位工程包括：</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ascii="宋体" w:hAnsi="宋体" w:cs="宋体"/>
          <w:szCs w:val="21"/>
          <w:highlight w:val="none"/>
          <w:u w:val="single"/>
        </w:rPr>
        <w:t xml:space="preserve">      </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bookmarkEnd w:id="275"/>
    <w:p w14:paraId="5EFDD37B">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szCs w:val="21"/>
          <w:highlight w:val="none"/>
        </w:rPr>
      </w:pPr>
      <w:r>
        <w:rPr>
          <w:rFonts w:hint="eastAsia" w:ascii="宋体" w:hAnsi="宋体" w:cs="宋体"/>
          <w:szCs w:val="21"/>
          <w:highlight w:val="none"/>
        </w:rPr>
        <w:t xml:space="preserve"> </w:t>
      </w:r>
      <w:bookmarkStart w:id="278" w:name="_Toc221951282"/>
      <w:bookmarkStart w:id="279" w:name="_Toc33183773"/>
      <w:r>
        <w:rPr>
          <w:rFonts w:hint="eastAsia" w:ascii="宋体" w:hAnsi="宋体" w:cs="宋体"/>
          <w:szCs w:val="21"/>
          <w:highlight w:val="none"/>
        </w:rPr>
        <w:t xml:space="preserve">18.5  </w:t>
      </w:r>
      <w:bookmarkEnd w:id="278"/>
      <w:r>
        <w:rPr>
          <w:rFonts w:hint="eastAsia" w:ascii="宋体" w:hAnsi="宋体" w:cs="宋体"/>
          <w:szCs w:val="21"/>
          <w:highlight w:val="none"/>
        </w:rPr>
        <w:t>阶段验收</w:t>
      </w:r>
      <w:bookmarkEnd w:id="279"/>
    </w:p>
    <w:p w14:paraId="7B30BE09">
      <w:pPr>
        <w:pageBreakBefore w:val="0"/>
        <w:widowControl w:val="0"/>
        <w:kinsoku/>
        <w:wordWrap/>
        <w:overflowPunct/>
        <w:topLinePunct w:val="0"/>
        <w:autoSpaceDE/>
        <w:autoSpaceDN/>
        <w:bidi w:val="0"/>
        <w:adjustRightInd/>
        <w:spacing w:line="360" w:lineRule="auto"/>
        <w:ind w:firstLine="315" w:firstLineChars="150"/>
        <w:textAlignment w:val="auto"/>
        <w:rPr>
          <w:rFonts w:ascii="宋体" w:hAnsi="宋体" w:cs="宋体"/>
          <w:szCs w:val="21"/>
          <w:highlight w:val="none"/>
        </w:rPr>
      </w:pPr>
      <w:bookmarkStart w:id="280" w:name="_Toc221951283"/>
      <w:r>
        <w:rPr>
          <w:rFonts w:hint="eastAsia" w:ascii="宋体" w:hAnsi="宋体" w:cs="宋体"/>
          <w:szCs w:val="21"/>
          <w:highlight w:val="none"/>
        </w:rPr>
        <w:t>18.5.1 本合同工程阶段验收类别包括：</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bookmarkEnd w:id="280"/>
      <w:r>
        <w:rPr>
          <w:rFonts w:ascii="宋体" w:hAnsi="宋体" w:cs="宋体"/>
          <w:szCs w:val="21"/>
          <w:highlight w:val="none"/>
        </w:rPr>
        <w:t xml:space="preserve">、 </w:t>
      </w:r>
      <w:bookmarkStart w:id="281" w:name="_Toc221951284"/>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bookmarkEnd w:id="281"/>
    </w:p>
    <w:p w14:paraId="1391580F">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szCs w:val="21"/>
          <w:highlight w:val="none"/>
        </w:rPr>
      </w:pPr>
      <w:bookmarkStart w:id="282" w:name="_Toc221951285"/>
      <w:bookmarkStart w:id="283" w:name="_Toc33183774"/>
      <w:r>
        <w:rPr>
          <w:rFonts w:hint="eastAsia" w:ascii="宋体" w:hAnsi="宋体" w:cs="宋体"/>
          <w:szCs w:val="21"/>
          <w:highlight w:val="none"/>
        </w:rPr>
        <w:t xml:space="preserve">18.6  </w:t>
      </w:r>
      <w:bookmarkEnd w:id="282"/>
      <w:r>
        <w:rPr>
          <w:rFonts w:hint="eastAsia" w:ascii="宋体" w:hAnsi="宋体" w:cs="宋体"/>
          <w:szCs w:val="21"/>
          <w:highlight w:val="none"/>
        </w:rPr>
        <w:t>专项验收</w:t>
      </w:r>
      <w:bookmarkEnd w:id="283"/>
      <w:r>
        <w:rPr>
          <w:rFonts w:hint="eastAsia" w:ascii="宋体" w:hAnsi="宋体" w:cs="宋体"/>
          <w:szCs w:val="21"/>
          <w:highlight w:val="none"/>
        </w:rPr>
        <w:t xml:space="preserve">   </w:t>
      </w:r>
    </w:p>
    <w:p w14:paraId="168FD343">
      <w:pPr>
        <w:pageBreakBefore w:val="0"/>
        <w:widowControl w:val="0"/>
        <w:kinsoku/>
        <w:wordWrap/>
        <w:overflowPunct/>
        <w:topLinePunct w:val="0"/>
        <w:autoSpaceDE/>
        <w:autoSpaceDN/>
        <w:bidi w:val="0"/>
        <w:adjustRightInd/>
        <w:spacing w:line="360" w:lineRule="auto"/>
        <w:ind w:right="248" w:firstLine="480"/>
        <w:textAlignment w:val="auto"/>
        <w:rPr>
          <w:rFonts w:ascii="宋体" w:hAnsi="宋体" w:cs="宋体"/>
          <w:szCs w:val="21"/>
          <w:highlight w:val="none"/>
        </w:rPr>
      </w:pPr>
      <w:bookmarkStart w:id="284" w:name="_Toc221951286"/>
      <w:r>
        <w:rPr>
          <w:rFonts w:hint="eastAsia" w:ascii="宋体" w:hAnsi="宋体" w:cs="宋体"/>
          <w:szCs w:val="21"/>
          <w:highlight w:val="none"/>
        </w:rPr>
        <w:t xml:space="preserve">18.6.1 </w:t>
      </w:r>
      <w:bookmarkEnd w:id="284"/>
      <w:r>
        <w:rPr>
          <w:rFonts w:hint="eastAsia" w:ascii="宋体" w:hAnsi="宋体" w:cs="宋体"/>
          <w:szCs w:val="21"/>
          <w:highlight w:val="none"/>
        </w:rPr>
        <w:t>本合同工程专项验收类别包括：</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ascii="宋体" w:hAnsi="宋体" w:cs="宋体"/>
          <w:szCs w:val="21"/>
          <w:highlight w:val="none"/>
          <w:u w:val="single"/>
        </w:rPr>
        <w:t xml:space="preserve">    </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6D63240D">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szCs w:val="21"/>
          <w:highlight w:val="none"/>
        </w:rPr>
      </w:pPr>
      <w:bookmarkStart w:id="285" w:name="_Toc221951289"/>
      <w:bookmarkStart w:id="286" w:name="_Toc33183775"/>
      <w:r>
        <w:rPr>
          <w:rFonts w:hint="eastAsia" w:ascii="宋体" w:hAnsi="宋体" w:cs="宋体"/>
          <w:szCs w:val="21"/>
          <w:highlight w:val="none"/>
        </w:rPr>
        <w:t>18.7 竣工</w:t>
      </w:r>
      <w:bookmarkEnd w:id="285"/>
      <w:r>
        <w:rPr>
          <w:rFonts w:hint="eastAsia" w:ascii="宋体" w:hAnsi="宋体" w:cs="宋体"/>
          <w:szCs w:val="21"/>
          <w:highlight w:val="none"/>
        </w:rPr>
        <w:t>验收</w:t>
      </w:r>
      <w:bookmarkEnd w:id="286"/>
    </w:p>
    <w:p w14:paraId="3CD16DBB">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kern w:val="0"/>
          <w:szCs w:val="21"/>
          <w:highlight w:val="none"/>
        </w:rPr>
      </w:pPr>
      <w:bookmarkStart w:id="287" w:name="_Toc221951290"/>
      <w:r>
        <w:rPr>
          <w:rFonts w:hint="eastAsia" w:ascii="宋体" w:hAnsi="宋体" w:cs="宋体"/>
          <w:kern w:val="0"/>
          <w:szCs w:val="21"/>
          <w:highlight w:val="none"/>
        </w:rPr>
        <w:t>本款竣工验收在水利工程中特指政府验收。</w:t>
      </w:r>
    </w:p>
    <w:p w14:paraId="1E7A96F1">
      <w:pPr>
        <w:pageBreakBefore w:val="0"/>
        <w:widowControl w:val="0"/>
        <w:kinsoku/>
        <w:wordWrap/>
        <w:overflowPunct/>
        <w:topLinePunct w:val="0"/>
        <w:autoSpaceDE/>
        <w:autoSpaceDN/>
        <w:bidi w:val="0"/>
        <w:adjustRightInd/>
        <w:spacing w:line="360" w:lineRule="auto"/>
        <w:ind w:right="248" w:firstLine="420" w:firstLineChars="200"/>
        <w:textAlignment w:val="auto"/>
        <w:rPr>
          <w:rFonts w:ascii="宋体" w:hAnsi="宋体" w:cs="宋体"/>
          <w:szCs w:val="21"/>
          <w:highlight w:val="none"/>
        </w:rPr>
      </w:pPr>
      <w:r>
        <w:rPr>
          <w:rFonts w:hint="eastAsia" w:ascii="宋体" w:hAnsi="宋体" w:cs="宋体"/>
          <w:szCs w:val="21"/>
          <w:highlight w:val="none"/>
        </w:rPr>
        <w:t>18.7.3本工程</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（需要/不需要）竣工验收技术鉴定</w:t>
      </w:r>
      <w:r>
        <w:rPr>
          <w:rFonts w:ascii="宋体" w:hAnsi="宋体" w:cs="宋体"/>
          <w:szCs w:val="21"/>
          <w:highlight w:val="none"/>
        </w:rPr>
        <w:t>（蓄水安全鉴定）</w:t>
      </w:r>
      <w:r>
        <w:rPr>
          <w:rFonts w:hint="eastAsia" w:ascii="宋体" w:hAnsi="宋体" w:cs="宋体"/>
          <w:szCs w:val="21"/>
          <w:highlight w:val="none"/>
        </w:rPr>
        <w:t>。</w:t>
      </w:r>
      <w:bookmarkEnd w:id="287"/>
    </w:p>
    <w:p w14:paraId="2D864710">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szCs w:val="21"/>
          <w:highlight w:val="none"/>
        </w:rPr>
      </w:pPr>
      <w:bookmarkStart w:id="288" w:name="_Toc33183776"/>
      <w:r>
        <w:rPr>
          <w:rFonts w:hint="eastAsia" w:ascii="宋体" w:hAnsi="宋体" w:cs="宋体"/>
          <w:szCs w:val="21"/>
          <w:highlight w:val="none"/>
        </w:rPr>
        <w:t>18.8 施工期运行</w:t>
      </w:r>
      <w:bookmarkEnd w:id="288"/>
    </w:p>
    <w:p w14:paraId="5B8A4447">
      <w:pPr>
        <w:pageBreakBefore w:val="0"/>
        <w:widowControl w:val="0"/>
        <w:kinsoku/>
        <w:wordWrap/>
        <w:overflowPunct/>
        <w:topLinePunct w:val="0"/>
        <w:autoSpaceDE/>
        <w:autoSpaceDN/>
        <w:bidi w:val="0"/>
        <w:adjustRightInd/>
        <w:spacing w:line="360" w:lineRule="auto"/>
        <w:ind w:right="248" w:firstLine="420" w:firstLineChars="200"/>
        <w:textAlignment w:val="auto"/>
        <w:rPr>
          <w:rFonts w:ascii="宋体" w:hAnsi="宋体" w:cs="宋体"/>
          <w:szCs w:val="21"/>
          <w:highlight w:val="none"/>
        </w:rPr>
      </w:pPr>
      <w:r>
        <w:rPr>
          <w:rFonts w:hint="eastAsia" w:ascii="宋体" w:hAnsi="宋体" w:cs="宋体"/>
          <w:szCs w:val="21"/>
          <w:highlight w:val="none"/>
        </w:rPr>
        <w:t>18.8.1需要在施工期运行的单位工程或工程设备为：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2FEF6D0D">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szCs w:val="21"/>
          <w:highlight w:val="none"/>
        </w:rPr>
      </w:pPr>
      <w:bookmarkStart w:id="289" w:name="_Toc33183777"/>
      <w:r>
        <w:rPr>
          <w:rFonts w:hint="eastAsia" w:ascii="宋体" w:hAnsi="宋体" w:cs="宋体"/>
          <w:szCs w:val="21"/>
          <w:highlight w:val="none"/>
        </w:rPr>
        <w:t>18.9 试运行</w:t>
      </w:r>
      <w:bookmarkEnd w:id="289"/>
    </w:p>
    <w:p w14:paraId="4F1DE225">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18.9.1试运行的组织：</w:t>
      </w:r>
      <w:r>
        <w:rPr>
          <w:rFonts w:hint="eastAsia" w:ascii="宋体" w:hAnsi="宋体" w:cs="宋体"/>
          <w:color w:val="auto"/>
          <w:szCs w:val="21"/>
          <w:highlight w:val="none"/>
          <w:u w:val="single"/>
          <w:lang w:eastAsia="zh-CN"/>
        </w:rPr>
        <w:t>由发包人组织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；费用承担：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由承包人承担</w:t>
      </w:r>
      <w:r>
        <w:rPr>
          <w:rFonts w:hint="eastAsia" w:ascii="宋体" w:hAnsi="宋体" w:cs="宋体"/>
          <w:color w:val="auto"/>
          <w:szCs w:val="21"/>
          <w:highlight w:val="none"/>
          <w:u w:val="single"/>
        </w:rPr>
        <w:t xml:space="preserve">    </w:t>
      </w:r>
      <w:r>
        <w:rPr>
          <w:rFonts w:hint="eastAsia" w:ascii="宋体" w:hAnsi="宋体" w:cs="宋体"/>
          <w:szCs w:val="21"/>
          <w:highlight w:val="none"/>
        </w:rPr>
        <w:t>。</w:t>
      </w:r>
    </w:p>
    <w:p w14:paraId="615E552E">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本项细化以下内容：</w:t>
      </w:r>
    </w:p>
    <w:p w14:paraId="6433B7EF">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工程试车内容：</w:t>
      </w:r>
      <w:r>
        <w:rPr>
          <w:rFonts w:hint="eastAsia" w:ascii="宋体" w:hAnsi="宋体" w:cs="宋体"/>
          <w:kern w:val="0"/>
          <w:szCs w:val="21"/>
          <w:highlight w:val="none"/>
          <w:u w:val="single"/>
        </w:rPr>
        <w:t>按通用合同条款执行</w:t>
      </w:r>
      <w:r>
        <w:rPr>
          <w:rFonts w:hint="eastAsia" w:ascii="宋体" w:hAnsi="宋体" w:cs="宋体"/>
          <w:kern w:val="0"/>
          <w:szCs w:val="21"/>
          <w:highlight w:val="none"/>
        </w:rPr>
        <w:t>。</w:t>
      </w:r>
    </w:p>
    <w:p w14:paraId="6FB56DAE">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（1）单机无负荷试车费用由承包人承担</w:t>
      </w:r>
      <w:r>
        <w:rPr>
          <w:rFonts w:hint="eastAsia" w:ascii="宋体" w:hAnsi="宋体" w:cs="宋体"/>
          <w:kern w:val="0"/>
          <w:szCs w:val="21"/>
          <w:highlight w:val="none"/>
        </w:rPr>
        <w:t>；</w:t>
      </w:r>
    </w:p>
    <w:p w14:paraId="64450438">
      <w:pPr>
        <w:pageBreakBefore w:val="0"/>
        <w:kinsoku/>
        <w:overflowPunct/>
        <w:topLinePunct w:val="0"/>
        <w:bidi w:val="0"/>
        <w:spacing w:line="360" w:lineRule="auto"/>
        <w:ind w:firstLine="420" w:firstLineChars="200"/>
        <w:jc w:val="left"/>
        <w:rPr>
          <w:highlight w:val="none"/>
        </w:rPr>
      </w:pPr>
      <w:r>
        <w:rPr>
          <w:rFonts w:hint="eastAsia" w:ascii="宋体" w:hAnsi="宋体" w:cs="宋体"/>
          <w:kern w:val="0"/>
          <w:szCs w:val="21"/>
          <w:highlight w:val="none"/>
          <w:u w:val="single"/>
        </w:rPr>
        <w:t>（2）无负荷联动试车费用由发包人承担</w:t>
      </w:r>
      <w:r>
        <w:rPr>
          <w:rFonts w:hint="eastAsia" w:ascii="宋体" w:hAnsi="宋体" w:cs="宋体"/>
          <w:kern w:val="0"/>
          <w:szCs w:val="21"/>
          <w:highlight w:val="none"/>
        </w:rPr>
        <w:t>。</w:t>
      </w:r>
    </w:p>
    <w:p w14:paraId="6A5BCE47">
      <w:pPr>
        <w:keepNext/>
        <w:keepLines/>
        <w:pageBreakBefore w:val="0"/>
        <w:kinsoku/>
        <w:overflowPunct/>
        <w:topLinePunct w:val="0"/>
        <w:bidi w:val="0"/>
        <w:snapToGrid w:val="0"/>
        <w:spacing w:line="360" w:lineRule="auto"/>
        <w:ind w:firstLine="420" w:firstLineChars="200"/>
        <w:outlineLvl w:val="3"/>
        <w:rPr>
          <w:rFonts w:ascii="宋体" w:hAnsi="宋体" w:cs="宋体"/>
          <w:b/>
          <w:szCs w:val="21"/>
          <w:highlight w:val="none"/>
        </w:rPr>
      </w:pPr>
      <w:bookmarkStart w:id="290" w:name="_Toc33183778"/>
      <w:r>
        <w:rPr>
          <w:rFonts w:hint="eastAsia" w:ascii="宋体" w:hAnsi="宋体" w:cs="宋体"/>
          <w:szCs w:val="21"/>
          <w:highlight w:val="none"/>
        </w:rPr>
        <w:t>18.10 竣工（完工）清场</w:t>
      </w:r>
      <w:bookmarkEnd w:id="290"/>
    </w:p>
    <w:p w14:paraId="42B76C63">
      <w:pPr>
        <w:pageBreakBefore w:val="0"/>
        <w:kinsoku/>
        <w:overflowPunct/>
        <w:topLinePunct w:val="0"/>
        <w:bidi w:val="0"/>
        <w:spacing w:line="360" w:lineRule="auto"/>
        <w:ind w:right="248" w:firstLine="420" w:firstLineChars="200"/>
        <w:rPr>
          <w:rFonts w:ascii="宋体" w:hAnsi="宋体" w:cs="宋体"/>
          <w:szCs w:val="21"/>
          <w:highlight w:val="none"/>
        </w:rPr>
      </w:pPr>
      <w:r>
        <w:rPr>
          <w:rFonts w:hint="eastAsia" w:ascii="宋体" w:hAnsi="宋体" w:cs="宋体"/>
          <w:kern w:val="0"/>
          <w:szCs w:val="21"/>
          <w:highlight w:val="none"/>
        </w:rPr>
        <w:t>承包人完工退场的期限：</w:t>
      </w:r>
      <w:r>
        <w:rPr>
          <w:rFonts w:hint="eastAsia" w:ascii="宋体" w:hAnsi="宋体" w:cs="宋体"/>
          <w:kern w:val="0"/>
          <w:szCs w:val="21"/>
          <w:highlight w:val="none"/>
          <w:u w:val="single"/>
        </w:rPr>
        <w:t>工程移交证书颁发后30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s="宋体"/>
          <w:kern w:val="0"/>
          <w:szCs w:val="21"/>
          <w:highlight w:val="none"/>
        </w:rPr>
        <w:t>。</w:t>
      </w:r>
    </w:p>
    <w:p w14:paraId="301E9AA0">
      <w:pPr>
        <w:pStyle w:val="4"/>
        <w:pageBreakBefore w:val="0"/>
        <w:kinsoku/>
        <w:overflowPunct/>
        <w:topLinePunct w:val="0"/>
        <w:bidi w:val="0"/>
        <w:spacing w:line="360" w:lineRule="auto"/>
        <w:rPr>
          <w:rFonts w:ascii="宋体" w:hAnsi="宋体" w:cs="宋体"/>
          <w:sz w:val="21"/>
          <w:szCs w:val="21"/>
          <w:highlight w:val="none"/>
        </w:rPr>
      </w:pPr>
      <w:bookmarkStart w:id="291" w:name="_Toc59810422"/>
      <w:bookmarkStart w:id="292" w:name="_Toc2232"/>
      <w:bookmarkStart w:id="293" w:name="_Toc136350402"/>
      <w:bookmarkStart w:id="294" w:name="_Toc33183779"/>
      <w:r>
        <w:rPr>
          <w:rFonts w:hint="eastAsia" w:ascii="宋体" w:hAnsi="宋体" w:cs="宋体"/>
          <w:sz w:val="21"/>
          <w:szCs w:val="21"/>
          <w:highlight w:val="none"/>
        </w:rPr>
        <w:t>19.缺陷责任与保修责任</w:t>
      </w:r>
      <w:bookmarkEnd w:id="291"/>
      <w:bookmarkEnd w:id="292"/>
      <w:bookmarkEnd w:id="293"/>
      <w:bookmarkEnd w:id="294"/>
    </w:p>
    <w:p w14:paraId="3230822C">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295" w:name="_Toc33183780"/>
      <w:r>
        <w:rPr>
          <w:rFonts w:hint="eastAsia" w:ascii="宋体" w:hAnsi="宋体" w:cs="宋体"/>
          <w:szCs w:val="21"/>
          <w:highlight w:val="none"/>
        </w:rPr>
        <w:t>19.1 缺陷责任期（工程质量保修期）的起算时间</w:t>
      </w:r>
      <w:bookmarkEnd w:id="295"/>
    </w:p>
    <w:p w14:paraId="5A3671EC">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本款补充19.1.1</w:t>
      </w:r>
      <w:r>
        <w:rPr>
          <w:rFonts w:hint="eastAsia" w:ascii="宋体" w:hAnsi="宋体"/>
          <w:kern w:val="0"/>
          <w:szCs w:val="21"/>
          <w:highlight w:val="none"/>
        </w:rPr>
        <w:t>、19.1.2项如下：</w:t>
      </w:r>
    </w:p>
    <w:p w14:paraId="20A2DE6A">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19.1.1 缺陷责任期的期限为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24  </w:t>
      </w:r>
      <w:r>
        <w:rPr>
          <w:rFonts w:hint="eastAsia" w:ascii="宋体" w:hAnsi="宋体" w:cs="宋体"/>
          <w:kern w:val="0"/>
          <w:szCs w:val="21"/>
          <w:highlight w:val="none"/>
        </w:rPr>
        <w:t>月（最长不超过24个月）。在缺陷责任期内，承包人应尽快完成在完工验收证书中写明的未完成工作，并完成对本工程缺陷的修复或监理人指令的修补工作。</w:t>
      </w:r>
    </w:p>
    <w:p w14:paraId="074D3D6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19.1.2工程质量保修期及修复责任</w:t>
      </w:r>
    </w:p>
    <w:p w14:paraId="13F58408">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工程质量保修期：按国家现行有关规定执行。</w:t>
      </w:r>
    </w:p>
    <w:p w14:paraId="1CD48D03">
      <w:pPr>
        <w:pageBreakBefore w:val="0"/>
        <w:kinsoku/>
        <w:overflowPunct/>
        <w:topLinePunct w:val="0"/>
        <w:bidi w:val="0"/>
        <w:spacing w:line="360" w:lineRule="auto"/>
        <w:ind w:firstLine="409" w:firstLineChars="195"/>
        <w:jc w:val="left"/>
        <w:rPr>
          <w:rFonts w:ascii="宋体" w:hAnsi="宋体" w:cs="宋体"/>
          <w:szCs w:val="21"/>
          <w:highlight w:val="none"/>
        </w:rPr>
      </w:pPr>
      <w:r>
        <w:rPr>
          <w:rFonts w:hint="eastAsia" w:ascii="宋体" w:hAnsi="宋体" w:cs="宋体"/>
          <w:kern w:val="0"/>
          <w:szCs w:val="21"/>
          <w:highlight w:val="none"/>
        </w:rPr>
        <w:t>承包人收到保修通知并到达工程现场的合理时间：</w:t>
      </w:r>
      <w:r>
        <w:rPr>
          <w:rFonts w:hint="eastAsia" w:ascii="宋体" w:hAnsi="宋体" w:cs="宋体"/>
          <w:kern w:val="0"/>
          <w:szCs w:val="21"/>
          <w:highlight w:val="none"/>
          <w:u w:val="single"/>
        </w:rPr>
        <w:t>48小时内,最长不能超过72小时</w:t>
      </w:r>
      <w:r>
        <w:rPr>
          <w:rFonts w:hint="eastAsia" w:ascii="宋体" w:hAnsi="宋体" w:cs="宋体"/>
          <w:kern w:val="0"/>
          <w:szCs w:val="21"/>
          <w:highlight w:val="none"/>
        </w:rPr>
        <w:t>。</w:t>
      </w:r>
    </w:p>
    <w:p w14:paraId="58AB8E40">
      <w:pPr>
        <w:pStyle w:val="4"/>
        <w:pageBreakBefore w:val="0"/>
        <w:kinsoku/>
        <w:overflowPunct/>
        <w:topLinePunct w:val="0"/>
        <w:bidi w:val="0"/>
        <w:spacing w:line="360" w:lineRule="auto"/>
        <w:rPr>
          <w:rFonts w:ascii="宋体" w:hAnsi="宋体" w:cs="宋体"/>
          <w:sz w:val="21"/>
          <w:szCs w:val="21"/>
          <w:highlight w:val="none"/>
        </w:rPr>
      </w:pPr>
      <w:bookmarkStart w:id="296" w:name="_Toc33183781"/>
      <w:bookmarkStart w:id="297" w:name="_Toc222029542"/>
      <w:bookmarkStart w:id="298" w:name="_Toc222033893"/>
      <w:bookmarkStart w:id="299" w:name="_Toc221951299"/>
      <w:bookmarkStart w:id="300" w:name="_Toc20172"/>
      <w:bookmarkStart w:id="301" w:name="_Toc136350403"/>
      <w:bookmarkStart w:id="302" w:name="_Toc59810423"/>
      <w:bookmarkStart w:id="303" w:name="_Toc222032711"/>
      <w:bookmarkStart w:id="304" w:name="_Toc229305400"/>
      <w:bookmarkStart w:id="305" w:name="_Toc222031044"/>
      <w:r>
        <w:rPr>
          <w:rFonts w:hint="eastAsia" w:ascii="宋体" w:hAnsi="宋体" w:cs="宋体"/>
          <w:sz w:val="21"/>
          <w:szCs w:val="21"/>
          <w:highlight w:val="none"/>
        </w:rPr>
        <w:t>20.保险</w:t>
      </w:r>
      <w:bookmarkEnd w:id="296"/>
      <w:bookmarkEnd w:id="297"/>
      <w:bookmarkEnd w:id="298"/>
      <w:bookmarkEnd w:id="299"/>
      <w:bookmarkEnd w:id="300"/>
      <w:bookmarkEnd w:id="301"/>
      <w:bookmarkEnd w:id="302"/>
      <w:bookmarkEnd w:id="303"/>
      <w:bookmarkEnd w:id="304"/>
      <w:bookmarkEnd w:id="305"/>
    </w:p>
    <w:p w14:paraId="2E20B1CE">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06" w:name="_Toc221951321"/>
      <w:bookmarkStart w:id="307" w:name="_Toc33183782"/>
      <w:r>
        <w:rPr>
          <w:rFonts w:hint="eastAsia" w:ascii="宋体" w:hAnsi="宋体" w:cs="宋体"/>
          <w:szCs w:val="21"/>
          <w:highlight w:val="none"/>
        </w:rPr>
        <w:t>20.1  工程保险</w:t>
      </w:r>
      <w:bookmarkEnd w:id="306"/>
      <w:bookmarkEnd w:id="307"/>
    </w:p>
    <w:p w14:paraId="72DEE5A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bookmarkStart w:id="308" w:name="_Toc221951323"/>
      <w:r>
        <w:rPr>
          <w:rFonts w:hint="eastAsia" w:ascii="宋体" w:hAnsi="宋体" w:cs="宋体"/>
          <w:kern w:val="0"/>
          <w:szCs w:val="21"/>
          <w:highlight w:val="none"/>
        </w:rPr>
        <w:t>建筑工程一切险和（或）安装工程一切险投保人：</w:t>
      </w:r>
      <w:r>
        <w:rPr>
          <w:rFonts w:hint="eastAsia" w:ascii="宋体" w:hAnsi="宋体" w:cs="宋体"/>
          <w:kern w:val="0"/>
          <w:szCs w:val="21"/>
          <w:highlight w:val="none"/>
          <w:u w:val="single"/>
        </w:rPr>
        <w:t>发包人</w:t>
      </w:r>
      <w:r>
        <w:rPr>
          <w:rFonts w:hint="eastAsia" w:ascii="宋体" w:hAnsi="宋体" w:cs="宋体"/>
          <w:kern w:val="0"/>
          <w:szCs w:val="21"/>
          <w:highlight w:val="none"/>
        </w:rPr>
        <w:t>。</w:t>
      </w:r>
    </w:p>
    <w:p w14:paraId="6B6ADFB3">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kern w:val="0"/>
          <w:szCs w:val="21"/>
          <w:highlight w:val="none"/>
        </w:rPr>
        <w:t>投保内容：</w:t>
      </w:r>
      <w:r>
        <w:rPr>
          <w:rFonts w:hint="eastAsia" w:ascii="宋体" w:hAnsi="宋体" w:cs="宋体"/>
          <w:kern w:val="0"/>
          <w:szCs w:val="21"/>
          <w:highlight w:val="none"/>
          <w:u w:val="single"/>
        </w:rPr>
        <w:t>本合同工程</w:t>
      </w:r>
      <w:r>
        <w:rPr>
          <w:rFonts w:hint="eastAsia" w:ascii="宋体" w:hAnsi="宋体" w:cs="宋体"/>
          <w:kern w:val="0"/>
          <w:szCs w:val="21"/>
          <w:highlight w:val="none"/>
        </w:rPr>
        <w:t>；</w:t>
      </w:r>
      <w:r>
        <w:rPr>
          <w:rFonts w:hint="eastAsia" w:ascii="宋体" w:hAnsi="宋体" w:cs="宋体"/>
          <w:szCs w:val="21"/>
          <w:highlight w:val="none"/>
        </w:rPr>
        <w:t xml:space="preserve">                                                      </w:t>
      </w:r>
    </w:p>
    <w:p w14:paraId="2E77B41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保险金额、保险费率和保险期限：</w:t>
      </w:r>
      <w:r>
        <w:rPr>
          <w:rFonts w:hint="eastAsia" w:ascii="宋体" w:hAnsi="宋体" w:cs="宋体"/>
          <w:kern w:val="0"/>
          <w:szCs w:val="21"/>
          <w:highlight w:val="none"/>
          <w:u w:val="single"/>
        </w:rPr>
        <w:t>保险期限为开工日起直至签发工程缺陷责任期证书止（即合同工期＋缺陷责任期）。保险金额、保险费率按国家有关规定执行</w:t>
      </w:r>
      <w:r>
        <w:rPr>
          <w:rFonts w:hint="eastAsia" w:ascii="宋体" w:hAnsi="宋体" w:cs="宋体"/>
          <w:kern w:val="0"/>
          <w:szCs w:val="21"/>
          <w:highlight w:val="none"/>
        </w:rPr>
        <w:t>。</w:t>
      </w:r>
    </w:p>
    <w:p w14:paraId="238D6171">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承包人应以发包人和承包人的共同名义投保建筑工程一切险。发包人在接到保险单后，将按照保险单的费用直接向承包人支付。</w:t>
      </w:r>
    </w:p>
    <w:p w14:paraId="10164CF3">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r>
        <w:rPr>
          <w:rFonts w:hint="eastAsia" w:ascii="宋体" w:hAnsi="宋体" w:cs="宋体"/>
          <w:szCs w:val="21"/>
          <w:highlight w:val="none"/>
        </w:rPr>
        <w:t xml:space="preserve"> </w:t>
      </w:r>
      <w:bookmarkStart w:id="309" w:name="_Toc33183783"/>
      <w:r>
        <w:rPr>
          <w:rFonts w:hint="eastAsia" w:ascii="宋体" w:hAnsi="宋体" w:cs="宋体"/>
          <w:szCs w:val="21"/>
          <w:highlight w:val="none"/>
        </w:rPr>
        <w:t>20.4  第三者责任险</w:t>
      </w:r>
      <w:bookmarkEnd w:id="308"/>
      <w:bookmarkEnd w:id="309"/>
    </w:p>
    <w:p w14:paraId="33858F1D">
      <w:pPr>
        <w:pageBreakBefore w:val="0"/>
        <w:kinsoku/>
        <w:overflowPunct/>
        <w:topLinePunct w:val="0"/>
        <w:bidi w:val="0"/>
        <w:spacing w:line="360" w:lineRule="auto"/>
        <w:ind w:right="248" w:firstLine="480"/>
        <w:rPr>
          <w:rFonts w:ascii="宋体" w:hAnsi="宋体" w:cs="宋体"/>
          <w:szCs w:val="21"/>
          <w:highlight w:val="none"/>
        </w:rPr>
      </w:pPr>
      <w:bookmarkStart w:id="310" w:name="_Toc221951325"/>
      <w:r>
        <w:rPr>
          <w:rFonts w:hint="eastAsia" w:ascii="宋体" w:hAnsi="宋体" w:cs="宋体"/>
          <w:szCs w:val="21"/>
          <w:highlight w:val="none"/>
        </w:rPr>
        <w:t>20.4.2  第三者责任险保险费率：</w:t>
      </w:r>
      <w:r>
        <w:rPr>
          <w:rFonts w:hint="eastAsia" w:ascii="宋体" w:hAnsi="宋体" w:cs="宋体"/>
          <w:kern w:val="0"/>
          <w:szCs w:val="21"/>
          <w:highlight w:val="none"/>
        </w:rPr>
        <w:t>由承包人按国家规定以承包人和发包人的共同名义投保；</w:t>
      </w:r>
      <w:r>
        <w:rPr>
          <w:rFonts w:hint="eastAsia" w:ascii="宋体" w:hAnsi="宋体" w:cs="宋体"/>
          <w:szCs w:val="21"/>
          <w:highlight w:val="none"/>
        </w:rPr>
        <w:t xml:space="preserve">                                       </w:t>
      </w:r>
    </w:p>
    <w:p w14:paraId="320D7B2D">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szCs w:val="21"/>
          <w:highlight w:val="none"/>
        </w:rPr>
        <w:t>第三者责任险保险金额：</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按国家规定执行</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34B4E6C">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11" w:name="_Toc33183784"/>
      <w:r>
        <w:rPr>
          <w:rFonts w:hint="eastAsia" w:ascii="宋体" w:hAnsi="宋体" w:cs="宋体"/>
          <w:szCs w:val="21"/>
          <w:highlight w:val="none"/>
        </w:rPr>
        <w:t>20.5  其他保险</w:t>
      </w:r>
      <w:bookmarkEnd w:id="310"/>
      <w:bookmarkEnd w:id="311"/>
    </w:p>
    <w:p w14:paraId="74C0533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bookmarkStart w:id="312" w:name="_Toc221951327"/>
      <w:r>
        <w:rPr>
          <w:rFonts w:hint="eastAsia" w:ascii="宋体" w:hAnsi="宋体" w:cs="宋体"/>
          <w:kern w:val="0"/>
          <w:szCs w:val="21"/>
          <w:highlight w:val="none"/>
        </w:rPr>
        <w:t>需要投保的其它内容：</w:t>
      </w:r>
      <w:r>
        <w:rPr>
          <w:rFonts w:hint="eastAsia" w:ascii="宋体" w:hAnsi="宋体" w:cs="宋体"/>
          <w:kern w:val="0"/>
          <w:szCs w:val="21"/>
          <w:highlight w:val="none"/>
          <w:u w:val="single"/>
        </w:rPr>
        <w:t>承包人应为其采购的工程设备（电机、水泵、阀门、管材等）保险及整个施工期间为其现场机构雇用的全部人员投保人身意外伤害险并缴纳保险费。若项目存在分包，则分包人也须购买此项保险，保险费已包含在合同价款中</w:t>
      </w:r>
      <w:r>
        <w:rPr>
          <w:rFonts w:hint="eastAsia" w:ascii="宋体" w:hAnsi="宋体" w:cs="宋体"/>
          <w:kern w:val="0"/>
          <w:szCs w:val="21"/>
          <w:highlight w:val="none"/>
        </w:rPr>
        <w:t>；</w:t>
      </w:r>
    </w:p>
    <w:p w14:paraId="7025A4A3">
      <w:pPr>
        <w:pageBreakBefore w:val="0"/>
        <w:kinsoku/>
        <w:overflowPunct/>
        <w:topLinePunct w:val="0"/>
        <w:bidi w:val="0"/>
        <w:spacing w:line="360" w:lineRule="auto"/>
        <w:ind w:right="248" w:firstLine="480"/>
        <w:rPr>
          <w:rFonts w:ascii="宋体" w:hAnsi="宋体" w:cs="宋体"/>
          <w:szCs w:val="21"/>
          <w:highlight w:val="none"/>
        </w:rPr>
      </w:pPr>
      <w:r>
        <w:rPr>
          <w:rFonts w:hint="eastAsia" w:ascii="宋体" w:hAnsi="宋体" w:cs="宋体"/>
          <w:kern w:val="0"/>
          <w:szCs w:val="21"/>
          <w:highlight w:val="none"/>
        </w:rPr>
        <w:t>保险金额、保险费率和保险期限：</w:t>
      </w:r>
      <w:r>
        <w:rPr>
          <w:rFonts w:hint="eastAsia" w:ascii="宋体" w:hAnsi="宋体" w:cs="宋体"/>
          <w:kern w:val="0"/>
          <w:szCs w:val="21"/>
          <w:highlight w:val="none"/>
          <w:u w:val="single"/>
        </w:rPr>
        <w:t>保险金额、保险费率按国家规定执行。保险期限为国家标准规定使用年限</w:t>
      </w:r>
      <w:r>
        <w:rPr>
          <w:rFonts w:hint="eastAsia" w:ascii="宋体" w:hAnsi="宋体" w:cs="宋体"/>
          <w:kern w:val="0"/>
          <w:szCs w:val="21"/>
          <w:highlight w:val="none"/>
        </w:rPr>
        <w:t>。</w:t>
      </w:r>
    </w:p>
    <w:p w14:paraId="7B19D1E9">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13" w:name="_Toc33183785"/>
      <w:r>
        <w:rPr>
          <w:rFonts w:hint="eastAsia" w:ascii="宋体" w:hAnsi="宋体" w:cs="宋体"/>
          <w:szCs w:val="21"/>
          <w:highlight w:val="none"/>
        </w:rPr>
        <w:t>20.6  对各项保险的一般要求</w:t>
      </w:r>
      <w:bookmarkEnd w:id="312"/>
      <w:bookmarkEnd w:id="313"/>
    </w:p>
    <w:p w14:paraId="5C18328C">
      <w:pPr>
        <w:pageBreakBefore w:val="0"/>
        <w:kinsoku/>
        <w:overflowPunct/>
        <w:topLinePunct w:val="0"/>
        <w:bidi w:val="0"/>
        <w:spacing w:line="360" w:lineRule="auto"/>
        <w:ind w:firstLine="525" w:firstLineChars="250"/>
        <w:rPr>
          <w:rFonts w:ascii="宋体" w:hAnsi="宋体" w:cs="宋体"/>
          <w:szCs w:val="21"/>
          <w:highlight w:val="none"/>
        </w:rPr>
      </w:pPr>
      <w:bookmarkStart w:id="314" w:name="_Toc221951328"/>
      <w:r>
        <w:rPr>
          <w:rFonts w:hint="eastAsia" w:ascii="宋体" w:hAnsi="宋体" w:cs="宋体"/>
          <w:szCs w:val="21"/>
          <w:highlight w:val="none"/>
        </w:rPr>
        <w:t>20.6.1  保险凭证</w:t>
      </w:r>
      <w:bookmarkEnd w:id="314"/>
    </w:p>
    <w:p w14:paraId="6E684024">
      <w:pPr>
        <w:pageBreakBefore w:val="0"/>
        <w:kinsoku/>
        <w:overflowPunct/>
        <w:topLinePunct w:val="0"/>
        <w:bidi w:val="0"/>
        <w:spacing w:line="360" w:lineRule="auto"/>
        <w:ind w:right="248" w:firstLine="480"/>
        <w:rPr>
          <w:rFonts w:ascii="宋体" w:hAnsi="宋体" w:cs="宋体"/>
          <w:szCs w:val="21"/>
          <w:highlight w:val="none"/>
        </w:rPr>
      </w:pPr>
      <w:bookmarkStart w:id="315" w:name="_Toc221951329"/>
      <w:r>
        <w:rPr>
          <w:rFonts w:hint="eastAsia" w:ascii="宋体" w:hAnsi="宋体" w:cs="宋体"/>
          <w:szCs w:val="21"/>
          <w:highlight w:val="none"/>
        </w:rPr>
        <w:t>承包人提交保险凭证的期限：</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第一次进度款拨付之前</w:t>
      </w:r>
      <w:r>
        <w:rPr>
          <w:rFonts w:hint="eastAsia" w:ascii="宋体" w:hAnsi="宋体" w:cs="宋体"/>
          <w:szCs w:val="21"/>
          <w:highlight w:val="none"/>
          <w:u w:val="single"/>
        </w:rPr>
        <w:t xml:space="preserve">  </w:t>
      </w:r>
      <w:bookmarkEnd w:id="315"/>
      <w:r>
        <w:rPr>
          <w:rFonts w:hint="eastAsia" w:ascii="宋体" w:hAnsi="宋体" w:cs="宋体"/>
          <w:szCs w:val="21"/>
          <w:highlight w:val="none"/>
        </w:rPr>
        <w:t>；</w:t>
      </w:r>
    </w:p>
    <w:p w14:paraId="7591E0EB">
      <w:pPr>
        <w:pageBreakBefore w:val="0"/>
        <w:kinsoku/>
        <w:overflowPunct/>
        <w:topLinePunct w:val="0"/>
        <w:bidi w:val="0"/>
        <w:spacing w:line="360" w:lineRule="auto"/>
        <w:ind w:right="248" w:firstLine="480"/>
        <w:rPr>
          <w:rFonts w:ascii="宋体" w:hAnsi="宋体" w:cs="宋体"/>
          <w:szCs w:val="21"/>
          <w:highlight w:val="none"/>
        </w:rPr>
      </w:pPr>
      <w:bookmarkStart w:id="316" w:name="_Toc221951330"/>
      <w:r>
        <w:rPr>
          <w:rFonts w:hint="eastAsia" w:ascii="宋体" w:hAnsi="宋体" w:cs="宋体"/>
          <w:szCs w:val="21"/>
          <w:highlight w:val="none"/>
        </w:rPr>
        <w:t>保险条件：</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bookmarkEnd w:id="316"/>
    </w:p>
    <w:p w14:paraId="1363D997">
      <w:pPr>
        <w:pageBreakBefore w:val="0"/>
        <w:kinsoku/>
        <w:overflowPunct/>
        <w:topLinePunct w:val="0"/>
        <w:bidi w:val="0"/>
        <w:spacing w:line="360" w:lineRule="auto"/>
        <w:ind w:right="248" w:firstLine="480"/>
        <w:rPr>
          <w:rFonts w:ascii="宋体" w:hAnsi="宋体" w:cs="宋体"/>
          <w:szCs w:val="21"/>
          <w:highlight w:val="none"/>
        </w:rPr>
      </w:pPr>
      <w:bookmarkStart w:id="317" w:name="_Toc221951331"/>
      <w:r>
        <w:rPr>
          <w:rFonts w:hint="eastAsia" w:ascii="宋体" w:hAnsi="宋体" w:cs="宋体"/>
          <w:szCs w:val="21"/>
          <w:highlight w:val="none"/>
        </w:rPr>
        <w:t>20.6.4  保险金不足的补偿</w:t>
      </w:r>
      <w:bookmarkEnd w:id="317"/>
    </w:p>
    <w:p w14:paraId="7FA1E898">
      <w:pPr>
        <w:pageBreakBefore w:val="0"/>
        <w:kinsoku/>
        <w:overflowPunct/>
        <w:topLinePunct w:val="0"/>
        <w:bidi w:val="0"/>
        <w:spacing w:line="360" w:lineRule="auto"/>
        <w:ind w:right="248" w:firstLine="420" w:firstLineChars="200"/>
        <w:rPr>
          <w:rFonts w:ascii="宋体" w:hAnsi="宋体" w:cs="宋体"/>
          <w:szCs w:val="21"/>
          <w:highlight w:val="none"/>
          <w:u w:val="none"/>
        </w:rPr>
      </w:pPr>
      <w:bookmarkStart w:id="318" w:name="_Toc221951332"/>
      <w:r>
        <w:rPr>
          <w:rFonts w:hint="eastAsia" w:ascii="宋体" w:hAnsi="宋体" w:cs="宋体"/>
          <w:szCs w:val="21"/>
          <w:highlight w:val="none"/>
        </w:rPr>
        <w:t>承包人负责补偿的范围与金额：</w:t>
      </w:r>
      <w:bookmarkEnd w:id="318"/>
      <w:r>
        <w:rPr>
          <w:rFonts w:hint="eastAsia" w:ascii="宋体" w:hAnsi="宋体" w:cs="宋体"/>
          <w:szCs w:val="21"/>
          <w:highlight w:val="none"/>
          <w:u w:val="single"/>
        </w:rPr>
        <w:t xml:space="preserve">  </w:t>
      </w:r>
      <w:r>
        <w:rPr>
          <w:rFonts w:hint="eastAsia" w:ascii="宋体" w:hAnsi="宋体" w:cs="宋体"/>
          <w:kern w:val="0"/>
          <w:szCs w:val="21"/>
          <w:highlight w:val="none"/>
          <w:u w:val="single"/>
        </w:rPr>
        <w:t>保险金不足以补偿损失的（包括免赔额和超过赔偿限额的部分），应由投保人按合同约定负责补偿</w:t>
      </w:r>
      <w:r>
        <w:rPr>
          <w:rFonts w:hint="eastAsia" w:ascii="宋体" w:hAnsi="宋体" w:cs="宋体"/>
          <w:kern w:val="0"/>
          <w:szCs w:val="21"/>
          <w:highlight w:val="none"/>
          <w:u w:val="none"/>
        </w:rPr>
        <w:t>。</w:t>
      </w:r>
      <w:r>
        <w:rPr>
          <w:rFonts w:hint="eastAsia" w:ascii="宋体" w:hAnsi="宋体" w:cs="宋体"/>
          <w:szCs w:val="21"/>
          <w:highlight w:val="none"/>
          <w:u w:val="none"/>
        </w:rPr>
        <w:t xml:space="preserve"> </w:t>
      </w:r>
    </w:p>
    <w:p w14:paraId="5E64F13E">
      <w:pPr>
        <w:keepNext w:val="0"/>
        <w:keepLines w:val="0"/>
        <w:pageBreakBefore w:val="0"/>
        <w:widowControl w:val="0"/>
        <w:kinsoku/>
        <w:wordWrap/>
        <w:overflowPunct/>
        <w:topLinePunct w:val="0"/>
        <w:autoSpaceDE/>
        <w:autoSpaceDN/>
        <w:bidi w:val="0"/>
        <w:adjustRightInd/>
        <w:snapToGrid/>
        <w:spacing w:line="360" w:lineRule="auto"/>
        <w:ind w:left="479" w:leftChars="228" w:right="249" w:firstLine="0" w:firstLineChars="0"/>
        <w:textAlignment w:val="auto"/>
        <w:rPr>
          <w:rFonts w:hint="eastAsia" w:ascii="宋体" w:hAnsi="宋体" w:cs="宋体"/>
          <w:kern w:val="0"/>
          <w:szCs w:val="21"/>
          <w:highlight w:val="none"/>
          <w:u w:val="single"/>
        </w:rPr>
      </w:pPr>
      <w:r>
        <w:rPr>
          <w:rFonts w:hint="eastAsia" w:ascii="宋体" w:hAnsi="宋体" w:cs="宋体"/>
          <w:szCs w:val="21"/>
          <w:highlight w:val="none"/>
        </w:rPr>
        <w:t>发包人负责补偿的范围与金额：</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保险金不足以补偿损失的（包括免赔额和超过赔偿限额的</w:t>
      </w:r>
    </w:p>
    <w:p w14:paraId="439FA595">
      <w:pPr>
        <w:keepNext w:val="0"/>
        <w:keepLines w:val="0"/>
        <w:pageBreakBefore w:val="0"/>
        <w:widowControl w:val="0"/>
        <w:kinsoku/>
        <w:wordWrap/>
        <w:overflowPunct/>
        <w:topLinePunct w:val="0"/>
        <w:autoSpaceDE/>
        <w:autoSpaceDN/>
        <w:bidi w:val="0"/>
        <w:adjustRightInd/>
        <w:snapToGrid/>
        <w:spacing w:line="360" w:lineRule="auto"/>
        <w:ind w:right="249"/>
        <w:textAlignment w:val="auto"/>
        <w:rPr>
          <w:rFonts w:ascii="宋体" w:hAnsi="宋体" w:cs="宋体"/>
          <w:szCs w:val="21"/>
          <w:highlight w:val="none"/>
          <w:u w:val="single"/>
        </w:rPr>
      </w:pPr>
      <w:r>
        <w:rPr>
          <w:rFonts w:hint="eastAsia" w:ascii="宋体" w:hAnsi="宋体" w:cs="宋体"/>
          <w:kern w:val="0"/>
          <w:szCs w:val="21"/>
          <w:highlight w:val="none"/>
          <w:u w:val="single"/>
        </w:rPr>
        <w:t>部分），应由投保人按合同约定负责补偿</w:t>
      </w:r>
      <w:r>
        <w:rPr>
          <w:rFonts w:hint="eastAsia" w:ascii="宋体" w:hAnsi="宋体" w:cs="宋体"/>
          <w:kern w:val="0"/>
          <w:szCs w:val="21"/>
          <w:highlight w:val="none"/>
          <w:u w:val="none"/>
        </w:rPr>
        <w:t>。</w:t>
      </w:r>
      <w:r>
        <w:rPr>
          <w:rFonts w:hint="eastAsia" w:ascii="宋体" w:hAnsi="宋体" w:cs="宋体"/>
          <w:szCs w:val="21"/>
          <w:highlight w:val="none"/>
        </w:rPr>
        <w:t xml:space="preserve">                                                                                                                                                                                                                                                                                                                                                                                                                                                                                                                                                                                                                                                                                                                                                                                                                                                                                                                                                                                                                                                                                                                                                                                                                                                                                                                                                                                                                                                                                                                                                                                                                                                                                                                                                                                                                                                                                                                                                                                                                                          </w:t>
      </w:r>
      <w:r>
        <w:rPr>
          <w:rFonts w:hint="eastAsia" w:ascii="宋体" w:hAnsi="宋体" w:cs="宋体"/>
          <w:b/>
          <w:szCs w:val="21"/>
          <w:highlight w:val="none"/>
        </w:rPr>
        <w:t xml:space="preserve"> </w:t>
      </w:r>
    </w:p>
    <w:p w14:paraId="047B8E75">
      <w:pPr>
        <w:pageBreakBefore w:val="0"/>
        <w:kinsoku/>
        <w:overflowPunct/>
        <w:topLinePunct w:val="0"/>
        <w:bidi w:val="0"/>
        <w:snapToGrid w:val="0"/>
        <w:spacing w:line="360" w:lineRule="auto"/>
        <w:ind w:firstLine="422" w:firstLineChars="200"/>
        <w:jc w:val="left"/>
        <w:rPr>
          <w:rFonts w:hint="eastAsia" w:ascii="宋体" w:hAnsi="宋体" w:eastAsia="宋体" w:cs="宋体"/>
          <w:b/>
          <w:bCs/>
          <w:kern w:val="0"/>
          <w:szCs w:val="21"/>
          <w:highlight w:val="none"/>
        </w:rPr>
      </w:pPr>
      <w:bookmarkStart w:id="319" w:name="_Toc59810424"/>
      <w:bookmarkStart w:id="320" w:name="_Toc136350404"/>
      <w:bookmarkStart w:id="321" w:name="_Toc33183786"/>
      <w:bookmarkStart w:id="322" w:name="_Toc28325"/>
      <w:bookmarkStart w:id="323" w:name="_Toc222031045"/>
      <w:bookmarkStart w:id="324" w:name="_Toc222029543"/>
      <w:bookmarkStart w:id="325" w:name="_Toc229305401"/>
      <w:bookmarkStart w:id="326" w:name="_Toc222032712"/>
      <w:bookmarkStart w:id="327" w:name="_Toc222033894"/>
      <w:bookmarkStart w:id="328" w:name="_Toc221951334"/>
      <w:r>
        <w:rPr>
          <w:rFonts w:hint="eastAsia" w:ascii="宋体" w:hAnsi="宋体" w:eastAsia="宋体" w:cs="宋体"/>
          <w:b/>
          <w:bCs/>
          <w:kern w:val="0"/>
          <w:szCs w:val="21"/>
          <w:highlight w:val="none"/>
        </w:rPr>
        <w:t>21.不可抗力</w:t>
      </w:r>
      <w:bookmarkEnd w:id="319"/>
      <w:bookmarkEnd w:id="320"/>
      <w:bookmarkEnd w:id="321"/>
      <w:bookmarkEnd w:id="322"/>
    </w:p>
    <w:p w14:paraId="7E975D01">
      <w:pPr>
        <w:pageBreakBefore w:val="0"/>
        <w:kinsoku/>
        <w:overflowPunct/>
        <w:topLinePunct w:val="0"/>
        <w:bidi w:val="0"/>
        <w:snapToGrid w:val="0"/>
        <w:spacing w:line="360" w:lineRule="auto"/>
        <w:ind w:firstLine="420" w:firstLineChars="200"/>
        <w:jc w:val="left"/>
        <w:rPr>
          <w:rFonts w:hint="eastAsia" w:ascii="宋体" w:hAnsi="宋体" w:eastAsia="宋体" w:cs="宋体"/>
          <w:kern w:val="0"/>
          <w:szCs w:val="21"/>
          <w:highlight w:val="none"/>
        </w:rPr>
      </w:pPr>
      <w:bookmarkStart w:id="329" w:name="_Toc33183787"/>
      <w:r>
        <w:rPr>
          <w:rFonts w:hint="eastAsia" w:ascii="宋体" w:hAnsi="宋体" w:eastAsia="宋体" w:cs="宋体"/>
          <w:kern w:val="0"/>
          <w:szCs w:val="21"/>
          <w:highlight w:val="none"/>
        </w:rPr>
        <w:t>21.1 不可抗力的确认</w:t>
      </w:r>
      <w:bookmarkEnd w:id="329"/>
    </w:p>
    <w:p w14:paraId="6B9CCC5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除通用合同条款约定的不可抗力事件之外，视为不可抗力的其他情形：</w:t>
      </w:r>
    </w:p>
    <w:p w14:paraId="5A92E6D0">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（1）洪水、火山爆发、山崩、山体滑坡、泥石流、龙卷风、隧道内不可预测的突发性地质灾害等自然灾害；</w:t>
      </w:r>
    </w:p>
    <w:p w14:paraId="67C34DB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（2）骚乱、戒严、封锁、禁运、恐怖行为等社会行为，但承包人或其分包人派遣与雇佣的人员由于合同工程施工原因引起的除外；</w:t>
      </w:r>
    </w:p>
    <w:p w14:paraId="5C27833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（3）不能合理预见的重大交通阻滞、停运、交通事故、瘟疫，非双方责任引起的火灾、爆炸、船舶撞击等情形；</w:t>
      </w:r>
    </w:p>
    <w:p w14:paraId="56BA99E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（4）化学或放射性污染或核辐射；</w:t>
      </w:r>
    </w:p>
    <w:p w14:paraId="7037565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（5）环保治理等政府行为导致项目停工的。</w:t>
      </w:r>
    </w:p>
    <w:p w14:paraId="4C0D1D50">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（6）</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79261796">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30" w:name="_Toc33183788"/>
      <w:r>
        <w:rPr>
          <w:rFonts w:hint="eastAsia" w:ascii="宋体" w:hAnsi="宋体" w:cs="宋体"/>
          <w:szCs w:val="21"/>
          <w:highlight w:val="none"/>
        </w:rPr>
        <w:t>21.3 不可抗力后果及其处理</w:t>
      </w:r>
      <w:bookmarkEnd w:id="330"/>
    </w:p>
    <w:p w14:paraId="5526BC2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本款补充细化21.3.1项如下：</w:t>
      </w:r>
    </w:p>
    <w:p w14:paraId="6B66699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21.3.1不可抗力造成损害的责任</w:t>
      </w:r>
    </w:p>
    <w:p w14:paraId="3DFAFF4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不可抗力引起的后果及造成的损失由合同当事人按照法律规定及合同约定各自承担。不可抗力发生前已完成的工程应当按照合同约定进行计量支付。</w:t>
      </w:r>
    </w:p>
    <w:p w14:paraId="0B41B152">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不可抗力导致的人员伤亡、财产损失、费用增加和（或）工期延误等后果，由合同当事人按以下原则承担：</w:t>
      </w:r>
    </w:p>
    <w:p w14:paraId="4A371615">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（1）永久工程、已运至施工现场的施工材料和工程设备的损坏，以及因工程损坏造成的第三方人员伤亡和财产损失由发包人承担；</w:t>
      </w:r>
    </w:p>
    <w:p w14:paraId="4903391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（2）承包人施工设备的损坏由承包人承担；</w:t>
      </w:r>
    </w:p>
    <w:p w14:paraId="6A07267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（3）发包人和承包人承担各自人员伤亡和财产的损失；</w:t>
      </w:r>
    </w:p>
    <w:p w14:paraId="6FD1CA5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（4）因不可抗力影响承包人履行合同约定的义务，已经引起或将引起工期延误的，应当顺延工期，由此导致承包人停工的费用损失由发包人和承包人合理共担，停工期间必须支付的工人工资由发包人承担；</w:t>
      </w:r>
    </w:p>
    <w:p w14:paraId="39355EAF">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（5）因不可抗力引起或将引起工期延误，发包人要求赶工的，由此增加的赶工费用由发包人承担；</w:t>
      </w:r>
    </w:p>
    <w:p w14:paraId="6BC93378">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（6）承包人在停工期间按照发包人要求照管、清理和修复工程的费用由发包人承担；</w:t>
      </w:r>
    </w:p>
    <w:p w14:paraId="4319BD9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（7）不可抗力事件发生后，合同当事人均应采取措施尽量避免和减少损失的扩大，任何一方当事人没有采取有效措施导致损失扩大的，应对扩大的损失承担责任。</w:t>
      </w:r>
    </w:p>
    <w:p w14:paraId="7372FB59">
      <w:pPr>
        <w:pStyle w:val="2"/>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21.3.4 因不可抗力解除合同</w:t>
      </w:r>
    </w:p>
    <w:p w14:paraId="77601B92">
      <w:pPr>
        <w:pStyle w:val="2"/>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合同解除后，发包人应在商定或确定发包人应支付款项后28天内完成款项的支付。</w:t>
      </w:r>
    </w:p>
    <w:p w14:paraId="75CCBB1C">
      <w:pPr>
        <w:pStyle w:val="2"/>
        <w:pageBreakBefore w:val="0"/>
        <w:kinsoku/>
        <w:overflowPunct/>
        <w:topLinePunct w:val="0"/>
        <w:bidi w:val="0"/>
        <w:spacing w:line="360" w:lineRule="auto"/>
        <w:ind w:firstLine="422" w:firstLineChars="200"/>
        <w:rPr>
          <w:rFonts w:hint="eastAsia" w:ascii="宋体" w:hAnsi="宋体" w:eastAsia="宋体" w:cs="宋体"/>
          <w:b/>
          <w:bCs/>
          <w:kern w:val="0"/>
          <w:szCs w:val="21"/>
          <w:highlight w:val="none"/>
        </w:rPr>
      </w:pPr>
      <w:bookmarkStart w:id="331" w:name="_Toc33183789"/>
      <w:bookmarkStart w:id="332" w:name="_Toc136350405"/>
      <w:bookmarkStart w:id="333" w:name="_Toc18319"/>
      <w:bookmarkStart w:id="334" w:name="_Toc59810425"/>
      <w:r>
        <w:rPr>
          <w:rFonts w:hint="eastAsia" w:ascii="宋体" w:hAnsi="宋体" w:eastAsia="宋体" w:cs="宋体"/>
          <w:b/>
          <w:bCs/>
          <w:kern w:val="0"/>
          <w:szCs w:val="21"/>
          <w:highlight w:val="none"/>
        </w:rPr>
        <w:t>22. 违约</w:t>
      </w:r>
      <w:bookmarkEnd w:id="331"/>
      <w:bookmarkEnd w:id="332"/>
      <w:bookmarkEnd w:id="333"/>
      <w:bookmarkEnd w:id="334"/>
    </w:p>
    <w:p w14:paraId="42D0D5E9">
      <w:pPr>
        <w:pStyle w:val="2"/>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bookmarkStart w:id="335" w:name="_Toc33183790"/>
      <w:r>
        <w:rPr>
          <w:rFonts w:hint="eastAsia" w:ascii="宋体" w:hAnsi="宋体" w:eastAsia="宋体" w:cs="宋体"/>
          <w:kern w:val="0"/>
          <w:szCs w:val="21"/>
          <w:highlight w:val="none"/>
        </w:rPr>
        <w:t>22.1 承包人违约</w:t>
      </w:r>
      <w:bookmarkEnd w:id="335"/>
    </w:p>
    <w:p w14:paraId="41D0B095">
      <w:pPr>
        <w:pStyle w:val="2"/>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22.1.1 承包人违约的情形</w:t>
      </w:r>
    </w:p>
    <w:p w14:paraId="7815B4F8">
      <w:pPr>
        <w:pStyle w:val="2"/>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除通用合同条款约定外，承包人违约的其他情形：</w:t>
      </w:r>
    </w:p>
    <w:p w14:paraId="62716AF0">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（1）承包人未按合同约定提交履约担保、低价风险担保或质量保证金的；</w:t>
      </w:r>
    </w:p>
    <w:p w14:paraId="4EB1F7B8">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（2）承包人未能按期开工的；</w:t>
      </w:r>
    </w:p>
    <w:p w14:paraId="5E2CEA6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（3）承包人未按投标文件或监理人的要求及时配备称职的主要管理人员的，或承包人未按经审定的施工组织设计配备或更换关键施工设备的；</w:t>
      </w:r>
    </w:p>
    <w:p w14:paraId="214992F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（4）承包人有安全问题或有违反安全管理规章制度情况的；</w:t>
      </w:r>
    </w:p>
    <w:p w14:paraId="7A79921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（5）承包人在缺陷责任期及保修期内，未能在合理期限对工程缺陷进行修复，或拒绝按发包人要求进行修复的；</w:t>
      </w:r>
    </w:p>
    <w:p w14:paraId="5BD1FFD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（6）承包人拖欠其工人或所雇人员工资或报酬，导致其工人或所雇人员向有关部门投诉、控告、检举或以聚集等方式讨要工资或报酬的；</w:t>
      </w:r>
    </w:p>
    <w:p w14:paraId="26EE004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（7）承包人不配合发包人、监理人及发包人委托的工程造价咨询服务单位结算审核或承包人其他原因导致未按期完成工程竣（完）工结算的；</w:t>
      </w:r>
    </w:p>
    <w:p w14:paraId="1FE8864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（8）承包人违反合同约定进行转包或违法分包的；</w:t>
      </w:r>
    </w:p>
    <w:p w14:paraId="00BA222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（9）承包人未按合同约定移交全部或部分工作的；</w:t>
      </w:r>
    </w:p>
    <w:p w14:paraId="6E30E891">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u w:val="none"/>
        </w:rPr>
      </w:pPr>
      <w:r>
        <w:rPr>
          <w:rFonts w:hint="eastAsia" w:ascii="宋体" w:hAnsi="宋体" w:cs="宋体"/>
          <w:kern w:val="0"/>
          <w:szCs w:val="21"/>
          <w:highlight w:val="none"/>
          <w:u w:val="none"/>
        </w:rPr>
        <w:t>（10）承包人未按合同约定购买保险的；</w:t>
      </w:r>
    </w:p>
    <w:p w14:paraId="7DEC341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（11）项目经理若有以下情形，属于承包人违约：</w:t>
      </w:r>
    </w:p>
    <w:p w14:paraId="0FBEA8F1">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1）每月在施工现场的天数少于约定天数的；</w:t>
      </w:r>
    </w:p>
    <w:p w14:paraId="7B6085B9">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2）承包人未提交项目经理劳动合同和社会保险证明的；</w:t>
      </w:r>
    </w:p>
    <w:p w14:paraId="70A0EAC8">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3）未经批准，擅自离开施工现场（超过约定时间）的；</w:t>
      </w:r>
    </w:p>
    <w:p w14:paraId="4CCB35FD">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4）未经批准，擅自变更项目经理的；</w:t>
      </w:r>
    </w:p>
    <w:p w14:paraId="0A227A70">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5）发包人有正当理由认为项目经理不称职/不履职，且承包人在约定时间内不予更换的；</w:t>
      </w:r>
    </w:p>
    <w:p w14:paraId="003E30B6">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6）其他双方约定的情形。</w:t>
      </w:r>
    </w:p>
    <w:p w14:paraId="0310F88C">
      <w:pPr>
        <w:pageBreakBefore w:val="0"/>
        <w:kinsoku/>
        <w:overflowPunct/>
        <w:topLinePunct w:val="0"/>
        <w:bidi w:val="0"/>
        <w:snapToGrid w:val="0"/>
        <w:spacing w:line="360" w:lineRule="auto"/>
        <w:ind w:left="480"/>
        <w:jc w:val="left"/>
        <w:rPr>
          <w:rFonts w:ascii="宋体" w:hAnsi="宋体" w:cs="宋体"/>
          <w:kern w:val="0"/>
          <w:szCs w:val="21"/>
          <w:highlight w:val="none"/>
        </w:rPr>
      </w:pPr>
      <w:r>
        <w:rPr>
          <w:rFonts w:hint="eastAsia" w:ascii="宋体" w:hAnsi="宋体" w:cs="宋体"/>
          <w:kern w:val="0"/>
          <w:szCs w:val="21"/>
          <w:highlight w:val="none"/>
        </w:rPr>
        <w:t>（12）技术负责人若有以下情形，属于承包人违约：</w:t>
      </w:r>
    </w:p>
    <w:p w14:paraId="5AE261FF">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1）每月在施工现场的天数少于约定天数的；</w:t>
      </w:r>
    </w:p>
    <w:p w14:paraId="5AD7D01E">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2）承包人未提交项目经理劳动合同和社会保险证明的；</w:t>
      </w:r>
    </w:p>
    <w:p w14:paraId="2B3127D2">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3）未经批准，擅自离开施工现场（超过约定时间）的；</w:t>
      </w:r>
    </w:p>
    <w:p w14:paraId="2FAE5866">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4）未经批准，擅自变更技术负责人的；</w:t>
      </w:r>
    </w:p>
    <w:p w14:paraId="4C293B9E">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5）发包人有正当理由认为技术负责人不称职/不履职，且承包人在约定时间内不予更换的；</w:t>
      </w:r>
    </w:p>
    <w:p w14:paraId="6EADA874">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6）其他双方约定的情形。</w:t>
      </w:r>
    </w:p>
    <w:p w14:paraId="25227066">
      <w:pPr>
        <w:pageBreakBefore w:val="0"/>
        <w:kinsoku/>
        <w:overflowPunct/>
        <w:topLinePunct w:val="0"/>
        <w:bidi w:val="0"/>
        <w:snapToGrid w:val="0"/>
        <w:spacing w:line="360" w:lineRule="auto"/>
        <w:ind w:left="480"/>
        <w:jc w:val="left"/>
        <w:rPr>
          <w:rFonts w:ascii="宋体" w:hAnsi="宋体" w:cs="宋体"/>
          <w:kern w:val="0"/>
          <w:szCs w:val="21"/>
          <w:highlight w:val="none"/>
        </w:rPr>
      </w:pPr>
      <w:r>
        <w:rPr>
          <w:rFonts w:hint="eastAsia" w:ascii="宋体" w:hAnsi="宋体" w:cs="宋体"/>
          <w:kern w:val="0"/>
          <w:szCs w:val="21"/>
          <w:highlight w:val="none"/>
        </w:rPr>
        <w:t>（13）主要施工管理人员若有以下情形，属于承包人违约：</w:t>
      </w:r>
    </w:p>
    <w:p w14:paraId="2F1CE2AC">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1）承包人未提交项目经理劳动合同和社会保险证明的；</w:t>
      </w:r>
    </w:p>
    <w:p w14:paraId="2632BBFE">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2）未经批准，擅自离开施工现场（超过约定时间）的；</w:t>
      </w:r>
    </w:p>
    <w:p w14:paraId="201B5D70">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3）未经批准，擅自变更主要施工管理人员的；</w:t>
      </w:r>
    </w:p>
    <w:p w14:paraId="7453DC40">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4）发包人有正当理由认为主要施工管理人员不称职/不履职，且承包人在约定时间内不予更换的；</w:t>
      </w:r>
    </w:p>
    <w:p w14:paraId="7549566D">
      <w:pPr>
        <w:pStyle w:val="12"/>
        <w:pageBreakBefore w:val="0"/>
        <w:kinsoku/>
        <w:overflowPunct/>
        <w:topLinePunct w:val="0"/>
        <w:bidi w:val="0"/>
        <w:snapToGrid w:val="0"/>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5）其他双方约定的情形。</w:t>
      </w:r>
    </w:p>
    <w:p w14:paraId="035799CB">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22.1.2对承包人违约的处理</w:t>
      </w:r>
    </w:p>
    <w:p w14:paraId="391250DC">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承包人违约责任的承担方式和计算方法：</w:t>
      </w:r>
    </w:p>
    <w:p w14:paraId="30FF63B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（1）承包人未按合同约定提交履约担保、低价风险担保、质量保证金的违约责任：承包人应支付违约金,违约金的计算方法：每延误1天，承包人按</w:t>
      </w:r>
      <w:r>
        <w:rPr>
          <w:rFonts w:hint="eastAsia" w:ascii="宋体" w:hAnsi="宋体" w:cs="宋体"/>
          <w:kern w:val="0"/>
          <w:szCs w:val="21"/>
          <w:highlight w:val="none"/>
          <w:u w:val="single"/>
        </w:rPr>
        <w:t xml:space="preserve"> 5000元/天</w:t>
      </w:r>
      <w:r>
        <w:rPr>
          <w:rFonts w:hint="eastAsia" w:ascii="宋体" w:hAnsi="宋体" w:cs="宋体"/>
          <w:kern w:val="0"/>
          <w:szCs w:val="21"/>
          <w:highlight w:val="none"/>
        </w:rPr>
        <w:t>计算违约金，累计违约金上限：</w:t>
      </w:r>
      <w:r>
        <w:rPr>
          <w:rFonts w:hint="eastAsia" w:ascii="宋体" w:hAnsi="宋体" w:cs="宋体"/>
          <w:kern w:val="0"/>
          <w:szCs w:val="21"/>
          <w:highlight w:val="none"/>
          <w:u w:val="single"/>
        </w:rPr>
        <w:t xml:space="preserve"> 10</w:t>
      </w:r>
      <w:r>
        <w:rPr>
          <w:rFonts w:hint="eastAsia" w:ascii="宋体" w:hAnsi="宋体" w:cs="宋体"/>
          <w:kern w:val="0"/>
          <w:szCs w:val="21"/>
          <w:highlight w:val="none"/>
        </w:rPr>
        <w:t>万元（不超过签约合同价的3%）。</w:t>
      </w:r>
    </w:p>
    <w:p w14:paraId="7319712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宋体"/>
          <w:kern w:val="0"/>
          <w:szCs w:val="21"/>
          <w:highlight w:val="none"/>
          <w:u w:val="single"/>
        </w:rPr>
        <w:t xml:space="preserve"> 5%</w:t>
      </w:r>
      <w:r>
        <w:rPr>
          <w:rFonts w:hint="eastAsia" w:ascii="宋体" w:hAnsi="宋体" w:cs="宋体"/>
          <w:kern w:val="0"/>
          <w:szCs w:val="21"/>
          <w:highlight w:val="none"/>
        </w:rPr>
        <w:t>支付违约金，违法转/分包商应在7天内撤离出场。</w:t>
      </w:r>
    </w:p>
    <w:p w14:paraId="76601EF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宋体"/>
          <w:kern w:val="0"/>
          <w:szCs w:val="21"/>
          <w:highlight w:val="none"/>
          <w:u w:val="single"/>
          <w:lang w:val="en-US" w:eastAsia="zh-CN"/>
        </w:rPr>
        <w:t>10</w:t>
      </w:r>
      <w:r>
        <w:rPr>
          <w:rFonts w:hint="eastAsia" w:ascii="宋体" w:hAnsi="宋体" w:cs="宋体"/>
          <w:kern w:val="0"/>
          <w:szCs w:val="21"/>
          <w:highlight w:val="none"/>
          <w:u w:val="single"/>
        </w:rPr>
        <w:t>%</w:t>
      </w:r>
      <w:r>
        <w:rPr>
          <w:rFonts w:hint="eastAsia" w:ascii="宋体" w:hAnsi="宋体" w:cs="宋体"/>
          <w:kern w:val="0"/>
          <w:szCs w:val="21"/>
          <w:highlight w:val="none"/>
        </w:rPr>
        <w:t>支付违约金。</w:t>
      </w:r>
    </w:p>
    <w:p w14:paraId="4670EA0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kern w:val="0"/>
          <w:szCs w:val="21"/>
          <w:highlight w:val="none"/>
          <w:u w:val="single"/>
        </w:rPr>
        <w:t>10%</w:t>
      </w:r>
      <w:r>
        <w:rPr>
          <w:rFonts w:hint="eastAsia" w:ascii="宋体" w:hAnsi="宋体" w:cs="宋体"/>
          <w:kern w:val="0"/>
          <w:szCs w:val="21"/>
          <w:highlight w:val="none"/>
        </w:rPr>
        <w:t>支付违约金。</w:t>
      </w:r>
    </w:p>
    <w:p w14:paraId="1E1A0FC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w:t>
      </w:r>
      <w:r>
        <w:rPr>
          <w:rFonts w:hint="eastAsia" w:ascii="宋体" w:hAnsi="宋体" w:cs="宋体"/>
          <w:kern w:val="0"/>
          <w:szCs w:val="21"/>
          <w:highlight w:val="none"/>
        </w:rPr>
        <w:t>支付违约金。</w:t>
      </w:r>
    </w:p>
    <w:p w14:paraId="2716BF4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kern w:val="0"/>
          <w:szCs w:val="21"/>
          <w:highlight w:val="none"/>
          <w:u w:val="single"/>
        </w:rPr>
        <w:t xml:space="preserve"> 5000元/天</w:t>
      </w:r>
      <w:r>
        <w:rPr>
          <w:rFonts w:hint="eastAsia" w:ascii="宋体" w:hAnsi="宋体" w:cs="宋体"/>
          <w:kern w:val="0"/>
          <w:szCs w:val="21"/>
          <w:highlight w:val="none"/>
        </w:rPr>
        <w:t>计算逾期交工违约金，累计违约金上限：</w:t>
      </w:r>
      <w:r>
        <w:rPr>
          <w:rFonts w:hint="eastAsia" w:ascii="宋体" w:hAnsi="宋体" w:cs="宋体"/>
          <w:kern w:val="0"/>
          <w:szCs w:val="21"/>
          <w:highlight w:val="none"/>
          <w:u w:val="single"/>
        </w:rPr>
        <w:t xml:space="preserve">  1</w:t>
      </w:r>
      <w:r>
        <w:rPr>
          <w:rFonts w:hint="eastAsia" w:ascii="宋体" w:hAnsi="宋体" w:cs="宋体"/>
          <w:kern w:val="0"/>
          <w:szCs w:val="21"/>
          <w:highlight w:val="none"/>
          <w:u w:val="single"/>
          <w:lang w:val="en-US" w:eastAsia="zh-CN"/>
        </w:rPr>
        <w:t>0</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万元（不超过签约合同价的3</w:t>
      </w:r>
      <w:r>
        <w:rPr>
          <w:rFonts w:hint="eastAsia" w:ascii="宋体" w:hAnsi="宋体" w:cs="宋体"/>
          <w:kern w:val="0"/>
          <w:szCs w:val="21"/>
          <w:highlight w:val="none"/>
          <w:lang w:val="en-US" w:eastAsia="zh-CN"/>
        </w:rPr>
        <w:t>0</w:t>
      </w:r>
      <w:r>
        <w:rPr>
          <w:rFonts w:hint="eastAsia" w:ascii="宋体" w:hAnsi="宋体" w:cs="宋体"/>
          <w:kern w:val="0"/>
          <w:szCs w:val="21"/>
          <w:highlight w:val="none"/>
        </w:rPr>
        <w:t>%）；承包人支付逾期交工违约金后，不免除承包人继续完成工程及修补缺陷的义务。</w:t>
      </w:r>
    </w:p>
    <w:p w14:paraId="3B43FE7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宋体"/>
          <w:kern w:val="0"/>
          <w:szCs w:val="21"/>
          <w:highlight w:val="none"/>
          <w:u w:val="single"/>
        </w:rPr>
        <w:t>2%</w:t>
      </w:r>
      <w:r>
        <w:rPr>
          <w:rFonts w:hint="eastAsia" w:ascii="宋体" w:hAnsi="宋体" w:cs="宋体"/>
          <w:kern w:val="0"/>
          <w:szCs w:val="21"/>
          <w:highlight w:val="none"/>
        </w:rPr>
        <w:t>支付违约金。</w:t>
      </w:r>
    </w:p>
    <w:p w14:paraId="5986A41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（8）承包人明确表示或者以其行为表明不履行合同主要义务的违约责任：按签约合同价的</w:t>
      </w:r>
      <w:r>
        <w:rPr>
          <w:rFonts w:hint="eastAsia" w:ascii="宋体" w:hAnsi="宋体" w:cs="宋体"/>
          <w:kern w:val="0"/>
          <w:szCs w:val="21"/>
          <w:highlight w:val="none"/>
          <w:u w:val="single"/>
        </w:rPr>
        <w:t>10%</w:t>
      </w:r>
      <w:r>
        <w:rPr>
          <w:rFonts w:hint="eastAsia" w:ascii="宋体" w:hAnsi="宋体" w:cs="宋体"/>
          <w:kern w:val="0"/>
          <w:szCs w:val="21"/>
          <w:highlight w:val="none"/>
        </w:rPr>
        <w:t>支付违约金。</w:t>
      </w:r>
    </w:p>
    <w:p w14:paraId="429EA27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（9）承包人未能按照合同约定履行其他义务的违约责任：按</w:t>
      </w:r>
      <w:r>
        <w:rPr>
          <w:rFonts w:hint="eastAsia" w:ascii="宋体" w:hAnsi="宋体" w:cs="宋体"/>
          <w:kern w:val="0"/>
          <w:szCs w:val="21"/>
          <w:highlight w:val="none"/>
          <w:u w:val="single"/>
        </w:rPr>
        <w:t>500元/次</w:t>
      </w:r>
      <w:r>
        <w:rPr>
          <w:rFonts w:hint="eastAsia" w:ascii="宋体" w:hAnsi="宋体" w:cs="宋体"/>
          <w:kern w:val="0"/>
          <w:szCs w:val="21"/>
          <w:highlight w:val="none"/>
        </w:rPr>
        <w:t>支付违约金。</w:t>
      </w:r>
    </w:p>
    <w:p w14:paraId="5E4FB7D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（10）承包人未能按期开工的违约责任：按合同价</w:t>
      </w:r>
      <w:r>
        <w:rPr>
          <w:rFonts w:hint="eastAsia" w:ascii="宋体" w:hAnsi="宋体" w:cs="宋体"/>
          <w:kern w:val="0"/>
          <w:szCs w:val="21"/>
          <w:highlight w:val="none"/>
          <w:u w:val="single"/>
        </w:rPr>
        <w:t>0.2‰</w:t>
      </w:r>
      <w:r>
        <w:rPr>
          <w:rFonts w:hint="eastAsia" w:ascii="宋体" w:hAnsi="宋体" w:cs="宋体"/>
          <w:kern w:val="0"/>
          <w:szCs w:val="21"/>
          <w:highlight w:val="none"/>
        </w:rPr>
        <w:t>/天支付违约金，本项违约金累计限额为签约合同价的</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w:t>
      </w:r>
    </w:p>
    <w:p w14:paraId="6ECF6C9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（11）承包人未按经审定的施工组织设计配备或更换关键施工设备的违约责任：按</w:t>
      </w:r>
      <w:r>
        <w:rPr>
          <w:rFonts w:hint="eastAsia" w:ascii="宋体" w:hAnsi="宋体" w:cs="宋体"/>
          <w:kern w:val="0"/>
          <w:szCs w:val="21"/>
          <w:highlight w:val="none"/>
          <w:u w:val="single"/>
        </w:rPr>
        <w:t>5000元/台·次</w:t>
      </w:r>
      <w:r>
        <w:rPr>
          <w:rFonts w:hint="eastAsia" w:ascii="宋体" w:hAnsi="宋体" w:cs="宋体"/>
          <w:kern w:val="0"/>
          <w:szCs w:val="21"/>
          <w:highlight w:val="none"/>
        </w:rPr>
        <w:t>支付违约金。</w:t>
      </w:r>
    </w:p>
    <w:p w14:paraId="163CB632">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（12）承包人有安全问题或有违反规章制度情况的违约责任：根据具体情节，按签约合同价的</w:t>
      </w:r>
      <w:r>
        <w:rPr>
          <w:rFonts w:hint="eastAsia" w:ascii="宋体" w:hAnsi="宋体" w:cs="宋体"/>
          <w:kern w:val="0"/>
          <w:szCs w:val="21"/>
          <w:highlight w:val="none"/>
          <w:u w:val="single"/>
        </w:rPr>
        <w:t>0.5‰～4‰/次</w:t>
      </w:r>
      <w:r>
        <w:rPr>
          <w:rFonts w:hint="eastAsia" w:ascii="宋体" w:hAnsi="宋体" w:cs="宋体"/>
          <w:kern w:val="0"/>
          <w:szCs w:val="21"/>
          <w:highlight w:val="none"/>
        </w:rPr>
        <w:t>支付违约金（累计不超过签约合同价的</w:t>
      </w:r>
      <w:r>
        <w:rPr>
          <w:rFonts w:hint="eastAsia" w:ascii="宋体" w:hAnsi="宋体" w:cs="宋体"/>
          <w:kern w:val="0"/>
          <w:szCs w:val="21"/>
          <w:highlight w:val="none"/>
          <w:lang w:val="en-US" w:eastAsia="zh-CN"/>
        </w:rPr>
        <w:t>1</w:t>
      </w:r>
      <w:r>
        <w:rPr>
          <w:rFonts w:hint="eastAsia" w:ascii="宋体" w:hAnsi="宋体" w:cs="宋体"/>
          <w:kern w:val="0"/>
          <w:szCs w:val="21"/>
          <w:highlight w:val="none"/>
        </w:rPr>
        <w:t>%）。</w:t>
      </w:r>
    </w:p>
    <w:p w14:paraId="7D3E268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kern w:val="0"/>
          <w:szCs w:val="21"/>
          <w:highlight w:val="none"/>
          <w:u w:val="single"/>
        </w:rPr>
        <w:t>50000元/次</w:t>
      </w:r>
      <w:r>
        <w:rPr>
          <w:rFonts w:hint="eastAsia" w:ascii="宋体" w:hAnsi="宋体" w:cs="宋体"/>
          <w:kern w:val="0"/>
          <w:szCs w:val="21"/>
          <w:highlight w:val="none"/>
        </w:rPr>
        <w:t>支付违约金。</w:t>
      </w:r>
    </w:p>
    <w:p w14:paraId="5A5583D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（14）承包人不配合发包人、监理人及发包人委托的工程造价咨询服务单位结算审核的违约责任：根据具体情节，按</w:t>
      </w:r>
      <w:r>
        <w:rPr>
          <w:rFonts w:hint="eastAsia" w:ascii="宋体" w:hAnsi="宋体" w:cs="宋体"/>
          <w:kern w:val="0"/>
          <w:szCs w:val="21"/>
          <w:highlight w:val="none"/>
          <w:u w:val="single"/>
        </w:rPr>
        <w:t>10000元/次</w:t>
      </w:r>
      <w:r>
        <w:rPr>
          <w:rFonts w:hint="eastAsia" w:ascii="宋体" w:hAnsi="宋体" w:cs="宋体"/>
          <w:kern w:val="0"/>
          <w:szCs w:val="21"/>
          <w:highlight w:val="none"/>
        </w:rPr>
        <w:t>支付违约金；因承包人原因未按约定期限完成工程完工结算的责任：由承包人自行承担由此增加的费用，且每延误一天，按</w:t>
      </w:r>
      <w:r>
        <w:rPr>
          <w:rFonts w:hint="eastAsia" w:ascii="宋体" w:hAnsi="宋体" w:cs="宋体"/>
          <w:kern w:val="0"/>
          <w:szCs w:val="21"/>
          <w:highlight w:val="none"/>
          <w:u w:val="single"/>
        </w:rPr>
        <w:t>500</w:t>
      </w:r>
      <w:r>
        <w:rPr>
          <w:rFonts w:hint="eastAsia" w:ascii="宋体" w:hAnsi="宋体" w:cs="宋体"/>
          <w:kern w:val="0"/>
          <w:szCs w:val="21"/>
          <w:highlight w:val="none"/>
        </w:rPr>
        <w:t>元/天支付违约金。</w:t>
      </w:r>
    </w:p>
    <w:p w14:paraId="403DF06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宋体"/>
          <w:kern w:val="0"/>
          <w:szCs w:val="21"/>
          <w:highlight w:val="none"/>
          <w:u w:val="single"/>
        </w:rPr>
        <w:t>0.5‰</w:t>
      </w:r>
      <w:r>
        <w:rPr>
          <w:rFonts w:hint="eastAsia" w:ascii="宋体" w:hAnsi="宋体" w:cs="宋体"/>
          <w:kern w:val="0"/>
          <w:szCs w:val="21"/>
          <w:highlight w:val="none"/>
        </w:rPr>
        <w:t>支付违约金。</w:t>
      </w:r>
    </w:p>
    <w:p w14:paraId="06A6D60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（16）承包人未按合同约定购买保险的违约责任</w:t>
      </w:r>
      <w:r>
        <w:rPr>
          <w:rFonts w:hint="eastAsia" w:ascii="宋体" w:hAnsi="宋体" w:cs="宋体"/>
          <w:szCs w:val="21"/>
          <w:highlight w:val="none"/>
        </w:rPr>
        <w:t>：除按20.6.4项约定执行外，</w:t>
      </w:r>
      <w:r>
        <w:rPr>
          <w:rFonts w:hint="eastAsia" w:ascii="宋体" w:hAnsi="宋体" w:cs="宋体"/>
          <w:kern w:val="0"/>
          <w:szCs w:val="21"/>
          <w:highlight w:val="none"/>
        </w:rPr>
        <w:t>每延迟1天，按</w:t>
      </w:r>
      <w:r>
        <w:rPr>
          <w:rFonts w:hint="eastAsia" w:ascii="宋体" w:hAnsi="宋体" w:cs="宋体"/>
          <w:kern w:val="0"/>
          <w:szCs w:val="21"/>
          <w:highlight w:val="none"/>
          <w:u w:val="single"/>
        </w:rPr>
        <w:t>500</w:t>
      </w:r>
      <w:r>
        <w:rPr>
          <w:rFonts w:hint="eastAsia" w:ascii="宋体" w:hAnsi="宋体" w:cs="宋体"/>
          <w:kern w:val="0"/>
          <w:szCs w:val="21"/>
          <w:highlight w:val="none"/>
        </w:rPr>
        <w:t>元/天支付违约金。</w:t>
      </w:r>
    </w:p>
    <w:p w14:paraId="5D16CB8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（17）发生第22.1.1条（11）、22.1.1条（12）、22.1.1条（13）违约情形的违约责任：除承担由此增加的费用和工期延误的责任，承包人应向发包人支付违约金：</w:t>
      </w:r>
    </w:p>
    <w:p w14:paraId="38FF2EC3">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1）项目经理违约承担方式和计算方法：对于第22.1.1条（11）的六种情形，每发现一次，根据具体情节，按</w:t>
      </w:r>
      <w:r>
        <w:rPr>
          <w:rFonts w:hint="eastAsia" w:ascii="宋体" w:hAnsi="宋体" w:cs="宋体"/>
          <w:kern w:val="0"/>
          <w:szCs w:val="21"/>
          <w:highlight w:val="none"/>
          <w:u w:val="single"/>
        </w:rPr>
        <w:t>1000元/天·次</w:t>
      </w:r>
      <w:r>
        <w:rPr>
          <w:rFonts w:hint="eastAsia" w:ascii="宋体" w:hAnsi="宋体" w:cs="宋体"/>
          <w:kern w:val="0"/>
          <w:szCs w:val="21"/>
          <w:highlight w:val="none"/>
        </w:rPr>
        <w:t>计算违约金；擅自更换项目经理的，按签约合同价的</w:t>
      </w:r>
      <w:r>
        <w:rPr>
          <w:rFonts w:hint="eastAsia" w:ascii="宋体" w:hAnsi="宋体" w:cs="宋体"/>
          <w:kern w:val="0"/>
          <w:szCs w:val="21"/>
          <w:highlight w:val="none"/>
          <w:u w:val="single"/>
        </w:rPr>
        <w:t>（0.5～3）%/人·次</w:t>
      </w:r>
      <w:r>
        <w:rPr>
          <w:rFonts w:hint="eastAsia" w:ascii="宋体" w:hAnsi="宋体" w:cs="宋体"/>
          <w:kern w:val="0"/>
          <w:szCs w:val="21"/>
          <w:highlight w:val="none"/>
        </w:rPr>
        <w:t>支付违约金，每次不低于20万，累计不超过200万。</w:t>
      </w:r>
    </w:p>
    <w:p w14:paraId="312F732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2）主要技术负责人违约承担方式和计算方法：对于第22.1.1条（12）的六种情形，每发现一次，根据具体情节，按</w:t>
      </w:r>
      <w:r>
        <w:rPr>
          <w:rFonts w:hint="eastAsia" w:ascii="宋体" w:hAnsi="宋体" w:cs="宋体"/>
          <w:kern w:val="0"/>
          <w:szCs w:val="21"/>
          <w:highlight w:val="none"/>
          <w:u w:val="single"/>
        </w:rPr>
        <w:t>1000</w:t>
      </w:r>
      <w:r>
        <w:rPr>
          <w:rFonts w:hint="eastAsia" w:ascii="宋体" w:hAnsi="宋体" w:cs="宋体"/>
          <w:kern w:val="0"/>
          <w:szCs w:val="21"/>
          <w:highlight w:val="none"/>
        </w:rPr>
        <w:t>元/天·次计算违约金；擅自更换主要技术负责人的，按签约合同价的</w:t>
      </w:r>
      <w:r>
        <w:rPr>
          <w:rFonts w:hint="eastAsia" w:ascii="宋体" w:hAnsi="宋体" w:cs="宋体"/>
          <w:kern w:val="0"/>
          <w:szCs w:val="21"/>
          <w:highlight w:val="none"/>
          <w:u w:val="single"/>
        </w:rPr>
        <w:t>（0.5～2）%</w:t>
      </w:r>
      <w:r>
        <w:rPr>
          <w:rFonts w:hint="eastAsia" w:ascii="宋体" w:hAnsi="宋体" w:cs="宋体"/>
          <w:kern w:val="0"/>
          <w:szCs w:val="21"/>
          <w:highlight w:val="none"/>
        </w:rPr>
        <w:t>/人·次支付违约金，每次不低于10万，累计不超过100万。</w:t>
      </w:r>
    </w:p>
    <w:p w14:paraId="3221244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3）主要施工管理人违约承担方式和计算方法：对于第22.1.1条（13）的五种情形，每发现一次，根据具体情节，按</w:t>
      </w:r>
      <w:r>
        <w:rPr>
          <w:rFonts w:hint="eastAsia" w:ascii="宋体" w:hAnsi="宋体" w:cs="宋体"/>
          <w:kern w:val="0"/>
          <w:szCs w:val="21"/>
          <w:highlight w:val="none"/>
          <w:u w:val="single"/>
        </w:rPr>
        <w:t>500</w:t>
      </w:r>
      <w:r>
        <w:rPr>
          <w:rFonts w:hint="eastAsia" w:ascii="宋体" w:hAnsi="宋体" w:cs="宋体"/>
          <w:kern w:val="0"/>
          <w:szCs w:val="21"/>
          <w:highlight w:val="none"/>
        </w:rPr>
        <w:t>元/天·次计算违约金；擅自更换主要技术负责人的，按签约合同价的</w:t>
      </w:r>
      <w:r>
        <w:rPr>
          <w:rFonts w:hint="eastAsia" w:ascii="宋体" w:hAnsi="宋体" w:cs="宋体"/>
          <w:kern w:val="0"/>
          <w:szCs w:val="21"/>
          <w:highlight w:val="none"/>
          <w:u w:val="single"/>
        </w:rPr>
        <w:t>（0.5～1）%</w:t>
      </w:r>
      <w:r>
        <w:rPr>
          <w:rFonts w:hint="eastAsia" w:ascii="宋体" w:hAnsi="宋体" w:cs="宋体"/>
          <w:kern w:val="0"/>
          <w:szCs w:val="21"/>
          <w:highlight w:val="none"/>
        </w:rPr>
        <w:t>/人·次支付违约金，累计不超过50万。</w:t>
      </w:r>
    </w:p>
    <w:p w14:paraId="305C8EA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（18）合同另有约定的，按照其约定。</w:t>
      </w:r>
    </w:p>
    <w:p w14:paraId="06CFE37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14:paraId="67873EBF">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承包人必须及时纠正违约行为，满足合同要求，自行承担纠正违约行为的费用或损失，工期不予顺延，并承担由此给发包人造成的经济损失。</w:t>
      </w:r>
    </w:p>
    <w:p w14:paraId="3444178B">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承包人承担承包范围的工程质量、安全、环保责任，因承包人原因引起的质量、安全、环保等事故由承包人承担相应的法律后果。</w:t>
      </w:r>
    </w:p>
    <w:p w14:paraId="39F12F0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22.1.3 因承包人违约解除合同</w:t>
      </w:r>
    </w:p>
    <w:p w14:paraId="0B5C639D">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因承包人违约并致使合同目的不能实现的，发包人有权解除合同：</w:t>
      </w:r>
    </w:p>
    <w:p w14:paraId="0F6DAC88">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（1）未按合同约定延迟提供履约担保、低价风险担保、质量保证金超过14天的；</w:t>
      </w:r>
    </w:p>
    <w:p w14:paraId="01FA480C">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（2）未按合同约定购买保险且经催告后超过56天的；</w:t>
      </w:r>
    </w:p>
    <w:p w14:paraId="1E9B827E">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（3）因承包人原因导致开工时间累计延误超过56天的；</w:t>
      </w:r>
    </w:p>
    <w:p w14:paraId="40CFAE31">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（4）因承包人原因导致工期延误超过90天的；</w:t>
      </w:r>
    </w:p>
    <w:p w14:paraId="590AB10C">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（5）发生22.1.2（13）目的情形2次的；</w:t>
      </w:r>
    </w:p>
    <w:p w14:paraId="62BC8A6B">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（6）发生第25.1款〔退出机制〕约定的情形的；</w:t>
      </w:r>
    </w:p>
    <w:p w14:paraId="7A0693AB">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（7）监理人发出整改通知后，承包人在监理人限定的期限内仍不纠正违约行为的；</w:t>
      </w:r>
    </w:p>
    <w:p w14:paraId="1CFE6924">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（8）发包人进入清算或者严重资不抵债且无法履行合同的；</w:t>
      </w:r>
    </w:p>
    <w:p w14:paraId="7A40B75D">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（9）违反适用法律而被相关政府部门依法吊销营业执照、责令停业、清算或宣布破产、责令关闭的；</w:t>
      </w:r>
    </w:p>
    <w:p w14:paraId="50877E03">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（10）承包人未履行合同项下的义务构成对合同的实质性违约，并且在收到发包人要求说明其违约并予以补救的通知后56天内仍未能补救该实质性违约的；</w:t>
      </w:r>
    </w:p>
    <w:p w14:paraId="0B4F6E78">
      <w:pPr>
        <w:pStyle w:val="12"/>
        <w:pageBreakBefore w:val="0"/>
        <w:kinsoku/>
        <w:overflowPunct/>
        <w:topLinePunct w:val="0"/>
        <w:bidi w:val="0"/>
        <w:spacing w:line="360" w:lineRule="auto"/>
        <w:ind w:firstLineChars="0"/>
        <w:jc w:val="left"/>
        <w:rPr>
          <w:rFonts w:ascii="宋体" w:hAnsi="宋体" w:cs="宋体"/>
          <w:kern w:val="0"/>
          <w:sz w:val="21"/>
          <w:szCs w:val="21"/>
          <w:highlight w:val="none"/>
        </w:rPr>
      </w:pPr>
      <w:r>
        <w:rPr>
          <w:rFonts w:hint="eastAsia" w:ascii="宋体" w:hAnsi="宋体" w:cs="宋体"/>
          <w:kern w:val="0"/>
          <w:sz w:val="21"/>
          <w:szCs w:val="21"/>
          <w:highlight w:val="none"/>
        </w:rPr>
        <w:t>（11）合同约定其他情况的，发包人有权解除合同的。</w:t>
      </w:r>
    </w:p>
    <w:p w14:paraId="212FEC48">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22.1.4因承包人违约解除合同后的处理</w:t>
      </w:r>
    </w:p>
    <w:p w14:paraId="7F8ADD1E">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因承包人违约导致合同解除的，合同当事人应在合同解除后56天内并按以下约定完成估价、付款和清算：</w:t>
      </w:r>
    </w:p>
    <w:p w14:paraId="59D212D0">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）合同解除后，承包人应按照发包人要求和监理人的指示完成现场的清理和撤离。</w:t>
      </w:r>
    </w:p>
    <w:p w14:paraId="6E0B77F1">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因承包人违约解除合同的，发包人有权暂停对承包人的付款，查清各项付款和已扣款项。发包人和承包人未能就合同解除后的清算和款项支付达成一致的，按照第24条〔争议的解决〕的约定处理。</w:t>
      </w:r>
    </w:p>
    <w:p w14:paraId="4A96A19E">
      <w:pPr>
        <w:pageBreakBefore w:val="0"/>
        <w:kinsoku/>
        <w:overflowPunct/>
        <w:topLinePunct w:val="0"/>
        <w:bidi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5ECA06DD">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36" w:name="_Toc33183791"/>
      <w:r>
        <w:rPr>
          <w:rFonts w:hint="eastAsia" w:ascii="宋体" w:hAnsi="宋体" w:cs="宋体"/>
          <w:szCs w:val="21"/>
          <w:highlight w:val="none"/>
        </w:rPr>
        <w:t>22.2 发包人违约</w:t>
      </w:r>
      <w:bookmarkEnd w:id="336"/>
    </w:p>
    <w:p w14:paraId="77DB113D">
      <w:pPr>
        <w:pageBreakBefore w:val="0"/>
        <w:kinsoku/>
        <w:overflowPunct/>
        <w:topLinePunct w:val="0"/>
        <w:bidi w:val="0"/>
        <w:snapToGrid w:val="0"/>
        <w:spacing w:line="360" w:lineRule="auto"/>
        <w:ind w:firstLine="420"/>
        <w:jc w:val="left"/>
        <w:rPr>
          <w:rFonts w:ascii="宋体" w:hAnsi="宋体" w:cs="宋体"/>
          <w:szCs w:val="21"/>
          <w:highlight w:val="none"/>
        </w:rPr>
      </w:pPr>
      <w:bookmarkStart w:id="337" w:name="_Toc33183792"/>
      <w:r>
        <w:rPr>
          <w:rFonts w:hint="eastAsia" w:ascii="宋体" w:hAnsi="宋体" w:cs="宋体"/>
          <w:szCs w:val="21"/>
          <w:highlight w:val="none"/>
        </w:rPr>
        <w:t>22.2.1 发包人违约的情形</w:t>
      </w:r>
      <w:bookmarkEnd w:id="337"/>
    </w:p>
    <w:p w14:paraId="725C72D8">
      <w:pPr>
        <w:pageBreakBefore w:val="0"/>
        <w:kinsoku/>
        <w:overflowPunct/>
        <w:topLinePunct w:val="0"/>
        <w:bidi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除通用合同条款约定外，发包人违约的其他情形：</w:t>
      </w:r>
    </w:p>
    <w:p w14:paraId="1D412770">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（1）根据专用合同条款第11.3款发包人的工期延误；</w:t>
      </w:r>
    </w:p>
    <w:p w14:paraId="3D08936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（2）因发包人原因未能及时办理完毕合同约定的许可、批准或备案的；</w:t>
      </w:r>
    </w:p>
    <w:p w14:paraId="225165D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（3）因监理人未能按合同约定发出指示、指示延误或发出了错误指示而导致承包人费用增加和（或）工期延误的；</w:t>
      </w:r>
    </w:p>
    <w:p w14:paraId="50143E3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（4）根据第13.5.3条发包人或监理人要求重新检查的，经检查证明工程质量符合合同要求的，并由此产生增加的费用和（或）延误的工期的；</w:t>
      </w:r>
    </w:p>
    <w:p w14:paraId="431EDAC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（5）因发包人原因造成工程质量未达到合同约定标准的；</w:t>
      </w:r>
    </w:p>
    <w:p w14:paraId="3D1935A3">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（6）由于发包人原因对承包人造成的人员人身伤亡和财产损失的；</w:t>
      </w:r>
    </w:p>
    <w:p w14:paraId="6F673ED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（7）因发包人原因导致工程无法按期办理竣工验收和竣工结算的；</w:t>
      </w:r>
    </w:p>
    <w:p w14:paraId="5F6CFF0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（8）发包人无正当理由未按约定退还履约担保、低价风险担保或质量保证金的；</w:t>
      </w:r>
    </w:p>
    <w:p w14:paraId="74D6ED81">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（9）发包人不当提取履约担保、低价风险担保或质量保证金的；</w:t>
      </w:r>
    </w:p>
    <w:p w14:paraId="6AF5E3F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（10）发包人未按合同约定接收全部或部分工作的；</w:t>
      </w:r>
    </w:p>
    <w:p w14:paraId="32146BE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u w:val="none"/>
        </w:rPr>
      </w:pPr>
      <w:r>
        <w:rPr>
          <w:rFonts w:hint="eastAsia" w:ascii="宋体" w:hAnsi="宋体" w:cs="宋体"/>
          <w:kern w:val="0"/>
          <w:szCs w:val="21"/>
          <w:highlight w:val="none"/>
          <w:u w:val="none"/>
        </w:rPr>
        <w:t>（11）发包人未按合同约定办理保险的；</w:t>
      </w:r>
    </w:p>
    <w:p w14:paraId="5B8EA62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u w:val="none"/>
        </w:rPr>
      </w:pPr>
      <w:r>
        <w:rPr>
          <w:rFonts w:hint="eastAsia" w:ascii="宋体" w:hAnsi="宋体" w:cs="宋体"/>
          <w:kern w:val="0"/>
          <w:szCs w:val="21"/>
          <w:highlight w:val="none"/>
          <w:u w:val="none"/>
        </w:rPr>
        <w:t>（12）其他：</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none"/>
        </w:rPr>
        <w:t xml:space="preserve"> 。</w:t>
      </w:r>
    </w:p>
    <w:p w14:paraId="6ACFE35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22.2.3 发包人违约解除合同</w:t>
      </w:r>
    </w:p>
    <w:p w14:paraId="5D06963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因发包人违约并致使合同目的不能实现的，承包人有权解除合同：</w:t>
      </w:r>
    </w:p>
    <w:p w14:paraId="08268B3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（1）因发包人原因延迟支付合同价款超过180天的；</w:t>
      </w:r>
    </w:p>
    <w:p w14:paraId="6A96FF6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（2）因发包人原因导致工期延误超过90天的；</w:t>
      </w:r>
    </w:p>
    <w:p w14:paraId="6564A432">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（3）因发包人第22.2.6（5）违约情形导致暂停施工满56天，且发包人仍未纠正其违约行为的；</w:t>
      </w:r>
    </w:p>
    <w:p w14:paraId="7DBAE7A1">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（4）其他未履行合同项下的义务构成对合同的实质性违约，并且在收到承包人要求说明其违约并予以补救的通知后56天内仍未补救该实质性违约的。</w:t>
      </w:r>
    </w:p>
    <w:p w14:paraId="3A8AB243">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22.2.4解除合同后的付款</w:t>
      </w:r>
    </w:p>
    <w:p w14:paraId="6CC4ADA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承包人按照本款约定解除合同的，发包人应在解除合同后28天内支付下列款项，并解除履约担保、低价风险担保：</w:t>
      </w:r>
    </w:p>
    <w:p w14:paraId="045F9037">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（1）合同解除前所完成工作的价款；</w:t>
      </w:r>
    </w:p>
    <w:p w14:paraId="5FF14B9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（2）承包人为工程施工订购并已付款的材料、工程设备和其他物品的价款；</w:t>
      </w:r>
    </w:p>
    <w:p w14:paraId="5946AC8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（3）承包人撤离施工现场以及遣散承包人人员的款项；</w:t>
      </w:r>
    </w:p>
    <w:p w14:paraId="66443149">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（4）按照合同约定在合同解除前应支付的违约金；</w:t>
      </w:r>
    </w:p>
    <w:p w14:paraId="5C38EC2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（5）按照合同约定应当支付给承包人的其他款项；</w:t>
      </w:r>
    </w:p>
    <w:p w14:paraId="6925EB5B">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（6）按照合同约定应退还的质量保证金；</w:t>
      </w:r>
    </w:p>
    <w:p w14:paraId="18002CFF">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（7）因解除合同给承包人造成的损失。</w:t>
      </w:r>
    </w:p>
    <w:p w14:paraId="2017AE4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合同当事人未能就解除合同后的结清达成一致的，按照第20条〔争议解决〕的约定处理。</w:t>
      </w:r>
    </w:p>
    <w:p w14:paraId="7C652DED">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承包人应妥善做好已完工程和与工程有关的已购材料、工程设备的保护和移交工作，并将施工设备和人员撤出施工现场，发包人应为承包人撤出提供必要条件。</w:t>
      </w:r>
    </w:p>
    <w:p w14:paraId="09A4C844">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22.2.6发包人违约的责任</w:t>
      </w:r>
    </w:p>
    <w:p w14:paraId="1DC4227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（1）因发包人原因未能及时办理完毕前述许可、批准或备案的违约责任：由发包人承担由此增加的费用和（或）顺延工期，并支付合理利润，具体索赔程序按照第23条〔索赔〕约定执行。</w:t>
      </w:r>
    </w:p>
    <w:p w14:paraId="009EA54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024C496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（3）因发包人原因导致工期延误的违约责任：由发包人承担由此增加的费用和（或）顺延工期，并支付合理利润，具体索赔程序按照第23条〔索赔〕约定执行。</w:t>
      </w:r>
    </w:p>
    <w:p w14:paraId="0653BD0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（4）因发包人原因未能在计划开工日期前7天内下达开工通知的违约责任：由发包人承担由此增加的费用和（或）顺延工期，并支付合理利润，具体索赔程序按照第23条〔索赔〕约定执行。</w:t>
      </w:r>
    </w:p>
    <w:p w14:paraId="568A9F76">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（5）根据第13.5.3项发包人或监理人要求重新检查的，经检查证明工程质量符合合同要求的，由发包人承担由此增加的费用和（或）顺延工期，并支付合理利润，具体索赔程序按照第23条〔索赔〕约定执行。</w:t>
      </w:r>
    </w:p>
    <w:p w14:paraId="746260A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宋体"/>
          <w:kern w:val="0"/>
          <w:szCs w:val="21"/>
          <w:highlight w:val="none"/>
          <w:u w:val="single"/>
        </w:rPr>
        <w:t>违约金=应付未付金额×中国人民银行202</w:t>
      </w:r>
      <w:r>
        <w:rPr>
          <w:rFonts w:hint="eastAsia" w:ascii="宋体" w:hAnsi="宋体" w:cs="宋体"/>
          <w:kern w:val="0"/>
          <w:szCs w:val="21"/>
          <w:highlight w:val="none"/>
          <w:u w:val="single"/>
          <w:lang w:val="en-US" w:eastAsia="zh-CN"/>
        </w:rPr>
        <w:t>4</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 xml:space="preserve"> 月公布的5年期贷款市场报价利率/360天×逾期天数</w:t>
      </w:r>
      <w:r>
        <w:rPr>
          <w:rFonts w:hint="eastAsia" w:ascii="宋体" w:hAnsi="宋体" w:cs="宋体"/>
          <w:szCs w:val="21"/>
          <w:highlight w:val="none"/>
          <w:u w:val="single"/>
        </w:rPr>
        <w:t>（自第29天起计算）</w:t>
      </w:r>
      <w:r>
        <w:rPr>
          <w:rFonts w:hint="eastAsia" w:ascii="宋体" w:hAnsi="宋体" w:cs="宋体"/>
          <w:kern w:val="0"/>
          <w:szCs w:val="21"/>
          <w:highlight w:val="none"/>
          <w:u w:val="single"/>
        </w:rPr>
        <w:t>；逾期天数超过56天的，超过部分天数按上述利率的两倍计算并支付违约金。</w:t>
      </w:r>
    </w:p>
    <w:p w14:paraId="057E2DD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（7）发包人违反合同约定，自行实施或转由他人实施被取消的合同工作内容的违约责任：由发包人承担由此给承包人造成的实际损失并支付合理利润。</w:t>
      </w:r>
    </w:p>
    <w:p w14:paraId="7DD145BE">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4D5C3EB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（9）因发包人原因造成工程质量未达到合同约定标准的，由发包人承担由此增加的费用和（或）延误的工期，并支付合理利润。</w:t>
      </w:r>
    </w:p>
    <w:p w14:paraId="326B6AC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（10）因发包人违反合同约定造成暂停施工的违约责任：由发包人承担由此增加的费用和（或）顺延工期，并支付合理利润，具体索赔程序按照第23条〔索赔〕约定执行。</w:t>
      </w:r>
    </w:p>
    <w:p w14:paraId="4791C630">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（11）发包人无正当理由没有在约定期限内发出复工指示，导致承包人无法复工的违约责任：由发包人承担由此增加的费用和（或）顺延工期，并支付合理利润，具体索赔程序按照第23条〔索赔〕约定执行。</w:t>
      </w:r>
    </w:p>
    <w:p w14:paraId="14C2EA7A">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（12）因发包人原因导致工程无法按期办理竣工验收和竣工结算的违约责任：由发包人承担由此增加的费用和（或）顺延工期，并支付合理利润，具体索赔程序按照第23条〔索赔〕约定执行。</w:t>
      </w:r>
    </w:p>
    <w:p w14:paraId="1DE19528">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（13）</w:t>
      </w:r>
      <w:r>
        <w:rPr>
          <w:rFonts w:hint="eastAsia" w:ascii="宋体" w:hAnsi="宋体" w:cs="宋体"/>
          <w:kern w:val="0"/>
          <w:szCs w:val="21"/>
          <w:highlight w:val="none"/>
        </w:rPr>
        <w:t>发包人无正当理由未按约定退还履约担保、低价风险担保或质量保证金的违约责任：发包人应向承包人支付违约金，自应当退还之日起28天后开始计算违约金，</w:t>
      </w:r>
      <w:r>
        <w:rPr>
          <w:rFonts w:hint="eastAsia" w:ascii="宋体" w:hAnsi="宋体" w:cs="宋体"/>
          <w:kern w:val="0"/>
          <w:szCs w:val="21"/>
          <w:highlight w:val="none"/>
          <w:u w:val="single"/>
        </w:rPr>
        <w:t>计算公式：违约金=应退未退担保金额×中国人民银行202</w:t>
      </w:r>
      <w:r>
        <w:rPr>
          <w:rFonts w:hint="eastAsia" w:ascii="宋体" w:hAnsi="宋体" w:cs="宋体"/>
          <w:kern w:val="0"/>
          <w:szCs w:val="21"/>
          <w:highlight w:val="none"/>
          <w:u w:val="single"/>
          <w:lang w:val="en-US" w:eastAsia="zh-CN"/>
        </w:rPr>
        <w:t>4</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月公布的5年期贷款市场报价利率/360天×逾期天数</w:t>
      </w:r>
      <w:r>
        <w:rPr>
          <w:rFonts w:hint="eastAsia" w:ascii="宋体" w:hAnsi="宋体" w:cs="宋体"/>
          <w:szCs w:val="21"/>
          <w:highlight w:val="none"/>
          <w:u w:val="single"/>
        </w:rPr>
        <w:t>（自第29天起计算）</w:t>
      </w:r>
      <w:r>
        <w:rPr>
          <w:rFonts w:hint="eastAsia" w:ascii="宋体" w:hAnsi="宋体" w:cs="宋体"/>
          <w:kern w:val="0"/>
          <w:szCs w:val="21"/>
          <w:highlight w:val="none"/>
        </w:rPr>
        <w:t>。</w:t>
      </w:r>
    </w:p>
    <w:p w14:paraId="32C5D783">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（14）发包人不当提取履约担保、低价风险担保或质量保证金的，应及时予以退还，若不当提取超过28天的，应承担违约责任：发包人应向承包人支付违约金，</w:t>
      </w:r>
      <w:r>
        <w:rPr>
          <w:rFonts w:hint="eastAsia" w:ascii="宋体" w:hAnsi="宋体" w:cs="宋体"/>
          <w:szCs w:val="21"/>
          <w:highlight w:val="none"/>
          <w:u w:val="single"/>
        </w:rPr>
        <w:t>计算公式：违约金=不当提取的担保金额×中国人民银行202</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月公布的5年期贷款市场报价利率/360天×逾期天数（自第29天起计算）</w:t>
      </w:r>
      <w:r>
        <w:rPr>
          <w:rFonts w:hint="eastAsia" w:ascii="宋体" w:hAnsi="宋体" w:cs="宋体"/>
          <w:szCs w:val="21"/>
          <w:highlight w:val="none"/>
        </w:rPr>
        <w:t>。</w:t>
      </w:r>
    </w:p>
    <w:p w14:paraId="2D5AFC90">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（15）发包人未按合同约定接收全部或部分工作的违约责任：由发包人承担自应当接收工程之日起的工程照管、成品保护、保管等与工程有关的各项费用。</w:t>
      </w:r>
    </w:p>
    <w:p w14:paraId="47061333">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（16）由于发包人原因对承包人造成的人员人身伤亡和财产损失的，由发包人负责赔偿，并承担由此增加的费用和（或）延误的工期，并支付合理利润。</w:t>
      </w:r>
    </w:p>
    <w:p w14:paraId="77D6F70C">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（17）发包人未按合同约定办理保险的违约责任：除按18.6.1项约定执行外，每延迟1天，按500元/天支付违约金。</w:t>
      </w:r>
    </w:p>
    <w:p w14:paraId="43706165">
      <w:pPr>
        <w:pageBreakBefore w:val="0"/>
        <w:kinsoku/>
        <w:overflowPunct/>
        <w:topLinePunct w:val="0"/>
        <w:bidi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（18）其他：</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5699B601">
      <w:pPr>
        <w:pageBreakBefore w:val="0"/>
        <w:kinsoku/>
        <w:overflowPunct/>
        <w:topLinePunct w:val="0"/>
        <w:bidi w:val="0"/>
        <w:snapToGrid w:val="0"/>
        <w:spacing w:line="360" w:lineRule="auto"/>
        <w:ind w:firstLine="420" w:firstLineChars="200"/>
        <w:jc w:val="left"/>
        <w:rPr>
          <w:highlight w:val="none"/>
        </w:rPr>
      </w:pPr>
      <w:r>
        <w:rPr>
          <w:rFonts w:hint="eastAsia" w:ascii="宋体" w:hAnsi="宋体" w:cs="宋体"/>
          <w:kern w:val="0"/>
          <w:szCs w:val="21"/>
          <w:highlight w:val="none"/>
        </w:rPr>
        <w:t>发包人发生除第22.2.1项（7）以外的违约情况时，承包人可向发包人发出通知，要求发包人采取有效措施纠正违约行为。发包人收到承包人通知后的28天内仍不履行合同义务，承包人有权暂停施工，并通知监理人。</w:t>
      </w:r>
    </w:p>
    <w:p w14:paraId="4FCB20A0">
      <w:pPr>
        <w:pStyle w:val="4"/>
        <w:pageBreakBefore w:val="0"/>
        <w:kinsoku/>
        <w:overflowPunct/>
        <w:topLinePunct w:val="0"/>
        <w:bidi w:val="0"/>
        <w:spacing w:line="360" w:lineRule="auto"/>
        <w:rPr>
          <w:rFonts w:ascii="宋体" w:hAnsi="宋体" w:cs="宋体"/>
          <w:sz w:val="21"/>
          <w:szCs w:val="21"/>
          <w:highlight w:val="none"/>
        </w:rPr>
      </w:pPr>
      <w:bookmarkStart w:id="338" w:name="_Toc10084"/>
      <w:bookmarkStart w:id="339" w:name="_Toc136350406"/>
      <w:bookmarkStart w:id="340" w:name="_Toc33183793"/>
      <w:bookmarkStart w:id="341" w:name="_Toc59810426"/>
      <w:r>
        <w:rPr>
          <w:rFonts w:hint="eastAsia" w:ascii="宋体" w:hAnsi="宋体" w:cs="宋体"/>
          <w:sz w:val="21"/>
          <w:szCs w:val="21"/>
          <w:highlight w:val="none"/>
        </w:rPr>
        <w:t>23. 索赔</w:t>
      </w:r>
      <w:bookmarkEnd w:id="338"/>
      <w:bookmarkEnd w:id="339"/>
      <w:bookmarkEnd w:id="340"/>
      <w:bookmarkEnd w:id="341"/>
    </w:p>
    <w:p w14:paraId="6CBFA374">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42" w:name="_Toc33183794"/>
      <w:r>
        <w:rPr>
          <w:rFonts w:hint="eastAsia" w:ascii="宋体" w:hAnsi="宋体" w:cs="宋体"/>
          <w:szCs w:val="21"/>
          <w:highlight w:val="none"/>
        </w:rPr>
        <w:t>23.1 承包人索赔的提出</w:t>
      </w:r>
      <w:bookmarkEnd w:id="342"/>
    </w:p>
    <w:p w14:paraId="2E818779">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根据合同约定，承包人认为有权得到追加付款和（或）延长工期的，应按以下程序向发包人提出索赔：</w:t>
      </w:r>
    </w:p>
    <w:p w14:paraId="648318D8">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2BDA9974">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6BC93FEC">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（3）索赔事件具有持续影响的，承包人应按监理人要求的合理时间间隔继续递交延续索赔通知，说明持续影响的实际情况和记录，列出累计的追加付款金额和（或）工期延长天数；</w:t>
      </w:r>
    </w:p>
    <w:p w14:paraId="051DA31A">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（4）在索赔事件影响结束后28天内，承包人应向监理人递交最终索赔报告，说明最终要求索赔的追加付款金额和（或）延长的工期，并附必要的记录和证明材料。</w:t>
      </w:r>
    </w:p>
    <w:p w14:paraId="31B95329">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43" w:name="_Toc33183795"/>
      <w:r>
        <w:rPr>
          <w:rFonts w:hint="eastAsia" w:ascii="宋体" w:hAnsi="宋体" w:cs="宋体"/>
          <w:szCs w:val="21"/>
          <w:highlight w:val="none"/>
        </w:rPr>
        <w:t>23.2 承包人索赔处理程序</w:t>
      </w:r>
      <w:bookmarkEnd w:id="343"/>
    </w:p>
    <w:p w14:paraId="5B3D486E">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对承包人索赔的处理程序：</w:t>
      </w:r>
    </w:p>
    <w:p w14:paraId="13AC2EF3">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cs="宋体"/>
          <w:kern w:val="0"/>
          <w:szCs w:val="21"/>
          <w:highlight w:val="none"/>
        </w:rPr>
        <w:t>监理人应按3.5目商定或确定追加的付款和（或）延长的工期，并在收到上述索赔通知书或有关索赔的进一步证明材料后的28天内，将索赔处理结果报发包人批准后答复承包人。如果承包人提出的索赔要求未能遵守23.1（2）～（4）项的规定，则承包人只限于索赔由监理人按当时记录予以核</w:t>
      </w:r>
      <w:r>
        <w:rPr>
          <w:rFonts w:hint="eastAsia" w:ascii="宋体" w:hAnsi="宋体" w:eastAsia="宋体" w:cs="宋体"/>
          <w:kern w:val="0"/>
          <w:szCs w:val="21"/>
          <w:highlight w:val="none"/>
        </w:rPr>
        <w:t>实的那部分款额和（或）工期延长天数。</w:t>
      </w:r>
    </w:p>
    <w:p w14:paraId="2C4D5F9C">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23.3 承包人/发包人提出索赔的期限</w:t>
      </w:r>
    </w:p>
    <w:p w14:paraId="11706687">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任一索赔事件发生后28天内，承包人/发包人未向对方发出索赔意向通知书的，视为其已放弃索赔权，无权再就该索赔事项提出任何索赔。</w:t>
      </w:r>
    </w:p>
    <w:p w14:paraId="366F95A6">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kern w:val="0"/>
          <w:szCs w:val="21"/>
          <w:highlight w:val="none"/>
        </w:rPr>
      </w:pPr>
      <w:bookmarkStart w:id="344" w:name="_Toc33183796"/>
      <w:r>
        <w:rPr>
          <w:rFonts w:hint="eastAsia" w:ascii="宋体" w:hAnsi="宋体" w:eastAsia="宋体" w:cs="宋体"/>
          <w:kern w:val="0"/>
          <w:szCs w:val="21"/>
          <w:highlight w:val="none"/>
        </w:rPr>
        <w:t>23.4 发包人的索赔</w:t>
      </w:r>
      <w:bookmarkEnd w:id="344"/>
    </w:p>
    <w:p w14:paraId="54294AA6">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根据合同约定，发包人认为有权得到赔付金额和（或）延长缺陷责任期的，监理人应向承包人发出通知并附有详细的证明。</w:t>
      </w:r>
    </w:p>
    <w:p w14:paraId="5731FD17">
      <w:pPr>
        <w:pStyle w:val="2"/>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3788EB89">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对发包人索赔的处理如下：</w:t>
      </w:r>
    </w:p>
    <w:p w14:paraId="4C8BD65D">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（1）承包人收到发包人提交的索赔报告后，应及时审查索赔报告的内容、查验发包人证明材料；</w:t>
      </w:r>
    </w:p>
    <w:p w14:paraId="799EEB45">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00C3662">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（3）承包人接受索赔处理结果的，发包人可从应支付给承包人的合同价款中扣除赔付的金额或延长缺陷责任期；发包人不接受索赔处理结果的，按第24条〔争议的解决〕约定处理。</w:t>
      </w:r>
      <w:bookmarkStart w:id="345" w:name="_Toc136350407"/>
      <w:bookmarkStart w:id="346" w:name="_Toc33183797"/>
      <w:bookmarkStart w:id="347" w:name="_Toc19547"/>
      <w:bookmarkStart w:id="348" w:name="_Toc59810427"/>
    </w:p>
    <w:p w14:paraId="1AFAF959">
      <w:pPr>
        <w:pageBreakBefore w:val="0"/>
        <w:kinsoku/>
        <w:overflowPunct/>
        <w:topLinePunct w:val="0"/>
        <w:autoSpaceDE w:val="0"/>
        <w:autoSpaceDN w:val="0"/>
        <w:bidi w:val="0"/>
        <w:adjustRightInd w:val="0"/>
        <w:snapToGrid w:val="0"/>
        <w:spacing w:line="360" w:lineRule="auto"/>
        <w:ind w:firstLine="422" w:firstLineChars="200"/>
        <w:jc w:val="left"/>
        <w:rPr>
          <w:rFonts w:ascii="宋体" w:hAnsi="宋体" w:cs="宋体"/>
          <w:b/>
          <w:bCs/>
          <w:sz w:val="21"/>
          <w:szCs w:val="21"/>
          <w:highlight w:val="none"/>
        </w:rPr>
      </w:pPr>
      <w:r>
        <w:rPr>
          <w:rFonts w:hint="eastAsia" w:ascii="宋体" w:hAnsi="宋体" w:cs="宋体"/>
          <w:b/>
          <w:bCs/>
          <w:sz w:val="21"/>
          <w:szCs w:val="21"/>
          <w:highlight w:val="none"/>
        </w:rPr>
        <w:t>24. 争议的解决</w:t>
      </w:r>
      <w:bookmarkEnd w:id="323"/>
      <w:bookmarkEnd w:id="324"/>
      <w:bookmarkEnd w:id="325"/>
      <w:bookmarkEnd w:id="326"/>
      <w:bookmarkEnd w:id="327"/>
      <w:bookmarkEnd w:id="328"/>
      <w:bookmarkEnd w:id="345"/>
      <w:bookmarkEnd w:id="346"/>
      <w:bookmarkEnd w:id="347"/>
      <w:bookmarkEnd w:id="348"/>
    </w:p>
    <w:p w14:paraId="61983832">
      <w:pPr>
        <w:keepNext/>
        <w:keepLines/>
        <w:pageBreakBefore w:val="0"/>
        <w:kinsoku/>
        <w:overflowPunct/>
        <w:topLinePunct w:val="0"/>
        <w:bidi w:val="0"/>
        <w:snapToGrid w:val="0"/>
        <w:spacing w:line="360" w:lineRule="auto"/>
        <w:ind w:firstLine="420" w:firstLineChars="200"/>
        <w:outlineLvl w:val="3"/>
        <w:rPr>
          <w:rFonts w:ascii="宋体" w:hAnsi="宋体" w:cs="宋体"/>
          <w:szCs w:val="21"/>
          <w:highlight w:val="none"/>
        </w:rPr>
      </w:pPr>
      <w:bookmarkStart w:id="349" w:name="_Toc33183798"/>
      <w:bookmarkStart w:id="350" w:name="_Toc221951335"/>
      <w:r>
        <w:rPr>
          <w:rFonts w:hint="eastAsia" w:ascii="宋体" w:hAnsi="宋体" w:cs="宋体"/>
          <w:szCs w:val="21"/>
          <w:highlight w:val="none"/>
        </w:rPr>
        <w:t>24.1 争议的解决方式</w:t>
      </w:r>
      <w:bookmarkEnd w:id="349"/>
    </w:p>
    <w:p w14:paraId="0E22FF5D">
      <w:pPr>
        <w:keepNext/>
        <w:keepLines/>
        <w:pageBreakBefore w:val="0"/>
        <w:kinsoku/>
        <w:overflowPunct/>
        <w:topLinePunct w:val="0"/>
        <w:bidi w:val="0"/>
        <w:spacing w:line="360" w:lineRule="auto"/>
        <w:ind w:firstLine="420" w:firstLineChars="200"/>
        <w:outlineLvl w:val="3"/>
        <w:rPr>
          <w:rFonts w:ascii="宋体" w:hAnsi="宋体" w:cs="宋体"/>
          <w:szCs w:val="21"/>
          <w:highlight w:val="none"/>
        </w:rPr>
      </w:pPr>
      <w:bookmarkStart w:id="351" w:name="_Toc33183799"/>
      <w:r>
        <w:rPr>
          <w:rFonts w:hint="eastAsia" w:ascii="宋体" w:hAnsi="宋体" w:cs="宋体"/>
          <w:szCs w:val="21"/>
          <w:highlight w:val="none"/>
        </w:rPr>
        <w:t>合同当事人友好协商解决不成、不愿提请争议评审或不接受争议评审组意见的，约定的合同争议解决方式 ：</w:t>
      </w:r>
      <w:r>
        <w:rPr>
          <w:rFonts w:hint="eastAsia" w:ascii="宋体" w:hAnsi="宋体" w:cs="宋体"/>
          <w:szCs w:val="21"/>
          <w:highlight w:val="none"/>
          <w:u w:val="single"/>
        </w:rPr>
        <w:t xml:space="preserve"> </w:t>
      </w:r>
      <w:r>
        <w:rPr>
          <w:rFonts w:hint="eastAsia" w:ascii="宋体" w:hAnsi="宋体" w:cs="宋体"/>
          <w:color w:val="auto"/>
          <w:szCs w:val="21"/>
          <w:highlight w:val="none"/>
          <w:u w:val="single"/>
          <w:lang w:eastAsia="zh-CN"/>
        </w:rPr>
        <w:t>向南川区人民法院提起诉讼</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bookmarkEnd w:id="350"/>
      <w:bookmarkEnd w:id="351"/>
    </w:p>
    <w:p w14:paraId="540F8BB0">
      <w:pPr>
        <w:keepNext/>
        <w:keepLines/>
        <w:pageBreakBefore w:val="0"/>
        <w:kinsoku/>
        <w:overflowPunct/>
        <w:topLinePunct w:val="0"/>
        <w:bidi w:val="0"/>
        <w:snapToGrid w:val="0"/>
        <w:spacing w:line="360" w:lineRule="auto"/>
        <w:ind w:firstLine="420" w:firstLineChars="200"/>
        <w:outlineLvl w:val="3"/>
        <w:rPr>
          <w:rFonts w:ascii="宋体" w:hAnsi="宋体" w:cs="宋体"/>
          <w:kern w:val="0"/>
          <w:szCs w:val="21"/>
          <w:highlight w:val="none"/>
        </w:rPr>
      </w:pPr>
      <w:r>
        <w:rPr>
          <w:rFonts w:hint="eastAsia" w:ascii="宋体" w:hAnsi="宋体" w:cs="宋体"/>
          <w:kern w:val="0"/>
          <w:szCs w:val="21"/>
          <w:highlight w:val="none"/>
        </w:rPr>
        <w:t>24.3 争议评审</w:t>
      </w:r>
    </w:p>
    <w:p w14:paraId="6C8C7C83">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合同当事人是否同意将工程争议提交争议评审小组决定：</w:t>
      </w:r>
      <w:r>
        <w:rPr>
          <w:rFonts w:hint="eastAsia" w:ascii="宋体" w:hAnsi="宋体" w:cs="宋体"/>
          <w:kern w:val="0"/>
          <w:szCs w:val="21"/>
          <w:highlight w:val="none"/>
          <w:u w:val="single"/>
        </w:rPr>
        <w:t xml:space="preserve"> 是 </w:t>
      </w:r>
      <w:r>
        <w:rPr>
          <w:rFonts w:hint="eastAsia" w:ascii="宋体" w:hAnsi="宋体" w:cs="宋体"/>
          <w:kern w:val="0"/>
          <w:szCs w:val="21"/>
          <w:highlight w:val="none"/>
        </w:rPr>
        <w:t>。</w:t>
      </w:r>
    </w:p>
    <w:p w14:paraId="50A02E58">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本款补充细化24.3.1项如下：</w:t>
      </w:r>
    </w:p>
    <w:p w14:paraId="17A6AB29">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24.3.1采用争议评审的，发包人和承包人应在开工日后的28 天内或在争议发生后，协商成立争议评审组。争议评审组由</w:t>
      </w:r>
      <w:r>
        <w:rPr>
          <w:rFonts w:hint="eastAsia" w:ascii="宋体" w:hAnsi="宋体" w:cs="宋体"/>
          <w:kern w:val="0"/>
          <w:szCs w:val="21"/>
          <w:highlight w:val="none"/>
          <w:u w:val="single"/>
        </w:rPr>
        <w:t>一名或三名</w:t>
      </w:r>
      <w:r>
        <w:rPr>
          <w:rFonts w:hint="eastAsia" w:ascii="宋体" w:hAnsi="宋体" w:cs="宋体"/>
          <w:kern w:val="0"/>
          <w:szCs w:val="21"/>
          <w:highlight w:val="none"/>
        </w:rPr>
        <w:t>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529FA3B2">
      <w:pPr>
        <w:keepNext/>
        <w:keepLines/>
        <w:pageBreakBefore w:val="0"/>
        <w:kinsoku/>
        <w:overflowPunct/>
        <w:topLinePunct w:val="0"/>
        <w:bidi w:val="0"/>
        <w:snapToGrid w:val="0"/>
        <w:spacing w:line="360" w:lineRule="auto"/>
        <w:ind w:firstLine="420" w:firstLineChars="200"/>
        <w:outlineLvl w:val="3"/>
        <w:rPr>
          <w:rFonts w:ascii="宋体" w:hAnsi="宋体" w:cs="宋体"/>
          <w:kern w:val="0"/>
          <w:szCs w:val="21"/>
          <w:highlight w:val="none"/>
        </w:rPr>
      </w:pPr>
      <w:r>
        <w:rPr>
          <w:rFonts w:hint="eastAsia" w:ascii="宋体" w:hAnsi="宋体" w:cs="宋体"/>
          <w:kern w:val="0"/>
          <w:szCs w:val="21"/>
          <w:highlight w:val="none"/>
        </w:rPr>
        <w:t>24.4 仲裁或诉讼</w:t>
      </w:r>
    </w:p>
    <w:p w14:paraId="79386EC1">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因合同及合同有关事项发生的争议，按下列第</w:t>
      </w:r>
      <w:r>
        <w:rPr>
          <w:rFonts w:hint="eastAsia" w:ascii="宋体" w:hAnsi="宋体" w:cs="宋体"/>
          <w:kern w:val="0"/>
          <w:szCs w:val="21"/>
          <w:highlight w:val="none"/>
          <w:u w:val="single"/>
        </w:rPr>
        <w:t xml:space="preserve"> （2）</w:t>
      </w:r>
      <w:r>
        <w:rPr>
          <w:rFonts w:hint="eastAsia" w:ascii="宋体" w:hAnsi="宋体" w:cs="宋体"/>
          <w:kern w:val="0"/>
          <w:szCs w:val="21"/>
          <w:highlight w:val="none"/>
        </w:rPr>
        <w:t>种方式解决：</w:t>
      </w:r>
    </w:p>
    <w:p w14:paraId="65F8B3B5">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（1）向</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仲裁委员会申请仲裁；</w:t>
      </w:r>
    </w:p>
    <w:p w14:paraId="42424B76">
      <w:pPr>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（2）向 南川区 人民法院起诉。</w:t>
      </w:r>
    </w:p>
    <w:p w14:paraId="2FD43854">
      <w:pPr>
        <w:pageBreakBefore w:val="0"/>
        <w:kinsoku/>
        <w:overflowPunct/>
        <w:topLinePunct w:val="0"/>
        <w:bidi w:val="0"/>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本合同补充第25、26条如下：</w:t>
      </w:r>
      <w:bookmarkStart w:id="352" w:name="_Toc136350408"/>
      <w:bookmarkStart w:id="353" w:name="_Toc59810428"/>
      <w:bookmarkStart w:id="354" w:name="_Toc33183800"/>
      <w:bookmarkStart w:id="355" w:name="_Toc17284"/>
    </w:p>
    <w:p w14:paraId="071733F1">
      <w:pPr>
        <w:pageBreakBefore w:val="0"/>
        <w:kinsoku/>
        <w:overflowPunct/>
        <w:topLinePunct w:val="0"/>
        <w:bidi w:val="0"/>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25. 补充条款</w:t>
      </w:r>
      <w:bookmarkEnd w:id="352"/>
      <w:bookmarkEnd w:id="353"/>
      <w:bookmarkEnd w:id="354"/>
      <w:bookmarkEnd w:id="355"/>
    </w:p>
    <w:p w14:paraId="2EE232F4">
      <w:pPr>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25.1 退出机制</w:t>
      </w:r>
    </w:p>
    <w:p w14:paraId="0BD98486">
      <w:pPr>
        <w:pageBreakBefore w:val="0"/>
        <w:kinsoku/>
        <w:overflowPunct/>
        <w:topLinePunct w:val="0"/>
        <w:bidi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25.1.1有下列情形之一的，发包人有权解除合同，亦有权兑付履约担保，并对承包人做清退出场处理：</w:t>
      </w:r>
    </w:p>
    <w:p w14:paraId="78AF1174">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（1）因承包人原因造成较大及以上等级生产安全事故或工程质量事故的；</w:t>
      </w:r>
    </w:p>
    <w:p w14:paraId="07A38F38">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（2）因承包人债权债务纠纷或其他纠纷导致工程无法正常施工的。</w:t>
      </w:r>
    </w:p>
    <w:p w14:paraId="24035742">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1E793D36">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25.1.2有下列情形之一的，承包人有权解除合同，并按16.1.4约定执行：</w:t>
      </w:r>
    </w:p>
    <w:p w14:paraId="617AE518">
      <w:pPr>
        <w:pageBreakBefore w:val="0"/>
        <w:kinsoku/>
        <w:overflowPunct/>
        <w:topLinePunct w:val="0"/>
        <w:bidi w:val="0"/>
        <w:spacing w:line="360" w:lineRule="auto"/>
        <w:ind w:right="105" w:rightChars="50" w:firstLine="420" w:firstLineChars="200"/>
        <w:jc w:val="left"/>
        <w:rPr>
          <w:rFonts w:ascii="宋体" w:hAnsi="宋体" w:cs="宋体"/>
          <w:szCs w:val="21"/>
          <w:highlight w:val="none"/>
        </w:rPr>
      </w:pPr>
      <w:r>
        <w:rPr>
          <w:rFonts w:hint="eastAsia" w:ascii="宋体" w:hAnsi="宋体" w:cs="宋体"/>
          <w:szCs w:val="21"/>
          <w:highlight w:val="none"/>
        </w:rPr>
        <w:t>（1）因发包人征地、拆迁、补偿、审批手续等原因致使本工程延期开工超过90天的。</w:t>
      </w:r>
    </w:p>
    <w:p w14:paraId="10797EBE">
      <w:pPr>
        <w:pageBreakBefore w:val="0"/>
        <w:kinsoku/>
        <w:overflowPunct/>
        <w:topLinePunct w:val="0"/>
        <w:bidi w:val="0"/>
        <w:spacing w:line="360" w:lineRule="auto"/>
        <w:ind w:right="105" w:rightChars="50" w:firstLine="420" w:firstLineChars="200"/>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7AB3D4DA">
      <w:pPr>
        <w:keepNext/>
        <w:keepLines/>
        <w:pageBreakBefore w:val="0"/>
        <w:kinsoku/>
        <w:overflowPunct/>
        <w:topLinePunct w:val="0"/>
        <w:bidi w:val="0"/>
        <w:snapToGrid w:val="0"/>
        <w:spacing w:line="360" w:lineRule="auto"/>
        <w:ind w:firstLine="420" w:firstLineChars="200"/>
        <w:outlineLvl w:val="3"/>
        <w:rPr>
          <w:rFonts w:ascii="宋体" w:hAnsi="宋体" w:cs="宋体"/>
          <w:kern w:val="0"/>
          <w:szCs w:val="21"/>
          <w:highlight w:val="none"/>
        </w:rPr>
      </w:pPr>
      <w:r>
        <w:rPr>
          <w:rFonts w:ascii="宋体" w:hAnsi="宋体" w:cs="宋体"/>
          <w:kern w:val="0"/>
          <w:szCs w:val="21"/>
          <w:highlight w:val="none"/>
        </w:rPr>
        <w:t xml:space="preserve">25.2 </w:t>
      </w:r>
      <w:r>
        <w:rPr>
          <w:rFonts w:hint="eastAsia" w:ascii="宋体" w:hAnsi="宋体" w:cs="宋体"/>
          <w:kern w:val="0"/>
          <w:szCs w:val="21"/>
          <w:highlight w:val="none"/>
        </w:rPr>
        <w:t>低价风险担保</w:t>
      </w:r>
    </w:p>
    <w:p w14:paraId="5D596142">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承包人提供低价风险担保的情形：采用经评审的最低投标价法的项目投标报价低于最高限价85%时。</w:t>
      </w:r>
    </w:p>
    <w:p w14:paraId="6F783512">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承包人提供低价风险担保的形式、金额及期限：</w:t>
      </w:r>
    </w:p>
    <w:p w14:paraId="087DF680">
      <w:pPr>
        <w:pageBreakBefore w:val="0"/>
        <w:numPr>
          <w:ilvl w:val="0"/>
          <w:numId w:val="4"/>
        </w:numPr>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低价风险担保的形式：现金或</w:t>
      </w:r>
      <w:r>
        <w:rPr>
          <w:rFonts w:hint="eastAsia" w:ascii="宋体" w:hAnsi="宋体" w:cs="宋体"/>
          <w:szCs w:val="21"/>
          <w:highlight w:val="none"/>
          <w:lang w:eastAsia="zh-CN"/>
        </w:rPr>
        <w:t>担保</w:t>
      </w:r>
      <w:r>
        <w:rPr>
          <w:rFonts w:hint="eastAsia" w:ascii="宋体" w:hAnsi="宋体" w:cs="宋体"/>
          <w:szCs w:val="21"/>
          <w:highlight w:val="none"/>
        </w:rPr>
        <w:t>保函或现金+</w:t>
      </w:r>
      <w:r>
        <w:rPr>
          <w:rFonts w:hint="eastAsia" w:ascii="宋体" w:hAnsi="宋体" w:cs="宋体"/>
          <w:szCs w:val="21"/>
          <w:highlight w:val="none"/>
          <w:lang w:eastAsia="zh-CN"/>
        </w:rPr>
        <w:t>担保</w:t>
      </w:r>
      <w:r>
        <w:rPr>
          <w:rFonts w:hint="eastAsia" w:ascii="宋体" w:hAnsi="宋体" w:cs="宋体"/>
          <w:szCs w:val="21"/>
          <w:highlight w:val="none"/>
        </w:rPr>
        <w:t>保函的组合；采用保函形式的，保函必须为不可撤销、不可转让且见索即付的独立保函；</w:t>
      </w:r>
    </w:p>
    <w:p w14:paraId="60A992CA">
      <w:pPr>
        <w:pageBreakBefore w:val="0"/>
        <w:numPr>
          <w:ilvl w:val="0"/>
          <w:numId w:val="0"/>
        </w:numPr>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（2）低价风险担保的金额：</w:t>
      </w:r>
      <w:r>
        <w:rPr>
          <w:rFonts w:hint="eastAsia" w:ascii="宋体" w:hAnsi="宋体" w:cs="宋体"/>
          <w:szCs w:val="21"/>
          <w:highlight w:val="none"/>
          <w:u w:val="single"/>
          <w:lang w:eastAsia="zh-CN"/>
        </w:rPr>
        <w:t>（</w:t>
      </w:r>
      <w:r>
        <w:rPr>
          <w:rFonts w:ascii="宋体" w:hAnsi="宋体" w:cs="宋体"/>
          <w:szCs w:val="21"/>
          <w:highlight w:val="none"/>
          <w:u w:val="single"/>
        </w:rPr>
        <w:t xml:space="preserve"> </w:t>
      </w:r>
      <w:r>
        <w:rPr>
          <w:rFonts w:hint="eastAsia" w:ascii="宋体" w:hAnsi="宋体" w:cs="宋体"/>
          <w:szCs w:val="21"/>
          <w:highlight w:val="none"/>
          <w:u w:val="single"/>
        </w:rPr>
        <w:t>最高限价×85%-中标价</w:t>
      </w:r>
      <w:r>
        <w:rPr>
          <w:rFonts w:hint="eastAsia" w:ascii="宋体" w:hAnsi="宋体" w:cs="宋体"/>
          <w:szCs w:val="21"/>
          <w:highlight w:val="none"/>
          <w:u w:val="single"/>
          <w:lang w:eastAsia="zh-CN"/>
        </w:rPr>
        <w:t>）</w:t>
      </w:r>
      <w:r>
        <w:rPr>
          <w:rFonts w:hint="eastAsia" w:ascii="宋体" w:hAnsi="宋体" w:cs="宋体"/>
          <w:szCs w:val="21"/>
          <w:highlight w:val="none"/>
          <w:u w:val="single"/>
        </w:rPr>
        <w:t xml:space="preserve">×3，且最高不超过最高限价的85%；红名单中的中标人低价风险担保金额为应提交金额 </w:t>
      </w:r>
      <w:r>
        <w:rPr>
          <w:rFonts w:ascii="宋体" w:hAnsi="宋体" w:cs="宋体"/>
          <w:szCs w:val="21"/>
          <w:highlight w:val="none"/>
          <w:u w:val="single"/>
        </w:rPr>
        <w:t>80%</w:t>
      </w:r>
      <w:r>
        <w:rPr>
          <w:rFonts w:hint="eastAsia" w:ascii="宋体" w:hAnsi="宋体" w:cs="宋体"/>
          <w:szCs w:val="21"/>
          <w:highlight w:val="none"/>
          <w:u w:val="single"/>
        </w:rPr>
        <w:t xml:space="preserve"> ；中标人是否属于红名单</w:t>
      </w:r>
      <w:r>
        <w:rPr>
          <w:rFonts w:ascii="Wingdings 2" w:hAnsi="Wingdings 2" w:cs="宋体"/>
          <w:szCs w:val="21"/>
          <w:highlight w:val="none"/>
          <w:u w:val="single"/>
        </w:rPr>
        <w:t>R</w:t>
      </w:r>
      <w:r>
        <w:rPr>
          <w:rFonts w:hint="eastAsia" w:ascii="宋体" w:hAnsi="宋体" w:cs="宋体"/>
          <w:szCs w:val="21"/>
          <w:highlight w:val="none"/>
          <w:u w:val="single"/>
        </w:rPr>
        <w:t>方式一：以开标环节信用状况查询结果为准</w:t>
      </w:r>
      <w:r>
        <w:rPr>
          <w:rFonts w:ascii="宋体" w:hAnsi="宋体" w:cs="宋体"/>
          <w:szCs w:val="21"/>
          <w:highlight w:val="none"/>
          <w:u w:val="single"/>
        </w:rPr>
        <w:t xml:space="preserve"> </w:t>
      </w:r>
      <w:r>
        <w:rPr>
          <w:rFonts w:hint="eastAsia" w:ascii="宋体" w:hAnsi="宋体" w:cs="宋体"/>
          <w:szCs w:val="21"/>
          <w:highlight w:val="none"/>
        </w:rPr>
        <w:t>；</w:t>
      </w:r>
    </w:p>
    <w:p w14:paraId="717055FA">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（3）低价风险担保的提交时间：从招标人中标通知书送达拟中标人之日起</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10</w:t>
      </w:r>
      <w:r>
        <w:rPr>
          <w:rFonts w:ascii="宋体" w:hAnsi="宋体" w:cs="宋体"/>
          <w:szCs w:val="21"/>
          <w:highlight w:val="none"/>
          <w:u w:val="single"/>
        </w:rPr>
        <w:t xml:space="preserve"> </w:t>
      </w:r>
      <w:r>
        <w:rPr>
          <w:rFonts w:hint="eastAsia" w:ascii="宋体" w:hAnsi="宋体" w:cs="宋体"/>
          <w:szCs w:val="21"/>
          <w:highlight w:val="none"/>
        </w:rPr>
        <w:t>工作日内；</w:t>
      </w:r>
    </w:p>
    <w:p w14:paraId="5487E61A">
      <w:pPr>
        <w:pageBreakBefore w:val="0"/>
        <w:kinsoku/>
        <w:overflowPunct/>
        <w:topLinePunct w:val="0"/>
        <w:bidi w:val="0"/>
        <w:snapToGrid w:val="0"/>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rPr>
        <w:t>（4）低价风险担保的期限：</w:t>
      </w:r>
      <w:r>
        <w:rPr>
          <w:rFonts w:hint="eastAsia" w:ascii="宋体" w:hAnsi="宋体" w:cs="宋体"/>
          <w:szCs w:val="21"/>
          <w:highlight w:val="none"/>
          <w:u w:val="single"/>
        </w:rPr>
        <w:t>自提交低价风险担保生效之日起至发包人颁发合同工程完工证书之日止</w:t>
      </w:r>
      <w:r>
        <w:rPr>
          <w:rFonts w:hint="eastAsia" w:ascii="宋体" w:hAnsi="宋体" w:cs="宋体"/>
          <w:szCs w:val="21"/>
          <w:highlight w:val="none"/>
          <w:u w:val="none"/>
        </w:rPr>
        <w:t>。</w:t>
      </w:r>
    </w:p>
    <w:p w14:paraId="4835C536">
      <w:pPr>
        <w:pageBreakBefore w:val="0"/>
        <w:kinsoku/>
        <w:overflowPunct/>
        <w:topLinePunct w:val="0"/>
        <w:bidi w:val="0"/>
        <w:snapToGrid w:val="0"/>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rPr>
        <w:t>低价风险担保的退还时间：</w:t>
      </w:r>
      <w:r>
        <w:rPr>
          <w:rFonts w:hint="eastAsia" w:ascii="宋体" w:hAnsi="宋体" w:cs="宋体"/>
          <w:szCs w:val="21"/>
          <w:highlight w:val="none"/>
          <w:u w:val="single"/>
        </w:rPr>
        <w:t>采用现金担保的，合同工程完工证书颁发后28天内退还，合同履行期间允许承包人用符合要求的银行保函进行置换；采用银行保函的，合同工程完工证书颁发后28天内退还</w:t>
      </w:r>
      <w:r>
        <w:rPr>
          <w:rFonts w:hint="eastAsia" w:ascii="宋体" w:hAnsi="宋体" w:cs="宋体"/>
          <w:szCs w:val="21"/>
          <w:highlight w:val="none"/>
          <w:u w:val="none"/>
        </w:rPr>
        <w:t>。</w:t>
      </w:r>
    </w:p>
    <w:p w14:paraId="7333D0E1">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（5）低价风险担保的扣减：</w:t>
      </w:r>
    </w:p>
    <w:p w14:paraId="4864D9CB">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s="宋体"/>
          <w:szCs w:val="21"/>
          <w:highlight w:val="none"/>
          <w:u w:val="single"/>
        </w:rPr>
        <w:t>50～100%</w:t>
      </w:r>
      <w:r>
        <w:rPr>
          <w:rFonts w:hint="eastAsia" w:ascii="宋体" w:hAnsi="宋体" w:cs="宋体"/>
          <w:szCs w:val="21"/>
          <w:highlight w:val="none"/>
        </w:rPr>
        <w:t>扣减，直至解除合同；</w:t>
      </w:r>
    </w:p>
    <w:p w14:paraId="0F61E713">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②承包人在工程施工期间或竣工验收时，工程质量不符合国家现行有关施工质量验收规范要求的，按低价风险担保金额的</w:t>
      </w:r>
      <w:r>
        <w:rPr>
          <w:rFonts w:hint="eastAsia" w:ascii="宋体" w:hAnsi="宋体" w:cs="宋体"/>
          <w:szCs w:val="21"/>
          <w:highlight w:val="none"/>
          <w:u w:val="single"/>
        </w:rPr>
        <w:t>50～100%</w:t>
      </w:r>
      <w:r>
        <w:rPr>
          <w:rFonts w:hint="eastAsia" w:ascii="宋体" w:hAnsi="宋体" w:cs="宋体"/>
          <w:szCs w:val="21"/>
          <w:highlight w:val="none"/>
        </w:rPr>
        <w:t>扣减，直至解除合同；</w:t>
      </w:r>
    </w:p>
    <w:p w14:paraId="3280244E">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③承包人因22.1.3</w:t>
      </w:r>
      <w:r>
        <w:rPr>
          <w:rFonts w:ascii="宋体" w:hAnsi="宋体" w:cs="宋体"/>
          <w:szCs w:val="21"/>
          <w:highlight w:val="none"/>
        </w:rPr>
        <w:t xml:space="preserve"> </w:t>
      </w:r>
      <w:r>
        <w:rPr>
          <w:rFonts w:hint="eastAsia" w:ascii="宋体" w:hAnsi="宋体" w:cs="宋体"/>
          <w:szCs w:val="21"/>
          <w:highlight w:val="none"/>
        </w:rPr>
        <w:t>项原因被解除合同的，低价风险担保将全额扣除；</w:t>
      </w:r>
    </w:p>
    <w:p w14:paraId="1CB65207">
      <w:pPr>
        <w:pageBreakBefore w:val="0"/>
        <w:kinsoku/>
        <w:overflowPunct/>
        <w:topLinePunct w:val="0"/>
        <w:bidi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④因承包人过错导致的其他情形：</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w:t>
      </w:r>
    </w:p>
    <w:p w14:paraId="4A4D91AB">
      <w:pPr>
        <w:pStyle w:val="4"/>
        <w:pageBreakBefore w:val="0"/>
        <w:kinsoku/>
        <w:overflowPunct/>
        <w:topLinePunct w:val="0"/>
        <w:bidi w:val="0"/>
        <w:spacing w:line="360" w:lineRule="auto"/>
        <w:rPr>
          <w:rFonts w:ascii="宋体" w:hAnsi="宋体" w:cs="宋体"/>
          <w:sz w:val="21"/>
          <w:szCs w:val="21"/>
          <w:highlight w:val="none"/>
        </w:rPr>
      </w:pPr>
      <w:bookmarkStart w:id="356" w:name="_Toc136350409"/>
      <w:bookmarkStart w:id="357" w:name="_Toc59810429"/>
      <w:bookmarkStart w:id="358" w:name="_Toc20880"/>
      <w:bookmarkStart w:id="359" w:name="_Toc33183801"/>
      <w:r>
        <w:rPr>
          <w:rFonts w:hint="eastAsia" w:ascii="宋体" w:hAnsi="宋体" w:cs="宋体"/>
          <w:sz w:val="21"/>
          <w:szCs w:val="21"/>
          <w:highlight w:val="none"/>
        </w:rPr>
        <w:t>26. 合同附件</w:t>
      </w:r>
      <w:bookmarkEnd w:id="356"/>
      <w:bookmarkEnd w:id="357"/>
      <w:bookmarkEnd w:id="358"/>
      <w:bookmarkEnd w:id="359"/>
    </w:p>
    <w:p w14:paraId="3B866620">
      <w:pPr>
        <w:pageBreakBefore w:val="0"/>
        <w:kinsoku/>
        <w:overflowPunct/>
        <w:topLinePunct w:val="0"/>
        <w:bidi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以下附件是本合同的有效组成部分：</w:t>
      </w:r>
    </w:p>
    <w:p w14:paraId="53A0F854">
      <w:pPr>
        <w:pageBreakBefore w:val="0"/>
        <w:kinsoku/>
        <w:overflowPunct/>
        <w:topLinePunct w:val="0"/>
        <w:bidi w:val="0"/>
        <w:spacing w:line="360" w:lineRule="auto"/>
        <w:ind w:firstLine="420" w:firstLineChars="200"/>
        <w:jc w:val="both"/>
        <w:rPr>
          <w:rFonts w:hint="eastAsia" w:ascii="宋体" w:hAnsi="宋体" w:cs="宋体"/>
          <w:kern w:val="0"/>
          <w:sz w:val="21"/>
          <w:szCs w:val="21"/>
          <w:highlight w:val="none"/>
        </w:rPr>
      </w:pPr>
      <w:r>
        <w:rPr>
          <w:rFonts w:hint="eastAsia" w:ascii="宋体" w:hAnsi="宋体" w:cs="宋体"/>
          <w:kern w:val="0"/>
          <w:sz w:val="21"/>
          <w:szCs w:val="21"/>
          <w:highlight w:val="none"/>
        </w:rPr>
        <w:t>附件1：承包人项目管理机构组成表</w:t>
      </w:r>
    </w:p>
    <w:p w14:paraId="453F5788">
      <w:pPr>
        <w:pageBreakBefore w:val="0"/>
        <w:kinsoku/>
        <w:overflowPunct/>
        <w:topLinePunct w:val="0"/>
        <w:bidi w:val="0"/>
        <w:snapToGrid w:val="0"/>
        <w:spacing w:line="360" w:lineRule="auto"/>
        <w:ind w:firstLine="420" w:firstLineChars="200"/>
        <w:jc w:val="both"/>
        <w:rPr>
          <w:rFonts w:ascii="宋体" w:hAnsi="宋体" w:cs="宋体"/>
          <w:kern w:val="0"/>
          <w:sz w:val="21"/>
          <w:szCs w:val="21"/>
          <w:highlight w:val="none"/>
        </w:rPr>
      </w:pPr>
      <w:r>
        <w:rPr>
          <w:rFonts w:hint="eastAsia" w:ascii="宋体" w:hAnsi="宋体" w:cs="宋体"/>
          <w:kern w:val="0"/>
          <w:sz w:val="21"/>
          <w:szCs w:val="21"/>
          <w:highlight w:val="none"/>
        </w:rPr>
        <w:t>附件2：重庆市水利工程建设安全生产合同</w:t>
      </w:r>
    </w:p>
    <w:p w14:paraId="653E1C94">
      <w:pPr>
        <w:pageBreakBefore w:val="0"/>
        <w:kinsoku/>
        <w:overflowPunct/>
        <w:topLinePunct w:val="0"/>
        <w:bidi w:val="0"/>
        <w:snapToGrid w:val="0"/>
        <w:spacing w:line="360" w:lineRule="auto"/>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附件3：习惯性违章行为</w:t>
      </w:r>
    </w:p>
    <w:p w14:paraId="7F26023E">
      <w:pPr>
        <w:pageBreakBefore w:val="0"/>
        <w:kinsoku/>
        <w:overflowPunct/>
        <w:topLinePunct w:val="0"/>
        <w:bidi w:val="0"/>
        <w:snapToGrid w:val="0"/>
        <w:spacing w:line="360" w:lineRule="auto"/>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附件4：重庆市水利工程建设廉政合同</w:t>
      </w:r>
    </w:p>
    <w:p w14:paraId="6CC7D221">
      <w:pPr>
        <w:pageBreakBefore w:val="0"/>
        <w:kinsoku/>
        <w:overflowPunct/>
        <w:topLinePunct w:val="0"/>
        <w:bidi w:val="0"/>
        <w:snapToGrid w:val="0"/>
        <w:spacing w:line="360" w:lineRule="auto"/>
        <w:ind w:firstLine="420" w:firstLineChars="200"/>
        <w:jc w:val="both"/>
        <w:rPr>
          <w:rFonts w:ascii="宋体" w:hAnsi="宋体" w:cs="宋体"/>
          <w:kern w:val="0"/>
          <w:szCs w:val="21"/>
          <w:highlight w:val="none"/>
        </w:rPr>
      </w:pPr>
      <w:r>
        <w:rPr>
          <w:rFonts w:hint="eastAsia" w:ascii="宋体" w:hAnsi="宋体" w:eastAsia="宋体" w:cs="宋体"/>
          <w:kern w:val="0"/>
          <w:sz w:val="21"/>
          <w:szCs w:val="21"/>
          <w:highlight w:val="none"/>
        </w:rPr>
        <w:t>附件5：安全管理协议</w:t>
      </w:r>
    </w:p>
    <w:p w14:paraId="6234534F">
      <w:pPr>
        <w:keepNext/>
        <w:keepLines/>
        <w:pageBreakBefore w:val="0"/>
        <w:kinsoku/>
        <w:overflowPunct/>
        <w:topLinePunct w:val="0"/>
        <w:bidi w:val="0"/>
        <w:snapToGrid w:val="0"/>
        <w:spacing w:line="360" w:lineRule="auto"/>
        <w:ind w:firstLine="420" w:firstLineChars="200"/>
        <w:outlineLvl w:val="3"/>
        <w:rPr>
          <w:rFonts w:ascii="宋体" w:hAnsi="宋体" w:cs="宋体"/>
          <w:kern w:val="0"/>
          <w:szCs w:val="21"/>
          <w:highlight w:val="none"/>
        </w:rPr>
      </w:pPr>
      <w:r>
        <w:rPr>
          <w:rFonts w:hint="eastAsia" w:ascii="宋体" w:hAnsi="宋体" w:cs="宋体"/>
          <w:kern w:val="0"/>
          <w:szCs w:val="21"/>
          <w:highlight w:val="none"/>
        </w:rPr>
        <w:br w:type="page"/>
      </w:r>
      <w:r>
        <w:rPr>
          <w:rFonts w:hint="eastAsia" w:ascii="宋体" w:hAnsi="宋体" w:cs="宋体"/>
          <w:kern w:val="0"/>
          <w:szCs w:val="21"/>
          <w:highlight w:val="none"/>
        </w:rPr>
        <w:t>附件</w:t>
      </w:r>
      <w:r>
        <w:rPr>
          <w:rFonts w:hint="eastAsia" w:ascii="宋体" w:hAnsi="宋体" w:cs="宋体"/>
          <w:kern w:val="0"/>
          <w:szCs w:val="21"/>
          <w:highlight w:val="none"/>
          <w:lang w:val="en-US" w:eastAsia="zh-CN"/>
        </w:rPr>
        <w:t>1</w:t>
      </w:r>
      <w:r>
        <w:rPr>
          <w:rFonts w:hint="eastAsia" w:ascii="宋体" w:hAnsi="宋体" w:cs="宋体"/>
          <w:kern w:val="0"/>
          <w:szCs w:val="21"/>
          <w:highlight w:val="none"/>
        </w:rPr>
        <w:t>：</w:t>
      </w:r>
    </w:p>
    <w:p w14:paraId="5DE90DBF">
      <w:pPr>
        <w:pageBreakBefore w:val="0"/>
        <w:kinsoku/>
        <w:overflowPunct/>
        <w:topLinePunct w:val="0"/>
        <w:bidi w:val="0"/>
        <w:spacing w:line="360" w:lineRule="auto"/>
        <w:ind w:firstLine="420" w:firstLineChars="200"/>
        <w:jc w:val="center"/>
        <w:rPr>
          <w:rFonts w:ascii="宋体" w:hAnsi="宋体" w:cs="宋体"/>
          <w:kern w:val="0"/>
          <w:szCs w:val="21"/>
          <w:highlight w:val="none"/>
        </w:rPr>
      </w:pPr>
    </w:p>
    <w:p w14:paraId="1B85A924">
      <w:pPr>
        <w:pageBreakBefore w:val="0"/>
        <w:kinsoku/>
        <w:overflowPunct/>
        <w:topLinePunct w:val="0"/>
        <w:bidi w:val="0"/>
        <w:spacing w:line="360" w:lineRule="auto"/>
        <w:ind w:firstLine="480" w:firstLineChars="200"/>
        <w:jc w:val="center"/>
        <w:rPr>
          <w:rFonts w:hint="eastAsia" w:ascii="宋体" w:hAnsi="宋体" w:cs="宋体"/>
          <w:kern w:val="0"/>
          <w:sz w:val="24"/>
          <w:szCs w:val="24"/>
          <w:highlight w:val="none"/>
        </w:rPr>
      </w:pPr>
      <w:r>
        <w:rPr>
          <w:rFonts w:hint="eastAsia" w:ascii="宋体" w:hAnsi="宋体" w:cs="宋体"/>
          <w:kern w:val="0"/>
          <w:sz w:val="24"/>
          <w:szCs w:val="24"/>
          <w:highlight w:val="none"/>
        </w:rPr>
        <w:t>承包人项目管理机构组成表</w:t>
      </w:r>
    </w:p>
    <w:tbl>
      <w:tblPr>
        <w:tblStyle w:val="8"/>
        <w:tblpPr w:leftFromText="180" w:rightFromText="180" w:vertAnchor="text" w:horzAnchor="page" w:tblpX="874" w:tblpY="129"/>
        <w:tblOverlap w:val="never"/>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748"/>
        <w:gridCol w:w="716"/>
        <w:gridCol w:w="685"/>
        <w:gridCol w:w="943"/>
        <w:gridCol w:w="581"/>
        <w:gridCol w:w="1954"/>
        <w:gridCol w:w="2175"/>
        <w:gridCol w:w="521"/>
      </w:tblGrid>
      <w:tr w14:paraId="57BC91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449" w:type="pct"/>
            <w:vMerge w:val="restart"/>
            <w:noWrap w:val="0"/>
            <w:vAlign w:val="center"/>
          </w:tcPr>
          <w:p w14:paraId="5CA10522">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职务</w:t>
            </w:r>
          </w:p>
        </w:tc>
        <w:tc>
          <w:tcPr>
            <w:tcW w:w="430" w:type="pct"/>
            <w:vMerge w:val="restart"/>
            <w:noWrap w:val="0"/>
            <w:vAlign w:val="center"/>
          </w:tcPr>
          <w:p w14:paraId="573CC1C4">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姓名</w:t>
            </w:r>
          </w:p>
        </w:tc>
        <w:tc>
          <w:tcPr>
            <w:tcW w:w="411" w:type="pct"/>
            <w:vMerge w:val="restart"/>
            <w:noWrap w:val="0"/>
            <w:vAlign w:val="center"/>
          </w:tcPr>
          <w:p w14:paraId="72152F4E">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职称</w:t>
            </w:r>
          </w:p>
        </w:tc>
        <w:tc>
          <w:tcPr>
            <w:tcW w:w="3394" w:type="pct"/>
            <w:gridSpan w:val="4"/>
            <w:noWrap w:val="0"/>
            <w:vAlign w:val="center"/>
          </w:tcPr>
          <w:p w14:paraId="4896F8E8">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执业或职业资格证明</w:t>
            </w:r>
          </w:p>
        </w:tc>
        <w:tc>
          <w:tcPr>
            <w:tcW w:w="313" w:type="pct"/>
            <w:noWrap w:val="0"/>
            <w:vAlign w:val="center"/>
          </w:tcPr>
          <w:p w14:paraId="2BA93E45">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备注</w:t>
            </w:r>
          </w:p>
        </w:tc>
      </w:tr>
      <w:tr w14:paraId="6FD478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449" w:type="pct"/>
            <w:vMerge w:val="continue"/>
            <w:noWrap w:val="0"/>
            <w:vAlign w:val="top"/>
          </w:tcPr>
          <w:p w14:paraId="031EDCFB">
            <w:pPr>
              <w:pageBreakBefore w:val="0"/>
              <w:kinsoku/>
              <w:overflowPunct/>
              <w:topLinePunct w:val="0"/>
              <w:autoSpaceDE w:val="0"/>
              <w:autoSpaceDN w:val="0"/>
              <w:bidi w:val="0"/>
              <w:adjustRightInd w:val="0"/>
              <w:snapToGrid w:val="0"/>
              <w:spacing w:line="360" w:lineRule="auto"/>
              <w:jc w:val="left"/>
              <w:rPr>
                <w:rFonts w:ascii="宋体" w:hAnsi="宋体"/>
                <w:kern w:val="0"/>
                <w:sz w:val="21"/>
                <w:szCs w:val="21"/>
                <w:highlight w:val="none"/>
              </w:rPr>
            </w:pPr>
          </w:p>
        </w:tc>
        <w:tc>
          <w:tcPr>
            <w:tcW w:w="430" w:type="pct"/>
            <w:vMerge w:val="continue"/>
            <w:noWrap w:val="0"/>
            <w:vAlign w:val="top"/>
          </w:tcPr>
          <w:p w14:paraId="5EAD73ED">
            <w:pPr>
              <w:pageBreakBefore w:val="0"/>
              <w:kinsoku/>
              <w:overflowPunct/>
              <w:topLinePunct w:val="0"/>
              <w:autoSpaceDE w:val="0"/>
              <w:autoSpaceDN w:val="0"/>
              <w:bidi w:val="0"/>
              <w:adjustRightInd w:val="0"/>
              <w:snapToGrid w:val="0"/>
              <w:spacing w:line="360" w:lineRule="auto"/>
              <w:jc w:val="left"/>
              <w:rPr>
                <w:rFonts w:ascii="宋体" w:hAnsi="宋体"/>
                <w:kern w:val="0"/>
                <w:sz w:val="21"/>
                <w:szCs w:val="21"/>
                <w:highlight w:val="none"/>
              </w:rPr>
            </w:pPr>
          </w:p>
        </w:tc>
        <w:tc>
          <w:tcPr>
            <w:tcW w:w="411" w:type="pct"/>
            <w:vMerge w:val="continue"/>
            <w:noWrap w:val="0"/>
            <w:vAlign w:val="top"/>
          </w:tcPr>
          <w:p w14:paraId="194A857E">
            <w:pPr>
              <w:pageBreakBefore w:val="0"/>
              <w:kinsoku/>
              <w:overflowPunct/>
              <w:topLinePunct w:val="0"/>
              <w:autoSpaceDE w:val="0"/>
              <w:autoSpaceDN w:val="0"/>
              <w:bidi w:val="0"/>
              <w:adjustRightInd w:val="0"/>
              <w:snapToGrid w:val="0"/>
              <w:spacing w:line="360" w:lineRule="auto"/>
              <w:jc w:val="left"/>
              <w:rPr>
                <w:rFonts w:ascii="宋体" w:hAnsi="宋体"/>
                <w:kern w:val="0"/>
                <w:sz w:val="21"/>
                <w:szCs w:val="21"/>
                <w:highlight w:val="none"/>
              </w:rPr>
            </w:pPr>
          </w:p>
        </w:tc>
        <w:tc>
          <w:tcPr>
            <w:tcW w:w="566" w:type="pct"/>
            <w:noWrap w:val="0"/>
            <w:vAlign w:val="center"/>
          </w:tcPr>
          <w:p w14:paraId="61181008">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证书名称</w:t>
            </w:r>
          </w:p>
        </w:tc>
        <w:tc>
          <w:tcPr>
            <w:tcW w:w="349" w:type="pct"/>
            <w:noWrap w:val="0"/>
            <w:vAlign w:val="center"/>
          </w:tcPr>
          <w:p w14:paraId="12271625">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级别</w:t>
            </w:r>
          </w:p>
        </w:tc>
        <w:tc>
          <w:tcPr>
            <w:tcW w:w="1173" w:type="pct"/>
            <w:noWrap w:val="0"/>
            <w:vAlign w:val="center"/>
          </w:tcPr>
          <w:p w14:paraId="34977604">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证号</w:t>
            </w:r>
          </w:p>
        </w:tc>
        <w:tc>
          <w:tcPr>
            <w:tcW w:w="1305" w:type="pct"/>
            <w:noWrap w:val="0"/>
            <w:vAlign w:val="center"/>
          </w:tcPr>
          <w:p w14:paraId="0B0C6911">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cs="MingLiU"/>
                <w:kern w:val="0"/>
                <w:sz w:val="21"/>
                <w:szCs w:val="21"/>
                <w:highlight w:val="none"/>
              </w:rPr>
              <w:t>专业</w:t>
            </w:r>
          </w:p>
        </w:tc>
        <w:tc>
          <w:tcPr>
            <w:tcW w:w="313" w:type="pct"/>
            <w:noWrap w:val="0"/>
            <w:vAlign w:val="top"/>
          </w:tcPr>
          <w:p w14:paraId="79373211">
            <w:pPr>
              <w:pageBreakBefore w:val="0"/>
              <w:kinsoku/>
              <w:overflowPunct/>
              <w:topLinePunct w:val="0"/>
              <w:autoSpaceDE w:val="0"/>
              <w:autoSpaceDN w:val="0"/>
              <w:bidi w:val="0"/>
              <w:adjustRightInd w:val="0"/>
              <w:snapToGrid w:val="0"/>
              <w:spacing w:line="360" w:lineRule="auto"/>
              <w:jc w:val="left"/>
              <w:rPr>
                <w:rFonts w:ascii="宋体" w:hAnsi="宋体"/>
                <w:kern w:val="0"/>
                <w:sz w:val="21"/>
                <w:szCs w:val="21"/>
                <w:highlight w:val="none"/>
              </w:rPr>
            </w:pPr>
          </w:p>
        </w:tc>
      </w:tr>
      <w:tr w14:paraId="190481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99" w:hRule="exact"/>
        </w:trPr>
        <w:tc>
          <w:tcPr>
            <w:tcW w:w="449" w:type="pct"/>
            <w:noWrap w:val="0"/>
            <w:vAlign w:val="center"/>
          </w:tcPr>
          <w:p w14:paraId="4374503A">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kern w:val="0"/>
                <w:sz w:val="21"/>
                <w:szCs w:val="21"/>
                <w:highlight w:val="none"/>
              </w:rPr>
              <w:t>项目经理</w:t>
            </w:r>
          </w:p>
        </w:tc>
        <w:tc>
          <w:tcPr>
            <w:tcW w:w="430" w:type="pct"/>
            <w:noWrap w:val="0"/>
            <w:vAlign w:val="center"/>
          </w:tcPr>
          <w:p w14:paraId="1AA03AFC">
            <w:pPr>
              <w:autoSpaceDE w:val="0"/>
              <w:autoSpaceDN w:val="0"/>
              <w:adjustRightInd w:val="0"/>
              <w:snapToGrid w:val="0"/>
              <w:jc w:val="center"/>
              <w:rPr>
                <w:rFonts w:hint="eastAsia" w:ascii="宋体" w:hAnsi="宋体" w:eastAsia="宋体"/>
                <w:kern w:val="0"/>
                <w:sz w:val="21"/>
                <w:szCs w:val="21"/>
                <w:highlight w:val="none"/>
                <w:lang w:val="en-US" w:eastAsia="zh-CN"/>
              </w:rPr>
            </w:pPr>
          </w:p>
        </w:tc>
        <w:tc>
          <w:tcPr>
            <w:tcW w:w="411" w:type="pct"/>
            <w:noWrap w:val="0"/>
            <w:vAlign w:val="center"/>
          </w:tcPr>
          <w:p w14:paraId="4E098EC7">
            <w:pPr>
              <w:autoSpaceDE w:val="0"/>
              <w:autoSpaceDN w:val="0"/>
              <w:adjustRightInd w:val="0"/>
              <w:snapToGrid w:val="0"/>
              <w:jc w:val="center"/>
              <w:rPr>
                <w:rFonts w:ascii="宋体" w:hAnsi="宋体"/>
                <w:kern w:val="0"/>
                <w:sz w:val="21"/>
                <w:szCs w:val="21"/>
                <w:highlight w:val="none"/>
              </w:rPr>
            </w:pPr>
          </w:p>
        </w:tc>
        <w:tc>
          <w:tcPr>
            <w:tcW w:w="566" w:type="pct"/>
            <w:noWrap w:val="0"/>
            <w:vAlign w:val="center"/>
          </w:tcPr>
          <w:p w14:paraId="6795A4EB">
            <w:pPr>
              <w:autoSpaceDE w:val="0"/>
              <w:autoSpaceDN w:val="0"/>
              <w:adjustRightInd w:val="0"/>
              <w:snapToGrid w:val="0"/>
              <w:spacing w:line="360" w:lineRule="auto"/>
              <w:jc w:val="center"/>
              <w:rPr>
                <w:rFonts w:ascii="宋体" w:hAnsi="宋体"/>
                <w:kern w:val="0"/>
                <w:sz w:val="21"/>
                <w:szCs w:val="21"/>
                <w:highlight w:val="none"/>
              </w:rPr>
            </w:pPr>
          </w:p>
        </w:tc>
        <w:tc>
          <w:tcPr>
            <w:tcW w:w="349" w:type="pct"/>
            <w:noWrap w:val="0"/>
            <w:vAlign w:val="center"/>
          </w:tcPr>
          <w:p w14:paraId="11ACFBDB">
            <w:pPr>
              <w:autoSpaceDE w:val="0"/>
              <w:autoSpaceDN w:val="0"/>
              <w:adjustRightInd w:val="0"/>
              <w:snapToGrid w:val="0"/>
              <w:spacing w:line="360" w:lineRule="auto"/>
              <w:jc w:val="center"/>
              <w:rPr>
                <w:rFonts w:ascii="宋体" w:hAnsi="宋体"/>
                <w:kern w:val="0"/>
                <w:sz w:val="21"/>
                <w:szCs w:val="21"/>
                <w:highlight w:val="none"/>
              </w:rPr>
            </w:pPr>
          </w:p>
        </w:tc>
        <w:tc>
          <w:tcPr>
            <w:tcW w:w="1173" w:type="pct"/>
            <w:noWrap w:val="0"/>
            <w:vAlign w:val="center"/>
          </w:tcPr>
          <w:p w14:paraId="69030C77">
            <w:pPr>
              <w:autoSpaceDE w:val="0"/>
              <w:autoSpaceDN w:val="0"/>
              <w:adjustRightInd w:val="0"/>
              <w:snapToGrid w:val="0"/>
              <w:spacing w:line="360" w:lineRule="auto"/>
              <w:jc w:val="center"/>
              <w:rPr>
                <w:rFonts w:ascii="宋体" w:hAnsi="宋体"/>
                <w:kern w:val="0"/>
                <w:sz w:val="21"/>
                <w:szCs w:val="21"/>
                <w:highlight w:val="none"/>
              </w:rPr>
            </w:pPr>
          </w:p>
        </w:tc>
        <w:tc>
          <w:tcPr>
            <w:tcW w:w="1305" w:type="pct"/>
            <w:noWrap w:val="0"/>
            <w:vAlign w:val="center"/>
          </w:tcPr>
          <w:p w14:paraId="4B17A13A">
            <w:pPr>
              <w:autoSpaceDE w:val="0"/>
              <w:autoSpaceDN w:val="0"/>
              <w:adjustRightInd w:val="0"/>
              <w:snapToGrid w:val="0"/>
              <w:spacing w:line="360" w:lineRule="auto"/>
              <w:jc w:val="center"/>
              <w:rPr>
                <w:rFonts w:ascii="宋体" w:hAnsi="宋体"/>
                <w:kern w:val="0"/>
                <w:sz w:val="21"/>
                <w:szCs w:val="21"/>
                <w:highlight w:val="none"/>
              </w:rPr>
            </w:pPr>
          </w:p>
        </w:tc>
        <w:tc>
          <w:tcPr>
            <w:tcW w:w="313" w:type="pct"/>
            <w:noWrap w:val="0"/>
            <w:vAlign w:val="center"/>
          </w:tcPr>
          <w:p w14:paraId="4D4CE21B">
            <w:pPr>
              <w:pageBreakBefore w:val="0"/>
              <w:kinsoku/>
              <w:overflowPunct/>
              <w:topLinePunct w:val="0"/>
              <w:bidi w:val="0"/>
              <w:spacing w:before="68" w:line="360" w:lineRule="auto"/>
              <w:ind w:left="234" w:leftChars="0"/>
              <w:jc w:val="left"/>
              <w:rPr>
                <w:rFonts w:ascii="宋体" w:hAnsi="宋体"/>
                <w:kern w:val="0"/>
                <w:sz w:val="21"/>
                <w:szCs w:val="21"/>
                <w:highlight w:val="none"/>
              </w:rPr>
            </w:pPr>
          </w:p>
        </w:tc>
      </w:tr>
      <w:tr w14:paraId="338DD7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8" w:hRule="exact"/>
        </w:trPr>
        <w:tc>
          <w:tcPr>
            <w:tcW w:w="449" w:type="pct"/>
            <w:noWrap w:val="0"/>
            <w:vAlign w:val="center"/>
          </w:tcPr>
          <w:p w14:paraId="37C7B09A">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r>
              <w:rPr>
                <w:rFonts w:hint="eastAsia" w:ascii="宋体" w:hAnsi="宋体"/>
                <w:kern w:val="0"/>
                <w:sz w:val="21"/>
                <w:szCs w:val="21"/>
                <w:highlight w:val="none"/>
              </w:rPr>
              <w:t>项目技术负责人</w:t>
            </w:r>
          </w:p>
        </w:tc>
        <w:tc>
          <w:tcPr>
            <w:tcW w:w="430" w:type="pct"/>
            <w:noWrap w:val="0"/>
            <w:vAlign w:val="center"/>
          </w:tcPr>
          <w:p w14:paraId="61BBF51A">
            <w:pPr>
              <w:autoSpaceDE w:val="0"/>
              <w:autoSpaceDN w:val="0"/>
              <w:adjustRightInd w:val="0"/>
              <w:snapToGrid w:val="0"/>
              <w:jc w:val="center"/>
              <w:rPr>
                <w:rFonts w:hint="eastAsia" w:ascii="宋体" w:hAnsi="宋体" w:eastAsia="宋体"/>
                <w:kern w:val="0"/>
                <w:sz w:val="21"/>
                <w:szCs w:val="21"/>
                <w:highlight w:val="none"/>
                <w:lang w:val="en-US" w:eastAsia="zh-CN"/>
              </w:rPr>
            </w:pPr>
          </w:p>
        </w:tc>
        <w:tc>
          <w:tcPr>
            <w:tcW w:w="411" w:type="pct"/>
            <w:noWrap w:val="0"/>
            <w:vAlign w:val="center"/>
          </w:tcPr>
          <w:p w14:paraId="6FC60617">
            <w:pPr>
              <w:autoSpaceDE w:val="0"/>
              <w:autoSpaceDN w:val="0"/>
              <w:adjustRightInd w:val="0"/>
              <w:snapToGrid w:val="0"/>
              <w:jc w:val="center"/>
              <w:rPr>
                <w:rFonts w:ascii="宋体" w:hAnsi="宋体"/>
                <w:kern w:val="0"/>
                <w:sz w:val="21"/>
                <w:szCs w:val="21"/>
                <w:highlight w:val="none"/>
              </w:rPr>
            </w:pPr>
          </w:p>
        </w:tc>
        <w:tc>
          <w:tcPr>
            <w:tcW w:w="566" w:type="pct"/>
            <w:noWrap w:val="0"/>
            <w:vAlign w:val="center"/>
          </w:tcPr>
          <w:p w14:paraId="34F65C15">
            <w:pPr>
              <w:autoSpaceDE w:val="0"/>
              <w:autoSpaceDN w:val="0"/>
              <w:adjustRightInd w:val="0"/>
              <w:snapToGrid w:val="0"/>
              <w:jc w:val="center"/>
              <w:rPr>
                <w:rFonts w:ascii="宋体" w:hAnsi="宋体"/>
                <w:kern w:val="0"/>
                <w:sz w:val="21"/>
                <w:szCs w:val="21"/>
                <w:highlight w:val="none"/>
              </w:rPr>
            </w:pPr>
          </w:p>
        </w:tc>
        <w:tc>
          <w:tcPr>
            <w:tcW w:w="349" w:type="pct"/>
            <w:noWrap w:val="0"/>
            <w:vAlign w:val="center"/>
          </w:tcPr>
          <w:p w14:paraId="6E2DEC03">
            <w:pPr>
              <w:autoSpaceDE w:val="0"/>
              <w:autoSpaceDN w:val="0"/>
              <w:adjustRightInd w:val="0"/>
              <w:snapToGrid w:val="0"/>
              <w:jc w:val="center"/>
              <w:rPr>
                <w:rFonts w:ascii="宋体" w:hAnsi="宋体"/>
                <w:kern w:val="0"/>
                <w:sz w:val="21"/>
                <w:szCs w:val="21"/>
                <w:highlight w:val="none"/>
              </w:rPr>
            </w:pPr>
          </w:p>
        </w:tc>
        <w:tc>
          <w:tcPr>
            <w:tcW w:w="1173" w:type="pct"/>
            <w:noWrap w:val="0"/>
            <w:vAlign w:val="center"/>
          </w:tcPr>
          <w:p w14:paraId="32402F97">
            <w:pPr>
              <w:autoSpaceDE w:val="0"/>
              <w:autoSpaceDN w:val="0"/>
              <w:adjustRightInd w:val="0"/>
              <w:snapToGrid w:val="0"/>
              <w:jc w:val="center"/>
              <w:rPr>
                <w:rFonts w:ascii="宋体" w:hAnsi="宋体"/>
                <w:kern w:val="0"/>
                <w:sz w:val="21"/>
                <w:szCs w:val="21"/>
                <w:highlight w:val="none"/>
              </w:rPr>
            </w:pPr>
          </w:p>
        </w:tc>
        <w:tc>
          <w:tcPr>
            <w:tcW w:w="1305" w:type="pct"/>
            <w:noWrap w:val="0"/>
            <w:vAlign w:val="center"/>
          </w:tcPr>
          <w:p w14:paraId="37DEC91D">
            <w:pPr>
              <w:autoSpaceDE w:val="0"/>
              <w:autoSpaceDN w:val="0"/>
              <w:adjustRightInd w:val="0"/>
              <w:snapToGrid w:val="0"/>
              <w:jc w:val="center"/>
              <w:rPr>
                <w:rFonts w:ascii="宋体" w:hAnsi="宋体"/>
                <w:kern w:val="0"/>
                <w:sz w:val="21"/>
                <w:szCs w:val="21"/>
                <w:highlight w:val="none"/>
              </w:rPr>
            </w:pPr>
          </w:p>
        </w:tc>
        <w:tc>
          <w:tcPr>
            <w:tcW w:w="313" w:type="pct"/>
            <w:noWrap w:val="0"/>
            <w:vAlign w:val="center"/>
          </w:tcPr>
          <w:p w14:paraId="57F99097">
            <w:pPr>
              <w:pageBreakBefore w:val="0"/>
              <w:kinsoku/>
              <w:overflowPunct/>
              <w:topLinePunct w:val="0"/>
              <w:bidi w:val="0"/>
              <w:spacing w:before="68" w:line="360" w:lineRule="auto"/>
              <w:ind w:left="234" w:leftChars="0"/>
              <w:jc w:val="left"/>
              <w:rPr>
                <w:rFonts w:ascii="宋体" w:hAnsi="宋体"/>
                <w:kern w:val="0"/>
                <w:sz w:val="21"/>
                <w:szCs w:val="21"/>
                <w:highlight w:val="none"/>
              </w:rPr>
            </w:pPr>
          </w:p>
        </w:tc>
      </w:tr>
      <w:tr w14:paraId="69B685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9" w:hRule="exact"/>
        </w:trPr>
        <w:tc>
          <w:tcPr>
            <w:tcW w:w="449" w:type="pct"/>
            <w:noWrap w:val="0"/>
            <w:vAlign w:val="center"/>
          </w:tcPr>
          <w:p w14:paraId="3056F8F9">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安全员</w:t>
            </w:r>
          </w:p>
        </w:tc>
        <w:tc>
          <w:tcPr>
            <w:tcW w:w="430" w:type="pct"/>
            <w:noWrap w:val="0"/>
            <w:vAlign w:val="center"/>
          </w:tcPr>
          <w:p w14:paraId="2F0FE1E8">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val="en-US" w:eastAsia="zh-CN"/>
              </w:rPr>
            </w:pPr>
          </w:p>
        </w:tc>
        <w:tc>
          <w:tcPr>
            <w:tcW w:w="411" w:type="pct"/>
            <w:noWrap w:val="0"/>
            <w:vAlign w:val="center"/>
          </w:tcPr>
          <w:p w14:paraId="0CFBE161">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566" w:type="pct"/>
            <w:noWrap w:val="0"/>
            <w:vAlign w:val="center"/>
          </w:tcPr>
          <w:p w14:paraId="6F6FB1B1">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val="en-US" w:eastAsia="zh-CN"/>
              </w:rPr>
            </w:pPr>
          </w:p>
        </w:tc>
        <w:tc>
          <w:tcPr>
            <w:tcW w:w="349" w:type="pct"/>
            <w:noWrap w:val="0"/>
            <w:vAlign w:val="center"/>
          </w:tcPr>
          <w:p w14:paraId="0CA35586">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1173" w:type="pct"/>
            <w:noWrap w:val="0"/>
            <w:vAlign w:val="center"/>
          </w:tcPr>
          <w:p w14:paraId="22E4CF81">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val="en-US" w:eastAsia="zh-CN"/>
              </w:rPr>
            </w:pPr>
          </w:p>
        </w:tc>
        <w:tc>
          <w:tcPr>
            <w:tcW w:w="1305" w:type="pct"/>
            <w:noWrap w:val="0"/>
            <w:vAlign w:val="center"/>
          </w:tcPr>
          <w:p w14:paraId="097778E2">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val="en-US" w:eastAsia="zh-CN"/>
              </w:rPr>
            </w:pPr>
          </w:p>
        </w:tc>
        <w:tc>
          <w:tcPr>
            <w:tcW w:w="313" w:type="pct"/>
            <w:noWrap w:val="0"/>
            <w:vAlign w:val="center"/>
          </w:tcPr>
          <w:p w14:paraId="354653E9">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r>
      <w:tr w14:paraId="71FC87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449" w:type="pct"/>
            <w:noWrap w:val="0"/>
            <w:vAlign w:val="center"/>
          </w:tcPr>
          <w:p w14:paraId="326116E3">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eastAsia="zh-CN"/>
              </w:rPr>
              <w:t>质量员</w:t>
            </w:r>
          </w:p>
        </w:tc>
        <w:tc>
          <w:tcPr>
            <w:tcW w:w="430" w:type="pct"/>
            <w:noWrap w:val="0"/>
            <w:vAlign w:val="center"/>
          </w:tcPr>
          <w:p w14:paraId="0422E056">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411" w:type="pct"/>
            <w:noWrap w:val="0"/>
            <w:vAlign w:val="center"/>
          </w:tcPr>
          <w:p w14:paraId="4CC4C2EA">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566" w:type="pct"/>
            <w:noWrap w:val="0"/>
            <w:vAlign w:val="center"/>
          </w:tcPr>
          <w:p w14:paraId="4BF288F9">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49" w:type="pct"/>
            <w:noWrap w:val="0"/>
            <w:vAlign w:val="center"/>
          </w:tcPr>
          <w:p w14:paraId="0DA9226C">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1173" w:type="pct"/>
            <w:noWrap w:val="0"/>
            <w:vAlign w:val="center"/>
          </w:tcPr>
          <w:p w14:paraId="75050CBD">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1305" w:type="pct"/>
            <w:noWrap w:val="0"/>
            <w:vAlign w:val="center"/>
          </w:tcPr>
          <w:p w14:paraId="2EEA24AD">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13" w:type="pct"/>
            <w:noWrap w:val="0"/>
            <w:vAlign w:val="center"/>
          </w:tcPr>
          <w:p w14:paraId="02063BB3">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r>
      <w:tr w14:paraId="3071E4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449" w:type="pct"/>
            <w:noWrap w:val="0"/>
            <w:vAlign w:val="center"/>
          </w:tcPr>
          <w:p w14:paraId="2C5C9AF9">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eastAsia="zh-CN"/>
              </w:rPr>
              <w:t>施工员</w:t>
            </w:r>
          </w:p>
        </w:tc>
        <w:tc>
          <w:tcPr>
            <w:tcW w:w="430" w:type="pct"/>
            <w:noWrap w:val="0"/>
            <w:vAlign w:val="center"/>
          </w:tcPr>
          <w:p w14:paraId="629A666A">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411" w:type="pct"/>
            <w:noWrap w:val="0"/>
            <w:vAlign w:val="center"/>
          </w:tcPr>
          <w:p w14:paraId="713C6305">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566" w:type="pct"/>
            <w:noWrap w:val="0"/>
            <w:vAlign w:val="center"/>
          </w:tcPr>
          <w:p w14:paraId="530F309C">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49" w:type="pct"/>
            <w:noWrap w:val="0"/>
            <w:vAlign w:val="center"/>
          </w:tcPr>
          <w:p w14:paraId="2A62B9D0">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1173" w:type="pct"/>
            <w:noWrap w:val="0"/>
            <w:vAlign w:val="center"/>
          </w:tcPr>
          <w:p w14:paraId="599CC275">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1305" w:type="pct"/>
            <w:noWrap w:val="0"/>
            <w:vAlign w:val="center"/>
          </w:tcPr>
          <w:p w14:paraId="7F821653">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13" w:type="pct"/>
            <w:noWrap w:val="0"/>
            <w:vAlign w:val="center"/>
          </w:tcPr>
          <w:p w14:paraId="24950E5E">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r>
      <w:tr w14:paraId="42AA0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449" w:type="pct"/>
            <w:noWrap w:val="0"/>
            <w:vAlign w:val="center"/>
          </w:tcPr>
          <w:p w14:paraId="1C475AD4">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eastAsia="zh-CN"/>
              </w:rPr>
              <w:t>材料员</w:t>
            </w:r>
          </w:p>
        </w:tc>
        <w:tc>
          <w:tcPr>
            <w:tcW w:w="430" w:type="pct"/>
            <w:noWrap w:val="0"/>
            <w:vAlign w:val="center"/>
          </w:tcPr>
          <w:p w14:paraId="3E4B1E40">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411" w:type="pct"/>
            <w:noWrap w:val="0"/>
            <w:vAlign w:val="center"/>
          </w:tcPr>
          <w:p w14:paraId="15A46415">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566" w:type="pct"/>
            <w:noWrap w:val="0"/>
            <w:vAlign w:val="center"/>
          </w:tcPr>
          <w:p w14:paraId="6512177F">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49" w:type="pct"/>
            <w:noWrap w:val="0"/>
            <w:vAlign w:val="center"/>
          </w:tcPr>
          <w:p w14:paraId="2BF8E026">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1173" w:type="pct"/>
            <w:noWrap w:val="0"/>
            <w:vAlign w:val="center"/>
          </w:tcPr>
          <w:p w14:paraId="38CECFB7">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1305" w:type="pct"/>
            <w:noWrap w:val="0"/>
            <w:vAlign w:val="center"/>
          </w:tcPr>
          <w:p w14:paraId="64DB193A">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13" w:type="pct"/>
            <w:noWrap w:val="0"/>
            <w:vAlign w:val="center"/>
          </w:tcPr>
          <w:p w14:paraId="35A5F859">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r>
      <w:tr w14:paraId="6F08A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449" w:type="pct"/>
            <w:noWrap w:val="0"/>
            <w:vAlign w:val="center"/>
          </w:tcPr>
          <w:p w14:paraId="7BE77C36">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eastAsia="zh-CN"/>
              </w:rPr>
              <w:t>劳务员</w:t>
            </w:r>
          </w:p>
        </w:tc>
        <w:tc>
          <w:tcPr>
            <w:tcW w:w="430" w:type="pct"/>
            <w:noWrap w:val="0"/>
            <w:vAlign w:val="center"/>
          </w:tcPr>
          <w:p w14:paraId="13B40BF3">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411" w:type="pct"/>
            <w:noWrap w:val="0"/>
            <w:vAlign w:val="center"/>
          </w:tcPr>
          <w:p w14:paraId="75E9E5C9">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566" w:type="pct"/>
            <w:noWrap w:val="0"/>
            <w:vAlign w:val="center"/>
          </w:tcPr>
          <w:p w14:paraId="50DBB032">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49" w:type="pct"/>
            <w:noWrap w:val="0"/>
            <w:vAlign w:val="center"/>
          </w:tcPr>
          <w:p w14:paraId="44383C51">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1173" w:type="pct"/>
            <w:noWrap w:val="0"/>
            <w:vAlign w:val="center"/>
          </w:tcPr>
          <w:p w14:paraId="742577CE">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1305" w:type="pct"/>
            <w:noWrap w:val="0"/>
            <w:vAlign w:val="center"/>
          </w:tcPr>
          <w:p w14:paraId="357236DB">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13" w:type="pct"/>
            <w:noWrap w:val="0"/>
            <w:vAlign w:val="center"/>
          </w:tcPr>
          <w:p w14:paraId="52BA5FB2">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r>
      <w:tr w14:paraId="6474C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449" w:type="pct"/>
            <w:noWrap w:val="0"/>
            <w:vAlign w:val="center"/>
          </w:tcPr>
          <w:p w14:paraId="5B95E172">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eastAsia="zh-CN"/>
              </w:rPr>
              <w:t>资料员</w:t>
            </w:r>
          </w:p>
        </w:tc>
        <w:tc>
          <w:tcPr>
            <w:tcW w:w="430" w:type="pct"/>
            <w:noWrap w:val="0"/>
            <w:vAlign w:val="center"/>
          </w:tcPr>
          <w:p w14:paraId="1EFFBDBD">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411" w:type="pct"/>
            <w:noWrap w:val="0"/>
            <w:vAlign w:val="center"/>
          </w:tcPr>
          <w:p w14:paraId="19BD3023">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566" w:type="pct"/>
            <w:noWrap w:val="0"/>
            <w:vAlign w:val="center"/>
          </w:tcPr>
          <w:p w14:paraId="1451DAB5">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49" w:type="pct"/>
            <w:noWrap w:val="0"/>
            <w:vAlign w:val="center"/>
          </w:tcPr>
          <w:p w14:paraId="4DCBCF3B">
            <w:pPr>
              <w:pageBreakBefore w:val="0"/>
              <w:kinsoku/>
              <w:overflowPunct/>
              <w:topLinePunct w:val="0"/>
              <w:bidi w:val="0"/>
              <w:spacing w:before="68" w:line="360" w:lineRule="auto"/>
              <w:jc w:val="center"/>
              <w:rPr>
                <w:rFonts w:hint="default" w:ascii="宋体" w:hAnsi="宋体" w:eastAsia="宋体" w:cs="宋体"/>
                <w:spacing w:val="-3"/>
                <w:sz w:val="21"/>
                <w:szCs w:val="21"/>
                <w:highlight w:val="none"/>
                <w:lang w:val="en-US" w:eastAsia="zh-CN"/>
              </w:rPr>
            </w:pPr>
          </w:p>
        </w:tc>
        <w:tc>
          <w:tcPr>
            <w:tcW w:w="1173" w:type="pct"/>
            <w:noWrap w:val="0"/>
            <w:vAlign w:val="center"/>
          </w:tcPr>
          <w:p w14:paraId="0E13C2CB">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1305" w:type="pct"/>
            <w:noWrap w:val="0"/>
            <w:vAlign w:val="center"/>
          </w:tcPr>
          <w:p w14:paraId="2DAB3F73">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c>
          <w:tcPr>
            <w:tcW w:w="313" w:type="pct"/>
            <w:noWrap w:val="0"/>
            <w:vAlign w:val="center"/>
          </w:tcPr>
          <w:p w14:paraId="1CF2B0C3">
            <w:pPr>
              <w:pageBreakBefore w:val="0"/>
              <w:kinsoku/>
              <w:overflowPunct/>
              <w:topLinePunct w:val="0"/>
              <w:bidi w:val="0"/>
              <w:spacing w:before="68" w:line="360" w:lineRule="auto"/>
              <w:jc w:val="center"/>
              <w:rPr>
                <w:rFonts w:hint="eastAsia" w:ascii="宋体" w:hAnsi="宋体" w:eastAsia="宋体" w:cs="宋体"/>
                <w:spacing w:val="-3"/>
                <w:sz w:val="21"/>
                <w:szCs w:val="21"/>
                <w:highlight w:val="none"/>
                <w:lang w:eastAsia="zh-CN"/>
              </w:rPr>
            </w:pPr>
          </w:p>
        </w:tc>
      </w:tr>
      <w:tr w14:paraId="1C313E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2" w:hRule="exact"/>
        </w:trPr>
        <w:tc>
          <w:tcPr>
            <w:tcW w:w="449" w:type="pct"/>
            <w:noWrap w:val="0"/>
            <w:vAlign w:val="center"/>
          </w:tcPr>
          <w:p w14:paraId="49C5255E">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kern w:val="0"/>
                <w:sz w:val="21"/>
                <w:szCs w:val="21"/>
                <w:highlight w:val="none"/>
                <w:lang w:eastAsia="zh-CN"/>
              </w:rPr>
            </w:pPr>
            <w:r>
              <w:rPr>
                <w:rFonts w:hint="eastAsia" w:ascii="宋体" w:hAnsi="宋体"/>
                <w:kern w:val="0"/>
                <w:sz w:val="21"/>
                <w:szCs w:val="21"/>
                <w:highlight w:val="none"/>
                <w:lang w:eastAsia="zh-CN"/>
              </w:rPr>
              <w:t>造价师</w:t>
            </w:r>
          </w:p>
        </w:tc>
        <w:tc>
          <w:tcPr>
            <w:tcW w:w="430" w:type="pct"/>
            <w:noWrap w:val="0"/>
            <w:vAlign w:val="center"/>
          </w:tcPr>
          <w:p w14:paraId="0DC4A9D2">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kern w:val="0"/>
                <w:sz w:val="21"/>
                <w:szCs w:val="21"/>
                <w:highlight w:val="none"/>
                <w:lang w:eastAsia="zh-CN"/>
              </w:rPr>
            </w:pPr>
          </w:p>
        </w:tc>
        <w:tc>
          <w:tcPr>
            <w:tcW w:w="411" w:type="pct"/>
            <w:noWrap w:val="0"/>
            <w:vAlign w:val="center"/>
          </w:tcPr>
          <w:p w14:paraId="561C9C32">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kern w:val="0"/>
                <w:sz w:val="21"/>
                <w:szCs w:val="21"/>
                <w:highlight w:val="none"/>
                <w:lang w:val="en-US" w:eastAsia="zh-CN"/>
              </w:rPr>
            </w:pPr>
          </w:p>
        </w:tc>
        <w:tc>
          <w:tcPr>
            <w:tcW w:w="566" w:type="pct"/>
            <w:noWrap w:val="0"/>
            <w:vAlign w:val="center"/>
          </w:tcPr>
          <w:p w14:paraId="05947FAC">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kern w:val="0"/>
                <w:sz w:val="21"/>
                <w:szCs w:val="21"/>
                <w:highlight w:val="none"/>
                <w:lang w:eastAsia="zh-CN"/>
              </w:rPr>
            </w:pPr>
          </w:p>
        </w:tc>
        <w:tc>
          <w:tcPr>
            <w:tcW w:w="349" w:type="pct"/>
            <w:noWrap w:val="0"/>
            <w:vAlign w:val="center"/>
          </w:tcPr>
          <w:p w14:paraId="6C673F1D">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kern w:val="0"/>
                <w:sz w:val="21"/>
                <w:szCs w:val="21"/>
                <w:highlight w:val="none"/>
                <w:lang w:val="en-US" w:eastAsia="zh-CN"/>
              </w:rPr>
            </w:pPr>
          </w:p>
        </w:tc>
        <w:tc>
          <w:tcPr>
            <w:tcW w:w="1173" w:type="pct"/>
            <w:noWrap w:val="0"/>
            <w:vAlign w:val="center"/>
          </w:tcPr>
          <w:p w14:paraId="2A29BE11">
            <w:pPr>
              <w:pageBreakBefore w:val="0"/>
              <w:kinsoku/>
              <w:overflowPunct/>
              <w:topLinePunct w:val="0"/>
              <w:autoSpaceDE w:val="0"/>
              <w:autoSpaceDN w:val="0"/>
              <w:bidi w:val="0"/>
              <w:adjustRightInd w:val="0"/>
              <w:snapToGrid w:val="0"/>
              <w:spacing w:line="360" w:lineRule="auto"/>
              <w:jc w:val="center"/>
              <w:rPr>
                <w:rFonts w:ascii="宋体" w:hAnsi="宋体"/>
                <w:kern w:val="0"/>
                <w:sz w:val="21"/>
                <w:szCs w:val="21"/>
                <w:highlight w:val="none"/>
              </w:rPr>
            </w:pPr>
          </w:p>
        </w:tc>
        <w:tc>
          <w:tcPr>
            <w:tcW w:w="1305" w:type="pct"/>
            <w:noWrap w:val="0"/>
            <w:vAlign w:val="center"/>
          </w:tcPr>
          <w:p w14:paraId="5B7C03EC">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kern w:val="0"/>
                <w:sz w:val="21"/>
                <w:szCs w:val="21"/>
                <w:highlight w:val="none"/>
                <w:lang w:eastAsia="zh-CN"/>
              </w:rPr>
            </w:pPr>
          </w:p>
        </w:tc>
        <w:tc>
          <w:tcPr>
            <w:tcW w:w="313" w:type="pct"/>
            <w:noWrap w:val="0"/>
            <w:vAlign w:val="center"/>
          </w:tcPr>
          <w:p w14:paraId="5B0B5C11">
            <w:pPr>
              <w:pageBreakBefore w:val="0"/>
              <w:kinsoku/>
              <w:overflowPunct/>
              <w:topLinePunct w:val="0"/>
              <w:bidi w:val="0"/>
              <w:spacing w:line="360" w:lineRule="auto"/>
              <w:rPr>
                <w:sz w:val="21"/>
                <w:szCs w:val="21"/>
                <w:highlight w:val="none"/>
              </w:rPr>
            </w:pPr>
          </w:p>
        </w:tc>
      </w:tr>
      <w:tr w14:paraId="203761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449" w:type="pct"/>
            <w:noWrap w:val="0"/>
            <w:vAlign w:val="center"/>
          </w:tcPr>
          <w:p w14:paraId="59203F75">
            <w:pPr>
              <w:pageBreakBefore w:val="0"/>
              <w:kinsoku/>
              <w:overflowPunct/>
              <w:topLinePunct w:val="0"/>
              <w:autoSpaceDE w:val="0"/>
              <w:autoSpaceDN w:val="0"/>
              <w:bidi w:val="0"/>
              <w:adjustRightInd w:val="0"/>
              <w:snapToGrid w:val="0"/>
              <w:spacing w:line="360" w:lineRule="auto"/>
              <w:jc w:val="center"/>
              <w:rPr>
                <w:rFonts w:hint="eastAsia" w:ascii="宋体" w:hAnsi="宋体"/>
                <w:kern w:val="0"/>
                <w:sz w:val="21"/>
                <w:szCs w:val="21"/>
                <w:highlight w:val="none"/>
                <w:lang w:eastAsia="zh-CN"/>
              </w:rPr>
            </w:pPr>
          </w:p>
        </w:tc>
        <w:tc>
          <w:tcPr>
            <w:tcW w:w="430" w:type="pct"/>
            <w:noWrap w:val="0"/>
            <w:vAlign w:val="center"/>
          </w:tcPr>
          <w:p w14:paraId="643189C6">
            <w:pPr>
              <w:pageBreakBefore w:val="0"/>
              <w:kinsoku/>
              <w:overflowPunct/>
              <w:topLinePunct w:val="0"/>
              <w:autoSpaceDE w:val="0"/>
              <w:autoSpaceDN w:val="0"/>
              <w:bidi w:val="0"/>
              <w:adjustRightInd w:val="0"/>
              <w:snapToGrid w:val="0"/>
              <w:spacing w:line="360" w:lineRule="auto"/>
              <w:jc w:val="center"/>
              <w:rPr>
                <w:rFonts w:hint="eastAsia" w:ascii="宋体" w:hAnsi="宋体"/>
                <w:kern w:val="0"/>
                <w:sz w:val="21"/>
                <w:szCs w:val="21"/>
                <w:highlight w:val="none"/>
                <w:lang w:eastAsia="zh-CN"/>
              </w:rPr>
            </w:pPr>
          </w:p>
        </w:tc>
        <w:tc>
          <w:tcPr>
            <w:tcW w:w="411" w:type="pct"/>
            <w:noWrap w:val="0"/>
            <w:vAlign w:val="center"/>
          </w:tcPr>
          <w:p w14:paraId="0023EEDB">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s="宋体"/>
                <w:spacing w:val="-3"/>
                <w:sz w:val="21"/>
                <w:szCs w:val="21"/>
                <w:highlight w:val="none"/>
                <w:lang w:val="en-US" w:eastAsia="zh-CN"/>
              </w:rPr>
            </w:pPr>
          </w:p>
        </w:tc>
        <w:tc>
          <w:tcPr>
            <w:tcW w:w="566" w:type="pct"/>
            <w:noWrap w:val="0"/>
            <w:vAlign w:val="center"/>
          </w:tcPr>
          <w:p w14:paraId="16DF69F6">
            <w:pPr>
              <w:pageBreakBefore w:val="0"/>
              <w:kinsoku/>
              <w:overflowPunct/>
              <w:topLinePunct w:val="0"/>
              <w:autoSpaceDE w:val="0"/>
              <w:autoSpaceDN w:val="0"/>
              <w:bidi w:val="0"/>
              <w:adjustRightInd w:val="0"/>
              <w:snapToGrid w:val="0"/>
              <w:spacing w:line="360" w:lineRule="auto"/>
              <w:jc w:val="center"/>
              <w:rPr>
                <w:rFonts w:hint="eastAsia" w:ascii="宋体" w:hAnsi="宋体"/>
                <w:kern w:val="0"/>
                <w:sz w:val="21"/>
                <w:szCs w:val="21"/>
                <w:highlight w:val="none"/>
                <w:lang w:eastAsia="zh-CN"/>
              </w:rPr>
            </w:pPr>
          </w:p>
        </w:tc>
        <w:tc>
          <w:tcPr>
            <w:tcW w:w="349" w:type="pct"/>
            <w:noWrap w:val="0"/>
            <w:vAlign w:val="center"/>
          </w:tcPr>
          <w:p w14:paraId="6A65EE0C">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s="宋体"/>
                <w:spacing w:val="-3"/>
                <w:sz w:val="21"/>
                <w:szCs w:val="21"/>
                <w:highlight w:val="none"/>
                <w:lang w:val="en-US" w:eastAsia="zh-CN"/>
              </w:rPr>
            </w:pPr>
          </w:p>
        </w:tc>
        <w:tc>
          <w:tcPr>
            <w:tcW w:w="1173" w:type="pct"/>
            <w:noWrap w:val="0"/>
            <w:vAlign w:val="center"/>
          </w:tcPr>
          <w:p w14:paraId="73648459">
            <w:pPr>
              <w:pageBreakBefore w:val="0"/>
              <w:kinsoku/>
              <w:overflowPunct/>
              <w:topLinePunct w:val="0"/>
              <w:autoSpaceDE w:val="0"/>
              <w:autoSpaceDN w:val="0"/>
              <w:bidi w:val="0"/>
              <w:adjustRightInd w:val="0"/>
              <w:snapToGrid w:val="0"/>
              <w:spacing w:line="360" w:lineRule="auto"/>
              <w:jc w:val="center"/>
              <w:rPr>
                <w:rFonts w:hint="eastAsia" w:ascii="宋体" w:hAnsi="宋体"/>
                <w:kern w:val="0"/>
                <w:sz w:val="21"/>
                <w:szCs w:val="21"/>
                <w:highlight w:val="none"/>
              </w:rPr>
            </w:pPr>
          </w:p>
        </w:tc>
        <w:tc>
          <w:tcPr>
            <w:tcW w:w="1305" w:type="pct"/>
            <w:noWrap w:val="0"/>
            <w:vAlign w:val="center"/>
          </w:tcPr>
          <w:p w14:paraId="35DD199D">
            <w:pPr>
              <w:pageBreakBefore w:val="0"/>
              <w:kinsoku/>
              <w:overflowPunct/>
              <w:topLinePunct w:val="0"/>
              <w:autoSpaceDE w:val="0"/>
              <w:autoSpaceDN w:val="0"/>
              <w:bidi w:val="0"/>
              <w:adjustRightInd w:val="0"/>
              <w:snapToGrid w:val="0"/>
              <w:spacing w:line="360" w:lineRule="auto"/>
              <w:jc w:val="center"/>
              <w:rPr>
                <w:rFonts w:hint="eastAsia" w:ascii="宋体" w:hAnsi="宋体"/>
                <w:kern w:val="0"/>
                <w:sz w:val="21"/>
                <w:szCs w:val="21"/>
                <w:highlight w:val="none"/>
                <w:lang w:eastAsia="zh-CN"/>
              </w:rPr>
            </w:pPr>
          </w:p>
        </w:tc>
        <w:tc>
          <w:tcPr>
            <w:tcW w:w="313" w:type="pct"/>
            <w:noWrap w:val="0"/>
            <w:vAlign w:val="center"/>
          </w:tcPr>
          <w:p w14:paraId="0FD8B5A6">
            <w:pPr>
              <w:pageBreakBefore w:val="0"/>
              <w:kinsoku/>
              <w:overflowPunct/>
              <w:topLinePunct w:val="0"/>
              <w:bidi w:val="0"/>
              <w:spacing w:line="360" w:lineRule="auto"/>
              <w:rPr>
                <w:sz w:val="21"/>
                <w:szCs w:val="21"/>
                <w:highlight w:val="none"/>
              </w:rPr>
            </w:pPr>
          </w:p>
        </w:tc>
      </w:tr>
    </w:tbl>
    <w:p w14:paraId="431DDCB1">
      <w:pPr>
        <w:pStyle w:val="2"/>
        <w:pageBreakBefore w:val="0"/>
        <w:kinsoku/>
        <w:overflowPunct/>
        <w:topLinePunct w:val="0"/>
        <w:bidi w:val="0"/>
        <w:spacing w:line="360" w:lineRule="auto"/>
        <w:rPr>
          <w:highlight w:val="none"/>
        </w:rPr>
      </w:pPr>
    </w:p>
    <w:p w14:paraId="3E24F5D8">
      <w:pPr>
        <w:pageBreakBefore w:val="0"/>
        <w:kinsoku/>
        <w:overflowPunct/>
        <w:topLinePunct w:val="0"/>
        <w:bidi w:val="0"/>
        <w:spacing w:line="360" w:lineRule="auto"/>
        <w:ind w:firstLine="420" w:firstLineChars="200"/>
        <w:rPr>
          <w:rFonts w:ascii="宋体" w:hAnsi="宋体" w:cs="宋体"/>
          <w:kern w:val="0"/>
          <w:szCs w:val="21"/>
          <w:highlight w:val="none"/>
        </w:rPr>
      </w:pPr>
    </w:p>
    <w:p w14:paraId="675993DA">
      <w:pPr>
        <w:pageBreakBefore w:val="0"/>
        <w:kinsoku/>
        <w:overflowPunct/>
        <w:topLinePunct w:val="0"/>
        <w:bidi w:val="0"/>
        <w:spacing w:line="360" w:lineRule="auto"/>
        <w:ind w:firstLine="420" w:firstLineChars="200"/>
        <w:rPr>
          <w:rFonts w:ascii="宋体" w:hAnsi="宋体" w:cs="宋体"/>
          <w:kern w:val="0"/>
          <w:szCs w:val="21"/>
          <w:highlight w:val="none"/>
        </w:rPr>
      </w:pPr>
    </w:p>
    <w:p w14:paraId="6AED96E7">
      <w:pPr>
        <w:pageBreakBefore w:val="0"/>
        <w:kinsoku/>
        <w:overflowPunct/>
        <w:topLinePunct w:val="0"/>
        <w:bidi w:val="0"/>
        <w:spacing w:line="360" w:lineRule="auto"/>
        <w:ind w:firstLine="420" w:firstLineChars="200"/>
        <w:rPr>
          <w:rFonts w:ascii="宋体" w:hAnsi="宋体" w:cs="宋体"/>
          <w:kern w:val="0"/>
          <w:szCs w:val="21"/>
          <w:highlight w:val="none"/>
        </w:rPr>
      </w:pPr>
    </w:p>
    <w:p w14:paraId="5F273A3C">
      <w:pPr>
        <w:pageBreakBefore w:val="0"/>
        <w:kinsoku/>
        <w:overflowPunct/>
        <w:topLinePunct w:val="0"/>
        <w:bidi w:val="0"/>
        <w:spacing w:line="360" w:lineRule="auto"/>
        <w:ind w:firstLine="420" w:firstLineChars="200"/>
        <w:rPr>
          <w:rFonts w:ascii="宋体" w:hAnsi="宋体" w:cs="宋体"/>
          <w:kern w:val="0"/>
          <w:szCs w:val="21"/>
          <w:highlight w:val="none"/>
        </w:rPr>
      </w:pPr>
    </w:p>
    <w:p w14:paraId="60B1574D">
      <w:pPr>
        <w:pageBreakBefore w:val="0"/>
        <w:kinsoku/>
        <w:overflowPunct/>
        <w:topLinePunct w:val="0"/>
        <w:bidi w:val="0"/>
        <w:spacing w:line="360" w:lineRule="auto"/>
        <w:ind w:firstLine="420" w:firstLineChars="200"/>
        <w:rPr>
          <w:rFonts w:ascii="宋体" w:hAnsi="宋体" w:cs="宋体"/>
          <w:kern w:val="0"/>
          <w:szCs w:val="21"/>
          <w:highlight w:val="none"/>
        </w:rPr>
      </w:pPr>
    </w:p>
    <w:p w14:paraId="0E12B8D7">
      <w:pPr>
        <w:pageBreakBefore w:val="0"/>
        <w:kinsoku/>
        <w:overflowPunct/>
        <w:topLinePunct w:val="0"/>
        <w:bidi w:val="0"/>
        <w:spacing w:line="360" w:lineRule="auto"/>
        <w:ind w:firstLine="420" w:firstLineChars="200"/>
        <w:rPr>
          <w:rFonts w:ascii="宋体" w:hAnsi="宋体" w:cs="宋体"/>
          <w:kern w:val="0"/>
          <w:szCs w:val="21"/>
          <w:highlight w:val="none"/>
        </w:rPr>
      </w:pPr>
    </w:p>
    <w:p w14:paraId="243BE888">
      <w:pPr>
        <w:pageBreakBefore w:val="0"/>
        <w:kinsoku/>
        <w:overflowPunct/>
        <w:topLinePunct w:val="0"/>
        <w:bidi w:val="0"/>
        <w:spacing w:line="360" w:lineRule="auto"/>
        <w:ind w:firstLine="420" w:firstLineChars="200"/>
        <w:rPr>
          <w:rFonts w:ascii="宋体" w:hAnsi="宋体" w:cs="宋体"/>
          <w:kern w:val="0"/>
          <w:szCs w:val="21"/>
          <w:highlight w:val="none"/>
        </w:rPr>
      </w:pPr>
    </w:p>
    <w:p w14:paraId="7E141121">
      <w:pPr>
        <w:pageBreakBefore w:val="0"/>
        <w:kinsoku/>
        <w:overflowPunct/>
        <w:topLinePunct w:val="0"/>
        <w:bidi w:val="0"/>
        <w:spacing w:line="360" w:lineRule="auto"/>
        <w:ind w:firstLine="420" w:firstLineChars="200"/>
        <w:rPr>
          <w:rFonts w:ascii="宋体" w:hAnsi="宋体" w:cs="宋体"/>
          <w:kern w:val="0"/>
          <w:szCs w:val="21"/>
          <w:highlight w:val="none"/>
        </w:rPr>
      </w:pPr>
    </w:p>
    <w:p w14:paraId="4993B1FA">
      <w:pPr>
        <w:pageBreakBefore w:val="0"/>
        <w:kinsoku/>
        <w:overflowPunct/>
        <w:topLinePunct w:val="0"/>
        <w:bidi w:val="0"/>
        <w:spacing w:line="360" w:lineRule="auto"/>
        <w:jc w:val="left"/>
        <w:rPr>
          <w:rFonts w:ascii="宋体" w:hAnsi="宋体" w:cs="宋体"/>
          <w:szCs w:val="21"/>
          <w:highlight w:val="none"/>
        </w:rPr>
      </w:pPr>
      <w:r>
        <w:rPr>
          <w:rFonts w:hint="eastAsia" w:ascii="宋体" w:hAnsi="宋体" w:cs="宋体"/>
          <w:szCs w:val="21"/>
          <w:highlight w:val="none"/>
        </w:rPr>
        <w:br w:type="page"/>
      </w:r>
      <w:bookmarkStart w:id="360" w:name="_Toc33183802"/>
    </w:p>
    <w:p w14:paraId="2F5D0B80">
      <w:pPr>
        <w:keepNext/>
        <w:keepLines/>
        <w:pageBreakBefore w:val="0"/>
        <w:kinsoku/>
        <w:overflowPunct/>
        <w:topLinePunct w:val="0"/>
        <w:bidi w:val="0"/>
        <w:snapToGrid w:val="0"/>
        <w:spacing w:line="360" w:lineRule="auto"/>
        <w:outlineLvl w:val="3"/>
        <w:rPr>
          <w:rFonts w:ascii="宋体" w:hAnsi="宋体" w:cs="宋体"/>
          <w:kern w:val="0"/>
          <w:sz w:val="24"/>
          <w:szCs w:val="24"/>
          <w:highlight w:val="none"/>
        </w:rPr>
      </w:pPr>
      <w:r>
        <w:rPr>
          <w:rFonts w:hint="eastAsia" w:ascii="宋体" w:hAnsi="宋体" w:cs="宋体"/>
          <w:kern w:val="0"/>
          <w:szCs w:val="21"/>
          <w:highlight w:val="none"/>
        </w:rPr>
        <w:t>附件</w:t>
      </w:r>
      <w:bookmarkEnd w:id="360"/>
      <w:r>
        <w:rPr>
          <w:rFonts w:hint="eastAsia" w:ascii="宋体" w:hAnsi="宋体" w:cs="宋体"/>
          <w:kern w:val="0"/>
          <w:szCs w:val="21"/>
          <w:highlight w:val="none"/>
          <w:lang w:val="en-US" w:eastAsia="zh-CN"/>
        </w:rPr>
        <w:t>2：</w:t>
      </w:r>
    </w:p>
    <w:p w14:paraId="71145522">
      <w:pPr>
        <w:pageBreakBefore w:val="0"/>
        <w:kinsoku/>
        <w:overflowPunct/>
        <w:topLinePunct w:val="0"/>
        <w:bidi w:val="0"/>
        <w:snapToGrid w:val="0"/>
        <w:spacing w:line="360" w:lineRule="auto"/>
        <w:rPr>
          <w:rFonts w:ascii="宋体" w:hAnsi="宋体" w:cs="宋体"/>
          <w:kern w:val="0"/>
          <w:sz w:val="24"/>
          <w:szCs w:val="24"/>
          <w:highlight w:val="none"/>
        </w:rPr>
      </w:pPr>
    </w:p>
    <w:p w14:paraId="17B93D49">
      <w:pPr>
        <w:pageBreakBefore w:val="0"/>
        <w:kinsoku/>
        <w:overflowPunct/>
        <w:topLinePunct w:val="0"/>
        <w:bidi w:val="0"/>
        <w:snapToGri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重庆市水利工程建设安全生产合同</w:t>
      </w:r>
    </w:p>
    <w:p w14:paraId="0C8067D5">
      <w:pPr>
        <w:pageBreakBefore w:val="0"/>
        <w:tabs>
          <w:tab w:val="left" w:pos="6474"/>
        </w:tabs>
        <w:kinsoku/>
        <w:overflowPunct/>
        <w:topLinePunct w:val="0"/>
        <w:bidi w:val="0"/>
        <w:snapToGrid w:val="0"/>
        <w:spacing w:line="360" w:lineRule="auto"/>
        <w:ind w:firstLine="312" w:firstLineChars="149"/>
        <w:jc w:val="left"/>
        <w:rPr>
          <w:rFonts w:ascii="宋体" w:hAnsi="宋体" w:cs="宋体"/>
          <w:kern w:val="0"/>
          <w:szCs w:val="21"/>
          <w:highlight w:val="none"/>
        </w:rPr>
      </w:pPr>
      <w:r>
        <w:rPr>
          <w:rFonts w:hint="eastAsia" w:ascii="宋体" w:hAnsi="宋体" w:cs="宋体"/>
          <w:kern w:val="0"/>
          <w:szCs w:val="21"/>
          <w:highlight w:val="none"/>
        </w:rPr>
        <w:tab/>
      </w:r>
    </w:p>
    <w:p w14:paraId="424903BE">
      <w:pPr>
        <w:pageBreakBefore w:val="0"/>
        <w:kinsoku/>
        <w:overflowPunct/>
        <w:topLinePunct w:val="0"/>
        <w:bidi w:val="0"/>
        <w:snapToGrid w:val="0"/>
        <w:spacing w:line="360" w:lineRule="auto"/>
        <w:rPr>
          <w:rFonts w:ascii="宋体" w:hAnsi="宋体" w:cs="宋体"/>
          <w:kern w:val="0"/>
          <w:szCs w:val="21"/>
          <w:highlight w:val="none"/>
        </w:rPr>
      </w:pPr>
      <w:r>
        <w:rPr>
          <w:rFonts w:hint="eastAsia" w:ascii="宋体" w:hAnsi="宋体" w:cs="宋体"/>
          <w:kern w:val="0"/>
          <w:szCs w:val="21"/>
          <w:highlight w:val="none"/>
        </w:rPr>
        <w:t>施工工程合同编号：</w:t>
      </w:r>
      <w:r>
        <w:rPr>
          <w:rFonts w:hint="eastAsia" w:ascii="宋体" w:hAnsi="宋体" w:cs="宋体"/>
          <w:kern w:val="0"/>
          <w:szCs w:val="21"/>
          <w:highlight w:val="none"/>
          <w:u w:val="single"/>
        </w:rPr>
        <w:t xml:space="preserve">                     </w:t>
      </w:r>
    </w:p>
    <w:p w14:paraId="35EEB9A0">
      <w:pPr>
        <w:pageBreakBefore w:val="0"/>
        <w:kinsoku/>
        <w:overflowPunct/>
        <w:topLinePunct w:val="0"/>
        <w:bidi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安全生产合同编号：</w:t>
      </w:r>
      <w:r>
        <w:rPr>
          <w:rFonts w:hint="eastAsia" w:ascii="宋体" w:hAnsi="宋体" w:cs="宋体"/>
          <w:kern w:val="0"/>
          <w:szCs w:val="21"/>
          <w:highlight w:val="none"/>
          <w:u w:val="single"/>
        </w:rPr>
        <w:t xml:space="preserve">                     </w:t>
      </w:r>
    </w:p>
    <w:p w14:paraId="220CDD67">
      <w:pPr>
        <w:pageBreakBefore w:val="0"/>
        <w:kinsoku/>
        <w:overflowPunct/>
        <w:topLinePunct w:val="0"/>
        <w:bidi w:val="0"/>
        <w:snapToGrid w:val="0"/>
        <w:spacing w:line="360" w:lineRule="auto"/>
        <w:rPr>
          <w:rFonts w:hint="eastAsia" w:ascii="宋体" w:hAnsi="宋体"/>
          <w:bCs/>
          <w:snapToGrid w:val="0"/>
          <w:kern w:val="0"/>
          <w:sz w:val="21"/>
          <w:szCs w:val="21"/>
          <w:u w:val="single"/>
          <w:lang w:val="zh-CN"/>
        </w:rPr>
      </w:pPr>
      <w:r>
        <w:rPr>
          <w:rFonts w:hint="eastAsia" w:ascii="宋体" w:hAnsi="宋体" w:cs="宋体"/>
          <w:kern w:val="0"/>
          <w:szCs w:val="21"/>
          <w:highlight w:val="none"/>
        </w:rPr>
        <w:t>甲方（建设工程的项目法人）：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 xml:space="preserve">  </w:t>
      </w:r>
      <w:r>
        <w:rPr>
          <w:rFonts w:hint="eastAsia" w:ascii="宋体" w:hAnsi="宋体"/>
          <w:bCs/>
          <w:snapToGrid w:val="0"/>
          <w:kern w:val="0"/>
          <w:sz w:val="21"/>
          <w:szCs w:val="21"/>
          <w:u w:val="single"/>
          <w:lang w:val="zh-CN"/>
        </w:rPr>
        <w:t>重庆市南川区泽禹供水有限责任公司</w:t>
      </w:r>
    </w:p>
    <w:p w14:paraId="43E0D37D">
      <w:pPr>
        <w:pageBreakBefore w:val="0"/>
        <w:kinsoku/>
        <w:overflowPunct/>
        <w:topLinePunct w:val="0"/>
        <w:bidi w:val="0"/>
        <w:snapToGrid w:val="0"/>
        <w:spacing w:line="360" w:lineRule="auto"/>
        <w:rPr>
          <w:rFonts w:ascii="宋体" w:hAnsi="宋体" w:cs="宋体"/>
          <w:kern w:val="0"/>
          <w:szCs w:val="21"/>
          <w:highlight w:val="none"/>
        </w:rPr>
      </w:pPr>
      <w:r>
        <w:rPr>
          <w:rFonts w:hint="eastAsia" w:ascii="宋体" w:hAnsi="宋体" w:cs="宋体"/>
          <w:kern w:val="0"/>
          <w:szCs w:val="21"/>
          <w:highlight w:val="none"/>
        </w:rPr>
        <w:t>乙方（中标单位即施工单位）：</w:t>
      </w:r>
      <w:r>
        <w:rPr>
          <w:rFonts w:hint="eastAsia" w:ascii="宋体" w:hAnsi="宋体" w:cs="宋体"/>
          <w:kern w:val="0"/>
          <w:szCs w:val="21"/>
          <w:highlight w:val="none"/>
          <w:u w:val="single"/>
        </w:rPr>
        <w:t xml:space="preserve"> </w:t>
      </w:r>
      <w:r>
        <w:rPr>
          <w:rStyle w:val="10"/>
          <w:rFonts w:ascii="宋体" w:hAnsi="宋体"/>
          <w:color w:val="auto"/>
          <w:kern w:val="0"/>
          <w:szCs w:val="21"/>
          <w:u w:val="single"/>
        </w:rPr>
        <w:t xml:space="preserve">  </w:t>
      </w:r>
      <w:r>
        <w:rPr>
          <w:rStyle w:val="10"/>
          <w:rFonts w:hint="eastAsia" w:ascii="宋体" w:hAnsi="宋体"/>
          <w:color w:val="auto"/>
          <w:kern w:val="0"/>
          <w:szCs w:val="21"/>
          <w:u w:val="single"/>
          <w:lang w:val="en-US" w:eastAsia="zh-CN"/>
        </w:rPr>
        <w:t xml:space="preserve">                              </w:t>
      </w:r>
      <w:r>
        <w:rPr>
          <w:rFonts w:hint="eastAsia" w:ascii="宋体" w:hAnsi="宋体" w:cs="宋体"/>
          <w:kern w:val="0"/>
          <w:szCs w:val="21"/>
          <w:highlight w:val="none"/>
          <w:u w:val="single"/>
          <w:lang w:val="en-US" w:eastAsia="zh-CN"/>
        </w:rPr>
        <w:t xml:space="preserve">  </w:t>
      </w:r>
    </w:p>
    <w:p w14:paraId="630D049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为在工程实施过程中营造安全、高效的施工环境，切实搞好项目安全管理工作，根据《中华人民共和国民法典》、《中华人民共和国安全生产法》、《建设工程安全生产管理条例》以及《水利工程建设安全生产管理办法》等法律法规以及相关政策的规定，经甲、乙双方协商一致，特制定本合同。</w:t>
      </w:r>
    </w:p>
    <w:p w14:paraId="542CCDE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一、项目工程名称：</w:t>
      </w:r>
      <w:r>
        <w:rPr>
          <w:rFonts w:hint="eastAsia" w:ascii="宋体" w:hAnsi="宋体" w:cs="宋体"/>
          <w:kern w:val="0"/>
          <w:szCs w:val="21"/>
          <w:highlight w:val="none"/>
          <w:u w:val="single"/>
        </w:rPr>
        <w:t xml:space="preserve"> </w:t>
      </w:r>
      <w:r>
        <w:rPr>
          <w:rFonts w:hint="eastAsia"/>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南川区水江镇、楠竹山镇、中桥乡抗旱水源工程</w:t>
      </w:r>
      <w:r>
        <w:rPr>
          <w:rFonts w:hint="eastAsia"/>
          <w:szCs w:val="21"/>
          <w:highlight w:val="none"/>
          <w:u w:val="single"/>
          <w:lang w:val="en-US" w:eastAsia="zh-CN"/>
        </w:rPr>
        <w:t xml:space="preserve">    </w:t>
      </w:r>
      <w:r>
        <w:rPr>
          <w:rFonts w:hint="eastAsia" w:ascii="宋体" w:hAnsi="宋体" w:cs="宋体"/>
          <w:kern w:val="0"/>
          <w:szCs w:val="21"/>
          <w:highlight w:val="none"/>
          <w:u w:val="single"/>
        </w:rPr>
        <w:t xml:space="preserve"> </w:t>
      </w:r>
    </w:p>
    <w:p w14:paraId="5981D68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二、项目所在地：</w:t>
      </w:r>
      <w:r>
        <w:rPr>
          <w:rFonts w:hint="eastAsia" w:ascii="宋体" w:hAnsi="宋体" w:cs="宋体"/>
          <w:kern w:val="0"/>
          <w:szCs w:val="21"/>
          <w:highlight w:val="none"/>
          <w:u w:val="single"/>
        </w:rPr>
        <w:t xml:space="preserve"> </w:t>
      </w:r>
      <w:r>
        <w:rPr>
          <w:rFonts w:hint="eastAsia"/>
          <w:szCs w:val="21"/>
          <w:highlight w:val="none"/>
          <w:u w:val="single"/>
          <w:lang w:val="en-US" w:eastAsia="zh-CN"/>
        </w:rPr>
        <w:t xml:space="preserve">   </w:t>
      </w:r>
      <w:r>
        <w:rPr>
          <w:rFonts w:hint="eastAsia" w:ascii="宋体" w:hAnsi="宋体" w:eastAsia="宋体" w:cs="Times New Roman"/>
          <w:b w:val="0"/>
          <w:bCs/>
          <w:snapToGrid w:val="0"/>
          <w:color w:val="auto"/>
          <w:spacing w:val="0"/>
          <w:w w:val="100"/>
          <w:kern w:val="0"/>
          <w:sz w:val="21"/>
          <w:szCs w:val="21"/>
          <w:highlight w:val="none"/>
          <w:u w:val="single"/>
          <w:lang w:val="en-US" w:eastAsia="zh-CN" w:bidi="ar-SA"/>
        </w:rPr>
        <w:t>南川区</w:t>
      </w:r>
      <w:r>
        <w:rPr>
          <w:rFonts w:hint="eastAsia" w:ascii="宋体" w:hAnsi="宋体" w:cs="Times New Roman"/>
          <w:b w:val="0"/>
          <w:bCs/>
          <w:snapToGrid w:val="0"/>
          <w:color w:val="auto"/>
          <w:spacing w:val="0"/>
          <w:w w:val="100"/>
          <w:kern w:val="0"/>
          <w:sz w:val="21"/>
          <w:szCs w:val="21"/>
          <w:highlight w:val="none"/>
          <w:u w:val="single"/>
          <w:lang w:val="en-US" w:eastAsia="zh-CN" w:bidi="ar-SA"/>
        </w:rPr>
        <w:t>水江镇长青社区</w:t>
      </w:r>
      <w:r>
        <w:rPr>
          <w:rFonts w:hint="eastAsia"/>
          <w:szCs w:val="21"/>
          <w:highlight w:val="none"/>
          <w:u w:val="single"/>
          <w:lang w:val="en-US" w:eastAsia="zh-CN"/>
        </w:rPr>
        <w:t xml:space="preserve">    </w:t>
      </w:r>
      <w:r>
        <w:rPr>
          <w:rFonts w:hint="eastAsia" w:ascii="宋体" w:hAnsi="宋体" w:cs="宋体"/>
          <w:kern w:val="0"/>
          <w:szCs w:val="21"/>
          <w:highlight w:val="none"/>
          <w:u w:val="single"/>
        </w:rPr>
        <w:t xml:space="preserve"> </w:t>
      </w:r>
    </w:p>
    <w:p w14:paraId="2DC6C520">
      <w:pPr>
        <w:keepNext w:val="0"/>
        <w:keepLines w:val="0"/>
        <w:pageBreakBefore w:val="0"/>
        <w:widowControl/>
        <w:kinsoku/>
        <w:wordWrap/>
        <w:overflowPunct/>
        <w:topLinePunct w:val="0"/>
        <w:autoSpaceDE/>
        <w:autoSpaceDN/>
        <w:bidi w:val="0"/>
        <w:adjustRightInd/>
        <w:spacing w:line="360" w:lineRule="auto"/>
        <w:ind w:firstLine="420" w:firstLineChars="200"/>
        <w:textAlignment w:val="baseline"/>
        <w:rPr>
          <w:rFonts w:hint="eastAsia" w:ascii="宋体" w:hAnsi="宋体" w:eastAsia="宋体" w:cs="Times New Roman"/>
          <w:b w:val="0"/>
          <w:bCs/>
          <w:snapToGrid w:val="0"/>
          <w:color w:val="auto"/>
          <w:spacing w:val="0"/>
          <w:w w:val="100"/>
          <w:kern w:val="0"/>
          <w:sz w:val="21"/>
          <w:szCs w:val="21"/>
          <w:highlight w:val="none"/>
          <w:u w:val="single"/>
          <w:lang w:val="en-US" w:eastAsia="zh-CN" w:bidi="ar-SA"/>
        </w:rPr>
      </w:pPr>
      <w:r>
        <w:rPr>
          <w:rFonts w:hint="eastAsia" w:ascii="宋体" w:hAnsi="宋体" w:cs="宋体"/>
          <w:kern w:val="0"/>
          <w:szCs w:val="21"/>
          <w:highlight w:val="none"/>
        </w:rPr>
        <w:t>二、工程内容：</w:t>
      </w:r>
      <w:r>
        <w:rPr>
          <w:rFonts w:hint="eastAsia" w:ascii="宋体" w:hAnsi="宋体" w:eastAsia="宋体" w:cs="Times New Roman"/>
          <w:b w:val="0"/>
          <w:bCs/>
          <w:snapToGrid w:val="0"/>
          <w:color w:val="auto"/>
          <w:spacing w:val="0"/>
          <w:w w:val="100"/>
          <w:kern w:val="0"/>
          <w:sz w:val="21"/>
          <w:szCs w:val="21"/>
          <w:highlight w:val="none"/>
          <w:u w:val="single"/>
          <w:lang w:val="en-US" w:eastAsia="zh-CN" w:bidi="ar-SA"/>
        </w:rPr>
        <w:t xml:space="preserve"> </w:t>
      </w:r>
      <w:r>
        <w:rPr>
          <w:rFonts w:hint="default" w:ascii="宋体" w:hAnsi="宋体" w:eastAsia="宋体" w:cs="Times New Roman"/>
          <w:b w:val="0"/>
          <w:bCs/>
          <w:snapToGrid w:val="0"/>
          <w:color w:val="auto"/>
          <w:spacing w:val="0"/>
          <w:w w:val="100"/>
          <w:kern w:val="0"/>
          <w:sz w:val="21"/>
          <w:szCs w:val="21"/>
          <w:highlight w:val="none"/>
          <w:u w:val="single"/>
          <w:lang w:val="en-US" w:eastAsia="zh-CN" w:bidi="ar-SA"/>
        </w:rPr>
        <w:t>安装各类管道17393m，安装各类阀门12个，安装水表180个，砖砌阀门及水表井41座等配套附属设施；该工程中所需的DN15远传水表由甲方提供外，其他材料全部纳入乙方工程费用中，由乙方提供</w:t>
      </w:r>
      <w:r>
        <w:rPr>
          <w:rFonts w:hint="default" w:ascii="宋体" w:hAnsi="宋体" w:eastAsia="宋体" w:cs="Times New Roman"/>
          <w:b w:val="0"/>
          <w:bCs/>
          <w:snapToGrid w:val="0"/>
          <w:color w:val="auto"/>
          <w:spacing w:val="0"/>
          <w:w w:val="100"/>
          <w:kern w:val="0"/>
          <w:sz w:val="21"/>
          <w:szCs w:val="21"/>
          <w:highlight w:val="none"/>
          <w:u w:val="none"/>
          <w:lang w:val="en-US" w:eastAsia="zh-CN" w:bidi="ar-SA"/>
        </w:rPr>
        <w:t>。</w:t>
      </w:r>
    </w:p>
    <w:p w14:paraId="0D1FDA4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snapToGrid w:val="0"/>
          <w:color w:val="auto"/>
          <w:kern w:val="0"/>
          <w:sz w:val="21"/>
          <w:szCs w:val="21"/>
          <w:highlight w:val="none"/>
        </w:rPr>
      </w:pPr>
      <w:r>
        <w:rPr>
          <w:rFonts w:hint="eastAsia" w:ascii="宋体" w:hAnsi="宋体" w:cs="宋体"/>
          <w:kern w:val="0"/>
          <w:szCs w:val="21"/>
          <w:highlight w:val="none"/>
        </w:rPr>
        <w:t>三、合同履行期限：</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lang w:val="en-US" w:eastAsia="zh-CN"/>
        </w:rPr>
        <w:t>日历天</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eastAsia="zh-CN"/>
        </w:rPr>
        <w:t>，</w:t>
      </w:r>
      <w:r>
        <w:rPr>
          <w:rFonts w:hint="eastAsia" w:ascii="宋体" w:hAnsi="宋体" w:eastAsia="宋体" w:cs="宋体"/>
          <w:kern w:val="0"/>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缺陷责任期为 </w:t>
      </w:r>
      <w:r>
        <w:rPr>
          <w:rFonts w:hint="eastAsia" w:ascii="宋体" w:hAnsi="宋体" w:eastAsia="宋体" w:cs="宋体"/>
          <w:snapToGrid w:val="0"/>
          <w:color w:val="auto"/>
          <w:kern w:val="0"/>
          <w:sz w:val="21"/>
          <w:szCs w:val="21"/>
          <w:highlight w:val="none"/>
          <w:u w:val="single"/>
          <w:lang w:val="en-US" w:eastAsia="zh-CN"/>
        </w:rPr>
        <w:t>24</w:t>
      </w:r>
      <w:r>
        <w:rPr>
          <w:rFonts w:hint="eastAsia" w:ascii="宋体" w:hAnsi="宋体" w:eastAsia="宋体" w:cs="宋体"/>
          <w:snapToGrid w:val="0"/>
          <w:color w:val="auto"/>
          <w:kern w:val="0"/>
          <w:sz w:val="21"/>
          <w:szCs w:val="21"/>
          <w:highlight w:val="none"/>
          <w:u w:val="single"/>
        </w:rPr>
        <w:t>个月</w:t>
      </w:r>
      <w:r>
        <w:rPr>
          <w:rFonts w:hint="eastAsia" w:ascii="宋体" w:hAnsi="宋体" w:eastAsia="宋体" w:cs="宋体"/>
          <w:snapToGrid w:val="0"/>
          <w:color w:val="auto"/>
          <w:kern w:val="0"/>
          <w:sz w:val="21"/>
          <w:szCs w:val="21"/>
          <w:highlight w:val="none"/>
        </w:rPr>
        <w:t>。</w:t>
      </w:r>
    </w:p>
    <w:p w14:paraId="0459A96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default" w:ascii="宋体" w:hAnsi="宋体" w:cs="宋体"/>
          <w:kern w:val="0"/>
          <w:szCs w:val="21"/>
          <w:highlight w:val="none"/>
          <w:lang w:val="en-US"/>
        </w:rPr>
      </w:pPr>
      <w:r>
        <w:rPr>
          <w:rFonts w:hint="eastAsia" w:ascii="宋体" w:hAnsi="宋体" w:cs="宋体"/>
          <w:kern w:val="0"/>
          <w:szCs w:val="21"/>
          <w:highlight w:val="none"/>
        </w:rPr>
        <w:t>四、本工程主要危险源：</w:t>
      </w:r>
      <w:r>
        <w:rPr>
          <w:rFonts w:hint="eastAsia" w:ascii="宋体" w:hAnsi="宋体" w:eastAsia="宋体" w:cs="宋体"/>
          <w:snapToGrid w:val="0"/>
          <w:color w:val="auto"/>
          <w:kern w:val="0"/>
          <w:sz w:val="21"/>
          <w:szCs w:val="21"/>
          <w:highlight w:val="none"/>
          <w:u w:val="single"/>
          <w:lang w:val="en-US" w:eastAsia="zh-CN"/>
        </w:rPr>
        <w:t>触电事故、坍塌事故、交通事故等危险源</w:t>
      </w:r>
      <w:r>
        <w:rPr>
          <w:rFonts w:hint="eastAsia" w:ascii="宋体" w:hAnsi="宋体" w:cs="宋体"/>
          <w:color w:val="auto"/>
          <w:kern w:val="32"/>
          <w:szCs w:val="21"/>
          <w:highlight w:val="none"/>
          <w:u w:val="none"/>
          <w:lang w:val="en-US" w:eastAsia="zh-CN"/>
        </w:rPr>
        <w:t>。</w:t>
      </w:r>
    </w:p>
    <w:p w14:paraId="104C466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五、双方的权利义务</w:t>
      </w:r>
    </w:p>
    <w:p w14:paraId="7AB794A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（一） 甲方的权利义务</w:t>
      </w:r>
    </w:p>
    <w:p w14:paraId="41BF8B8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14:paraId="5A2122B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2．甲方不得调减和挪用中标价中所确定的水利工程建设有关安全作业环境及安全施工措施等所需费用。</w:t>
      </w:r>
    </w:p>
    <w:p w14:paraId="20CF08E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甲方应督促乙方严格执行财政部、国家安全生产监督管理总局《关于印发高危行业企业安全生产费用财务管理暂行办法的通知》（财企〔2006〕478号）和重庆市水利局、市财政局、市发改委和市安监局《关于落实水利工程建设安全生产费用及使用管理问题的通知》（渝水基〔2009〕28号）的规定。</w:t>
      </w:r>
    </w:p>
    <w:p w14:paraId="45B551A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4．甲方不得对乙方提出不符合建设工程安全生产法律、法规和强制性标准规定的要求，不得压缩合同约定的工期。</w:t>
      </w:r>
    </w:p>
    <w:p w14:paraId="4ADB751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5．甲方应编制保证安全生产的措施方案，并在规定时间内报有管辖权的水行政主管部门备案。</w:t>
      </w:r>
    </w:p>
    <w:p w14:paraId="719890A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6．在本水利工程开工前，甲方应当就落实保证安全生产的措施进行全面系统的布置，明确施工单位的安全生产责任。</w:t>
      </w:r>
    </w:p>
    <w:p w14:paraId="0A7F11A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甲方应当在拆除或者爆破工程施工15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14:paraId="1893721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8．甲方有权检查乙方执行有关安全生产方面的工作规定，对乙方不符合安全、文明施工要求的行为进行制止、纠正并发出安全整改通知书，直至清退出场。</w:t>
      </w:r>
    </w:p>
    <w:p w14:paraId="1439C08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9．甲方应确保安全设施与主体工程建设“三同时”的原则，即：同时设计，同时施工，同时投入使用。 </w:t>
      </w:r>
    </w:p>
    <w:p w14:paraId="0FE1C66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10．甲方不得明示或者暗示乙方购买、租赁、使用不符合安全施工要求的安全防护用具、机械设备、施工机具及配件、消防设施和器材。</w:t>
      </w:r>
    </w:p>
    <w:p w14:paraId="1A9F3DC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11．甲方应在事故发生后，按照事故处理的相关程序上报有关部门，不得延误。</w:t>
      </w:r>
    </w:p>
    <w:p w14:paraId="338BBA7A">
      <w:pPr>
        <w:pageBreakBefore w:val="0"/>
        <w:kinsoku/>
        <w:overflowPunct/>
        <w:topLinePunct w:val="0"/>
        <w:bidi w:val="0"/>
        <w:snapToGrid w:val="0"/>
        <w:spacing w:line="360" w:lineRule="auto"/>
        <w:ind w:firstLine="420" w:firstLineChars="200"/>
        <w:rPr>
          <w:rFonts w:ascii="宋体" w:hAnsi="宋体" w:cs="宋体"/>
          <w:kern w:val="0"/>
          <w:szCs w:val="21"/>
          <w:highlight w:val="none"/>
        </w:rPr>
      </w:pPr>
      <w:bookmarkStart w:id="361" w:name="_Toc33183803"/>
      <w:r>
        <w:rPr>
          <w:rFonts w:hint="eastAsia" w:ascii="宋体" w:hAnsi="宋体" w:cs="宋体"/>
          <w:kern w:val="0"/>
          <w:szCs w:val="21"/>
          <w:highlight w:val="none"/>
        </w:rPr>
        <w:t>（二）乙方的权利义务</w:t>
      </w:r>
      <w:bookmarkEnd w:id="361"/>
    </w:p>
    <w:p w14:paraId="3E94897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1．乙方应严格执行安全生产法律法规，水行政主管部门的规定，按照工程建设规范要求，特别是强制性规范对安全施工的各项规定，依法履行安全生产管理职责和义务。</w:t>
      </w:r>
    </w:p>
    <w:p w14:paraId="486CFEF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2．乙方应承诺本单位依法取得符合本工程要求的《安全生产许可证》；本单位的主要负责人、拟投入项目负责人以及专职安全生产管理人员具有合法有效的安全资质证书。</w:t>
      </w:r>
    </w:p>
    <w:p w14:paraId="3322126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为保证施工现场安全管理体系有效运行，乙方应当设立专职的安全生产管理机构，并配备专职安全生产管理人员。施工现场应当按照每2000万元施工合同额配备1名的比例，配备专职安全生产管理人员，每个标段不足2000万元的至少配备1名；建立健全安全生产规章制度和操作规程，对工程建设进行经常性的安全检查，并做好安全检查记录。</w:t>
      </w:r>
    </w:p>
    <w:p w14:paraId="46772F4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4．乙方应按照财政部安全监督总局关于印发《企业安全生产费用提取和使用管理办法》的通知（财企</w:t>
      </w:r>
      <w:r>
        <w:rPr>
          <w:rFonts w:hint="eastAsia" w:ascii="宋体" w:hAnsi="宋体" w:cs="宋体"/>
          <w:kern w:val="0"/>
          <w:szCs w:val="21"/>
          <w:highlight w:val="none"/>
          <w:lang w:eastAsia="zh-CN"/>
        </w:rPr>
        <w:t>〔</w:t>
      </w:r>
      <w:r>
        <w:rPr>
          <w:rFonts w:hint="eastAsia" w:ascii="宋体" w:hAnsi="宋体" w:cs="宋体"/>
          <w:kern w:val="0"/>
          <w:szCs w:val="21"/>
          <w:highlight w:val="none"/>
        </w:rPr>
        <w:t>2012</w:t>
      </w:r>
      <w:r>
        <w:rPr>
          <w:rFonts w:hint="eastAsia" w:ascii="宋体" w:hAnsi="宋体" w:cs="宋体"/>
          <w:kern w:val="0"/>
          <w:szCs w:val="21"/>
          <w:highlight w:val="none"/>
          <w:lang w:eastAsia="zh-CN"/>
        </w:rPr>
        <w:t>〕</w:t>
      </w:r>
      <w:r>
        <w:rPr>
          <w:rFonts w:hint="eastAsia" w:ascii="宋体" w:hAnsi="宋体" w:cs="宋体"/>
          <w:kern w:val="0"/>
          <w:szCs w:val="21"/>
          <w:highlight w:val="none"/>
        </w:rPr>
        <w:t>16号）要求</w:t>
      </w:r>
      <w:r>
        <w:rPr>
          <w:rFonts w:hint="eastAsia" w:ascii="宋体" w:hAnsi="宋体"/>
          <w:szCs w:val="21"/>
          <w:highlight w:val="none"/>
        </w:rPr>
        <w:t>和重庆市水利局办公室文件《重庆市水利局办公室关于进一步加强水利工程安全文明施工管理的通知》（渝水办建</w:t>
      </w:r>
      <w:r>
        <w:rPr>
          <w:rFonts w:hint="eastAsia" w:ascii="宋体" w:hAnsi="宋体"/>
          <w:szCs w:val="21"/>
          <w:highlight w:val="none"/>
          <w:lang w:eastAsia="zh-CN"/>
        </w:rPr>
        <w:t>〔</w:t>
      </w:r>
      <w:r>
        <w:rPr>
          <w:rFonts w:ascii="宋体" w:hAnsi="宋体"/>
          <w:szCs w:val="21"/>
          <w:highlight w:val="none"/>
        </w:rPr>
        <w:t>20</w:t>
      </w:r>
      <w:r>
        <w:rPr>
          <w:rFonts w:hint="eastAsia" w:ascii="宋体" w:hAnsi="宋体"/>
          <w:szCs w:val="21"/>
          <w:highlight w:val="none"/>
        </w:rPr>
        <w:t>21</w:t>
      </w:r>
      <w:r>
        <w:rPr>
          <w:rFonts w:hint="eastAsia" w:ascii="宋体" w:hAnsi="宋体"/>
          <w:szCs w:val="21"/>
          <w:highlight w:val="none"/>
          <w:lang w:eastAsia="zh-CN"/>
        </w:rPr>
        <w:t>〕</w:t>
      </w:r>
      <w:r>
        <w:rPr>
          <w:rFonts w:ascii="宋体" w:hAnsi="宋体"/>
          <w:szCs w:val="21"/>
          <w:highlight w:val="none"/>
        </w:rPr>
        <w:t>1</w:t>
      </w:r>
      <w:r>
        <w:rPr>
          <w:rFonts w:hint="eastAsia" w:ascii="宋体" w:hAnsi="宋体"/>
          <w:szCs w:val="21"/>
          <w:highlight w:val="none"/>
        </w:rPr>
        <w:t>号）</w:t>
      </w:r>
      <w:r>
        <w:rPr>
          <w:rFonts w:hint="eastAsia" w:ascii="宋体" w:hAnsi="宋体" w:cs="宋体"/>
          <w:kern w:val="0"/>
          <w:szCs w:val="21"/>
          <w:highlight w:val="none"/>
        </w:rPr>
        <w:t>的规定，以不低于建筑安装工程造价的</w:t>
      </w:r>
      <w:r>
        <w:rPr>
          <w:rFonts w:hint="eastAsia" w:ascii="宋体" w:hAnsi="宋体" w:cs="宋体"/>
          <w:kern w:val="0"/>
          <w:szCs w:val="21"/>
          <w:highlight w:val="none"/>
          <w:u w:val="single"/>
        </w:rPr>
        <w:t>2.0%</w:t>
      </w:r>
      <w:r>
        <w:rPr>
          <w:rFonts w:hint="eastAsia" w:ascii="宋体" w:hAnsi="宋体" w:cs="宋体"/>
          <w:kern w:val="0"/>
          <w:szCs w:val="21"/>
          <w:highlight w:val="none"/>
        </w:rPr>
        <w:t>计提安全费用，保证安全生产投入。</w:t>
      </w:r>
    </w:p>
    <w:p w14:paraId="25533DE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5．乙方应认可其投标报价已包括（但不限于）完成本工程实物工作量所需的安全管理、质量管理、安全培训、劳动保护、文明施工等全部费用。</w:t>
      </w:r>
    </w:p>
    <w:p w14:paraId="7CCB5FFE">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乙方参与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14:paraId="2A33301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所有特种作业人员接受了与本工种相适应的、专门的安全技术培训，经安全技术理论考核实际操作技能考试合格，并取得有效的特种作业人员操作证书。</w:t>
      </w:r>
    </w:p>
    <w:p w14:paraId="57F6A3B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7．乙方所有进场设备、机具、设备应符合安全技术规范要求。特种设备具有特种设备安全检测机构出具的有效的检测合格证书或审批手续。</w:t>
      </w:r>
    </w:p>
    <w:p w14:paraId="4F273D40">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8．乙方应遵守法律法规关于易燃易爆及危化物品购买、运输、储存、管理使用的相关规定，自觉接受当地公安部门的监管。</w:t>
      </w:r>
    </w:p>
    <w:p w14:paraId="4EE2B8B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9．乙方应按照《安全生产事故隐患排查治理暂行规定》的要求，主动承担起隐患排查、治理和防控的主体责任，建立并落实从主要负责人到每个从业人员的隐患排查治理和监控责任制。</w:t>
      </w:r>
    </w:p>
    <w:p w14:paraId="14A1226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10．乙方应当按照重庆市水利局、市安监局《重庆市重点水利工程危险性较大单项工程安全专项施工方案编制和审查管理（暂行）办法》（渝水基〔2010〕15号）的要求，对危险性较大的单项工程编制安全生产专项方案，并严格履行审核、审查批准程序后方可实施。</w:t>
      </w:r>
    </w:p>
    <w:p w14:paraId="03D24DE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11．乙方应按照本工程项目特点，组织制定本工程实施中的生产安全事故应急救援预案；承担度汛要求的工程，还应当编制满足度汛要求的施工度汛方案，并按程序审批、备案。</w:t>
      </w:r>
    </w:p>
    <w:p w14:paraId="64CDA6F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12．乙方应按照国务院《生产安全事故报告和调查处理条例》及相关规定的要求，及时上报有关部门，不得延误。</w:t>
      </w:r>
    </w:p>
    <w:p w14:paraId="1068692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13．乙方应承担施工期间因生产安全事故造成的刑事、行政、民事责任和全部直接经济损失。</w:t>
      </w:r>
    </w:p>
    <w:p w14:paraId="498B0322">
      <w:pPr>
        <w:pageBreakBefore w:val="0"/>
        <w:kinsoku/>
        <w:overflowPunct/>
        <w:topLinePunct w:val="0"/>
        <w:bidi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六、乙方发生“七、违约责任”中所述乙方违约情形时的有关违约金以及施工单位承担责任的安全事故处置和事故善后工作所产生的有关费用，甲方将在工程进度款中扣除，后续进度款不足的在履约保证金中扣除。乙方应在发生生产安全事故后及时开展救援处置工作。</w:t>
      </w:r>
    </w:p>
    <w:p w14:paraId="0AA19294">
      <w:pPr>
        <w:pageBreakBefore w:val="0"/>
        <w:kinsoku/>
        <w:overflowPunct/>
        <w:topLinePunct w:val="0"/>
        <w:bidi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七、违约责任</w:t>
      </w:r>
    </w:p>
    <w:p w14:paraId="1525EAE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（一）甲方违反本合同约定的义务，导致乙方发生生产安全事故和经济损失的，应承担由此而产生的直接经济损失。</w:t>
      </w:r>
    </w:p>
    <w:p w14:paraId="52C06AC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（二）乙方如发生特别重大、重大、较大和一般生产安全事故，应当以安全生产行政主管部门出具的事故调查处理报告为依据，分别承担100万元、50万元、30万元、10万元的违约金。</w:t>
      </w:r>
    </w:p>
    <w:p w14:paraId="0CDEA44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（三）乙方发生人身伤亡工伤事故或机械设备事故后，故意破坏或伪造事故现场，隐瞒不报、谎报、虚报，应承担违约金50万元。</w:t>
      </w:r>
    </w:p>
    <w:p w14:paraId="0D94AF0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（四）乙方每发生一次本合同附件所列举的“习惯性违章行为”一条，乙方应承担违约金1万元；发生一次两条，乙方应承担违约金2万元，以此类推。</w:t>
      </w:r>
    </w:p>
    <w:p w14:paraId="3665E25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八、甲、乙双方应自觉接受项目监理单位对本工程实施的安全监督和检查，并按要求承担违约责任。</w:t>
      </w:r>
    </w:p>
    <w:p w14:paraId="04D0212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九、本合同有效期为：甲乙双方签署之日起至合同工程完工验收之日止。</w:t>
      </w:r>
    </w:p>
    <w:p w14:paraId="6200BF8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十、本合同一式陆份，甲乙双方各执份贰份，监理单位贰份，由双方加盖公章、法定代表人或其授权代理人签名后生效。</w:t>
      </w:r>
    </w:p>
    <w:p w14:paraId="0D5C3834">
      <w:pPr>
        <w:pageBreakBefore w:val="0"/>
        <w:kinsoku/>
        <w:overflowPunct/>
        <w:topLinePunct w:val="0"/>
        <w:bidi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十一、合同未尽事宜，各方协商解决。如协商不成，可提请有管辖权的仲裁机构或法院进行裁决。</w:t>
      </w:r>
    </w:p>
    <w:p w14:paraId="3DCFEEFC">
      <w:pPr>
        <w:pageBreakBefore w:val="0"/>
        <w:kinsoku/>
        <w:overflowPunct/>
        <w:topLinePunct w:val="0"/>
        <w:bidi w:val="0"/>
        <w:snapToGrid w:val="0"/>
        <w:spacing w:line="360" w:lineRule="auto"/>
        <w:rPr>
          <w:rFonts w:hint="eastAsia" w:ascii="宋体" w:hAnsi="宋体" w:cs="宋体"/>
          <w:kern w:val="0"/>
          <w:szCs w:val="21"/>
          <w:highlight w:val="none"/>
        </w:rPr>
      </w:pPr>
    </w:p>
    <w:p w14:paraId="2A374BDF">
      <w:pPr>
        <w:pageBreakBefore w:val="0"/>
        <w:kinsoku/>
        <w:overflowPunct/>
        <w:topLinePunct w:val="0"/>
        <w:bidi w:val="0"/>
        <w:snapToGrid w:val="0"/>
        <w:spacing w:line="360" w:lineRule="auto"/>
        <w:rPr>
          <w:rFonts w:hint="eastAsia" w:ascii="宋体" w:hAnsi="宋体" w:cs="宋体"/>
          <w:kern w:val="0"/>
          <w:szCs w:val="21"/>
          <w:highlight w:val="none"/>
        </w:rPr>
      </w:pPr>
    </w:p>
    <w:p w14:paraId="596531AB">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甲方：（盖章）</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乙方：（盖章）</w:t>
      </w:r>
    </w:p>
    <w:p w14:paraId="68DE643E">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hint="eastAsia" w:ascii="宋体" w:hAnsi="宋体" w:cs="宋体"/>
          <w:kern w:val="0"/>
          <w:szCs w:val="21"/>
          <w:highlight w:val="none"/>
        </w:rPr>
      </w:pPr>
    </w:p>
    <w:p w14:paraId="0B97971B">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法定代表人（或授权的代理人）</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法定代表人（或授权的代理人）</w:t>
      </w:r>
      <w:r>
        <w:rPr>
          <w:rFonts w:hint="eastAsia" w:ascii="宋体" w:hAnsi="宋体" w:cs="宋体"/>
          <w:kern w:val="0"/>
          <w:szCs w:val="21"/>
          <w:highlight w:val="none"/>
          <w:lang w:eastAsia="zh-CN"/>
        </w:rPr>
        <w:t>：</w:t>
      </w:r>
    </w:p>
    <w:p w14:paraId="7064F898">
      <w:pPr>
        <w:pageBreakBefore w:val="0"/>
        <w:kinsoku/>
        <w:overflowPunct/>
        <w:topLinePunct w:val="0"/>
        <w:bidi w:val="0"/>
        <w:snapToGrid w:val="0"/>
        <w:spacing w:line="360" w:lineRule="auto"/>
        <w:rPr>
          <w:rFonts w:hint="eastAsia" w:ascii="宋体" w:hAnsi="宋体" w:cs="宋体"/>
          <w:kern w:val="0"/>
          <w:szCs w:val="21"/>
          <w:highlight w:val="none"/>
        </w:rPr>
      </w:pPr>
    </w:p>
    <w:p w14:paraId="357C3ED2">
      <w:pPr>
        <w:pageBreakBefore w:val="0"/>
        <w:kinsoku/>
        <w:overflowPunct/>
        <w:topLinePunct w:val="0"/>
        <w:bidi w:val="0"/>
        <w:snapToGrid w:val="0"/>
        <w:spacing w:line="360" w:lineRule="auto"/>
        <w:rPr>
          <w:rFonts w:hint="eastAsia" w:ascii="宋体" w:hAnsi="宋体" w:cs="宋体"/>
          <w:kern w:val="0"/>
          <w:szCs w:val="21"/>
          <w:highlight w:val="none"/>
        </w:rPr>
      </w:pPr>
    </w:p>
    <w:p w14:paraId="4272105F">
      <w:pPr>
        <w:pageBreakBefore w:val="0"/>
        <w:kinsoku/>
        <w:overflowPunct/>
        <w:topLinePunct w:val="0"/>
        <w:bidi w:val="0"/>
        <w:snapToGrid w:val="0"/>
        <w:spacing w:line="360" w:lineRule="auto"/>
        <w:rPr>
          <w:rFonts w:hint="eastAsia" w:ascii="宋体" w:hAnsi="宋体" w:cs="宋体"/>
          <w:kern w:val="0"/>
          <w:szCs w:val="21"/>
          <w:highlight w:val="none"/>
        </w:rPr>
      </w:pPr>
    </w:p>
    <w:p w14:paraId="5DB0790C">
      <w:pPr>
        <w:pageBreakBefore w:val="0"/>
        <w:kinsoku/>
        <w:overflowPunct/>
        <w:topLinePunct w:val="0"/>
        <w:bidi w:val="0"/>
        <w:snapToGrid w:val="0"/>
        <w:spacing w:line="360" w:lineRule="auto"/>
        <w:rPr>
          <w:rFonts w:hint="eastAsia" w:ascii="宋体" w:hAnsi="宋体" w:cs="宋体"/>
          <w:kern w:val="0"/>
          <w:szCs w:val="21"/>
          <w:highlight w:val="none"/>
        </w:rPr>
      </w:pPr>
    </w:p>
    <w:p w14:paraId="7A1092E2">
      <w:pPr>
        <w:pageBreakBefore w:val="0"/>
        <w:kinsoku/>
        <w:overflowPunct/>
        <w:topLinePunct w:val="0"/>
        <w:bidi w:val="0"/>
        <w:snapToGrid w:val="0"/>
        <w:spacing w:line="360" w:lineRule="auto"/>
        <w:rPr>
          <w:rFonts w:hint="eastAsia" w:ascii="宋体" w:hAnsi="宋体" w:cs="宋体"/>
          <w:kern w:val="0"/>
          <w:szCs w:val="21"/>
          <w:highlight w:val="none"/>
        </w:rPr>
      </w:pPr>
    </w:p>
    <w:p w14:paraId="6F8CAF19">
      <w:pPr>
        <w:pageBreakBefore w:val="0"/>
        <w:kinsoku/>
        <w:overflowPunct/>
        <w:topLinePunct w:val="0"/>
        <w:bidi w:val="0"/>
        <w:snapToGrid w:val="0"/>
        <w:spacing w:line="360" w:lineRule="auto"/>
        <w:rPr>
          <w:rFonts w:hint="eastAsia" w:ascii="宋体" w:hAnsi="宋体" w:cs="宋体"/>
          <w:kern w:val="0"/>
          <w:szCs w:val="21"/>
          <w:highlight w:val="none"/>
        </w:rPr>
      </w:pPr>
    </w:p>
    <w:p w14:paraId="6AD8C22E">
      <w:pPr>
        <w:pageBreakBefore w:val="0"/>
        <w:kinsoku/>
        <w:overflowPunct/>
        <w:topLinePunct w:val="0"/>
        <w:bidi w:val="0"/>
        <w:snapToGrid w:val="0"/>
        <w:spacing w:line="360" w:lineRule="auto"/>
        <w:rPr>
          <w:rFonts w:hint="eastAsia" w:ascii="宋体" w:hAnsi="宋体" w:cs="宋体"/>
          <w:kern w:val="0"/>
          <w:szCs w:val="21"/>
          <w:highlight w:val="none"/>
        </w:rPr>
      </w:pPr>
    </w:p>
    <w:p w14:paraId="0D149C9F">
      <w:pPr>
        <w:pageBreakBefore w:val="0"/>
        <w:kinsoku/>
        <w:overflowPunct/>
        <w:topLinePunct w:val="0"/>
        <w:bidi w:val="0"/>
        <w:snapToGrid w:val="0"/>
        <w:spacing w:line="360" w:lineRule="auto"/>
        <w:rPr>
          <w:rFonts w:hint="eastAsia" w:ascii="宋体" w:hAnsi="宋体" w:cs="宋体"/>
          <w:kern w:val="0"/>
          <w:szCs w:val="21"/>
          <w:highlight w:val="none"/>
        </w:rPr>
      </w:pPr>
    </w:p>
    <w:p w14:paraId="6C638890">
      <w:pPr>
        <w:pageBreakBefore w:val="0"/>
        <w:kinsoku/>
        <w:overflowPunct/>
        <w:topLinePunct w:val="0"/>
        <w:bidi w:val="0"/>
        <w:snapToGrid w:val="0"/>
        <w:spacing w:line="360" w:lineRule="auto"/>
        <w:rPr>
          <w:rFonts w:hint="eastAsia" w:ascii="宋体" w:hAnsi="宋体" w:cs="宋体"/>
          <w:kern w:val="0"/>
          <w:szCs w:val="21"/>
          <w:highlight w:val="none"/>
        </w:rPr>
      </w:pPr>
    </w:p>
    <w:p w14:paraId="03EBC77B">
      <w:pPr>
        <w:pageBreakBefore w:val="0"/>
        <w:kinsoku/>
        <w:overflowPunct/>
        <w:topLinePunct w:val="0"/>
        <w:bidi w:val="0"/>
        <w:snapToGrid w:val="0"/>
        <w:spacing w:line="360" w:lineRule="auto"/>
        <w:rPr>
          <w:rFonts w:hint="eastAsia" w:ascii="宋体" w:hAnsi="宋体" w:cs="宋体"/>
          <w:kern w:val="0"/>
          <w:szCs w:val="21"/>
          <w:highlight w:val="none"/>
        </w:rPr>
      </w:pPr>
    </w:p>
    <w:p w14:paraId="667B68EB">
      <w:pPr>
        <w:pStyle w:val="2"/>
        <w:rPr>
          <w:rFonts w:hint="eastAsia" w:ascii="宋体" w:hAnsi="宋体" w:cs="宋体"/>
          <w:kern w:val="0"/>
          <w:szCs w:val="21"/>
          <w:highlight w:val="none"/>
        </w:rPr>
      </w:pPr>
    </w:p>
    <w:p w14:paraId="704827AE">
      <w:pPr>
        <w:rPr>
          <w:rFonts w:hint="eastAsia" w:ascii="宋体" w:hAnsi="宋体" w:cs="宋体"/>
          <w:kern w:val="0"/>
          <w:szCs w:val="21"/>
          <w:highlight w:val="none"/>
        </w:rPr>
      </w:pPr>
    </w:p>
    <w:p w14:paraId="7459A92F">
      <w:pPr>
        <w:pStyle w:val="2"/>
        <w:rPr>
          <w:rFonts w:hint="eastAsia" w:ascii="宋体" w:hAnsi="宋体" w:cs="宋体"/>
          <w:kern w:val="0"/>
          <w:szCs w:val="21"/>
          <w:highlight w:val="none"/>
        </w:rPr>
      </w:pPr>
    </w:p>
    <w:p w14:paraId="067DF7BC">
      <w:pPr>
        <w:rPr>
          <w:rFonts w:hint="eastAsia" w:ascii="宋体" w:hAnsi="宋体" w:cs="宋体"/>
          <w:kern w:val="0"/>
          <w:szCs w:val="21"/>
          <w:highlight w:val="none"/>
        </w:rPr>
      </w:pPr>
    </w:p>
    <w:p w14:paraId="1A090E09">
      <w:pPr>
        <w:pStyle w:val="2"/>
        <w:rPr>
          <w:rFonts w:hint="eastAsia" w:ascii="宋体" w:hAnsi="宋体" w:cs="宋体"/>
          <w:kern w:val="0"/>
          <w:szCs w:val="21"/>
          <w:highlight w:val="none"/>
        </w:rPr>
      </w:pPr>
    </w:p>
    <w:p w14:paraId="31A538CD">
      <w:pPr>
        <w:rPr>
          <w:rFonts w:hint="eastAsia" w:ascii="宋体" w:hAnsi="宋体" w:cs="宋体"/>
          <w:kern w:val="0"/>
          <w:szCs w:val="21"/>
          <w:highlight w:val="none"/>
        </w:rPr>
      </w:pPr>
    </w:p>
    <w:p w14:paraId="2268F71C">
      <w:pPr>
        <w:pStyle w:val="2"/>
        <w:rPr>
          <w:rFonts w:hint="eastAsia" w:ascii="宋体" w:hAnsi="宋体" w:cs="宋体"/>
          <w:kern w:val="0"/>
          <w:szCs w:val="21"/>
          <w:highlight w:val="none"/>
        </w:rPr>
      </w:pPr>
    </w:p>
    <w:p w14:paraId="15729FF9">
      <w:pPr>
        <w:rPr>
          <w:rFonts w:hint="eastAsia" w:ascii="宋体" w:hAnsi="宋体" w:cs="宋体"/>
          <w:kern w:val="0"/>
          <w:szCs w:val="21"/>
          <w:highlight w:val="none"/>
        </w:rPr>
      </w:pPr>
    </w:p>
    <w:p w14:paraId="13671BFC">
      <w:pPr>
        <w:pStyle w:val="2"/>
        <w:rPr>
          <w:rFonts w:hint="eastAsia" w:ascii="宋体" w:hAnsi="宋体" w:cs="宋体"/>
          <w:kern w:val="0"/>
          <w:szCs w:val="21"/>
          <w:highlight w:val="none"/>
        </w:rPr>
      </w:pPr>
    </w:p>
    <w:p w14:paraId="317C4408">
      <w:pPr>
        <w:rPr>
          <w:rFonts w:hint="eastAsia" w:ascii="宋体" w:hAnsi="宋体" w:cs="宋体"/>
          <w:kern w:val="0"/>
          <w:szCs w:val="21"/>
          <w:highlight w:val="none"/>
        </w:rPr>
      </w:pPr>
    </w:p>
    <w:p w14:paraId="4181A2C7">
      <w:pPr>
        <w:pStyle w:val="2"/>
        <w:rPr>
          <w:rFonts w:hint="eastAsia"/>
        </w:rPr>
      </w:pPr>
    </w:p>
    <w:p w14:paraId="7B334C9D">
      <w:pPr>
        <w:pageBreakBefore w:val="0"/>
        <w:kinsoku/>
        <w:overflowPunct/>
        <w:topLinePunct w:val="0"/>
        <w:bidi w:val="0"/>
        <w:snapToGrid w:val="0"/>
        <w:spacing w:line="360" w:lineRule="auto"/>
        <w:rPr>
          <w:rFonts w:hint="eastAsia" w:ascii="宋体" w:hAnsi="宋体" w:cs="宋体"/>
          <w:kern w:val="0"/>
          <w:szCs w:val="21"/>
          <w:highlight w:val="none"/>
        </w:rPr>
      </w:pPr>
    </w:p>
    <w:p w14:paraId="43E3EC89">
      <w:pPr>
        <w:pageBreakBefore w:val="0"/>
        <w:kinsoku/>
        <w:overflowPunct/>
        <w:topLinePunct w:val="0"/>
        <w:bidi w:val="0"/>
        <w:snapToGrid w:val="0"/>
        <w:spacing w:line="360" w:lineRule="auto"/>
        <w:rPr>
          <w:rFonts w:hint="eastAsia" w:ascii="宋体" w:hAnsi="宋体" w:cs="宋体"/>
          <w:kern w:val="0"/>
          <w:szCs w:val="21"/>
          <w:highlight w:val="none"/>
        </w:rPr>
      </w:pPr>
    </w:p>
    <w:p w14:paraId="4FD52A01">
      <w:pPr>
        <w:pageBreakBefore w:val="0"/>
        <w:kinsoku/>
        <w:overflowPunct/>
        <w:topLinePunct w:val="0"/>
        <w:bidi w:val="0"/>
        <w:snapToGrid w:val="0"/>
        <w:spacing w:line="360" w:lineRule="auto"/>
        <w:rPr>
          <w:rFonts w:hint="eastAsia" w:ascii="宋体" w:hAnsi="宋体" w:cs="宋体"/>
          <w:kern w:val="0"/>
          <w:szCs w:val="21"/>
          <w:highlight w:val="none"/>
        </w:rPr>
      </w:pPr>
    </w:p>
    <w:p w14:paraId="7FD8F074">
      <w:pPr>
        <w:pageBreakBefore w:val="0"/>
        <w:kinsoku/>
        <w:overflowPunct/>
        <w:topLinePunct w:val="0"/>
        <w:bidi w:val="0"/>
        <w:snapToGrid w:val="0"/>
        <w:spacing w:line="360" w:lineRule="auto"/>
        <w:rPr>
          <w:rFonts w:hint="eastAsia" w:ascii="宋体" w:hAnsi="宋体" w:cs="宋体"/>
          <w:kern w:val="0"/>
          <w:szCs w:val="21"/>
          <w:highlight w:val="none"/>
        </w:rPr>
      </w:pPr>
    </w:p>
    <w:p w14:paraId="2C2977CC">
      <w:pPr>
        <w:pageBreakBefore w:val="0"/>
        <w:kinsoku/>
        <w:overflowPunct/>
        <w:topLinePunct w:val="0"/>
        <w:bidi w:val="0"/>
        <w:snapToGrid w:val="0"/>
        <w:spacing w:line="360" w:lineRule="auto"/>
        <w:jc w:val="both"/>
        <w:rPr>
          <w:rFonts w:hint="eastAsia" w:ascii="宋体" w:hAnsi="宋体" w:eastAsia="宋体" w:cs="宋体"/>
          <w:kern w:val="0"/>
          <w:szCs w:val="21"/>
          <w:highlight w:val="none"/>
        </w:rPr>
      </w:pPr>
      <w:r>
        <w:rPr>
          <w:rFonts w:hint="eastAsia" w:ascii="宋体" w:hAnsi="宋体" w:eastAsia="宋体" w:cs="宋体"/>
          <w:kern w:val="0"/>
          <w:szCs w:val="21"/>
          <w:highlight w:val="none"/>
        </w:rPr>
        <w:t>附件</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w:t>
      </w:r>
    </w:p>
    <w:p w14:paraId="6EF0B4FD">
      <w:pPr>
        <w:pageBreakBefore w:val="0"/>
        <w:kinsoku/>
        <w:overflowPunct/>
        <w:topLinePunct w:val="0"/>
        <w:bidi w:val="0"/>
        <w:snapToGrid w:val="0"/>
        <w:spacing w:line="360" w:lineRule="auto"/>
        <w:jc w:val="center"/>
        <w:rPr>
          <w:rFonts w:hint="eastAsia" w:ascii="宋体" w:hAnsi="宋体" w:cs="宋体"/>
          <w:kern w:val="0"/>
          <w:sz w:val="24"/>
          <w:szCs w:val="24"/>
          <w:highlight w:val="none"/>
        </w:rPr>
      </w:pPr>
    </w:p>
    <w:p w14:paraId="02176655">
      <w:pPr>
        <w:pageBreakBefore w:val="0"/>
        <w:kinsoku/>
        <w:overflowPunct/>
        <w:topLinePunct w:val="0"/>
        <w:bidi w:val="0"/>
        <w:snapToGrid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习惯性违章行为</w:t>
      </w:r>
    </w:p>
    <w:p w14:paraId="479C205D">
      <w:pPr>
        <w:pStyle w:val="2"/>
      </w:pPr>
    </w:p>
    <w:p w14:paraId="0DD70C5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1．进入施工生产区域的人员不正确穿戴使用劳动防护用品。</w:t>
      </w:r>
    </w:p>
    <w:p w14:paraId="2FA65E8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2．作业人员随意解除、挪动已设置的安全措施或擅自穿、跨越安全围栏或超越安全警戒线。</w:t>
      </w:r>
    </w:p>
    <w:p w14:paraId="404407C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3．在行人道口或人口密集区从事高处作业，工作地点的下面不设围栏、未设专人看守或其他安全措施。</w:t>
      </w:r>
    </w:p>
    <w:p w14:paraId="4EC7C01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4．高处作业不系安全带、安全带系在移动或不牢固的物件上、换位时失去安全带保护；高处作业人员不系安全绳、安全绳低挂高用。</w:t>
      </w:r>
    </w:p>
    <w:p w14:paraId="1C2789E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5．高处作业不用绳索传递物品，随手上下抛掷器具、材料。</w:t>
      </w:r>
    </w:p>
    <w:p w14:paraId="44923F2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6．施工现场临时搭建的建筑物不符合安全使用要求。</w:t>
      </w:r>
    </w:p>
    <w:p w14:paraId="1CE92660">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7．未对因建设工程施工可能造成损害的毗邻建筑物、构筑物和地下管线等采取专项防护措施。</w:t>
      </w:r>
    </w:p>
    <w:p w14:paraId="0E4A4E2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8．施工现场的井、洞、坑、沟、口等危险处不设明显警示标志，未采取加盖板或设置围栏等防护措施。</w:t>
      </w:r>
    </w:p>
    <w:p w14:paraId="4EDF4B4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9．临水、临空、临边等部位不设安全防护栏杆和挡脚板。</w:t>
      </w:r>
    </w:p>
    <w:p w14:paraId="6096AE7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10．上下层垂直立体作业无隔离防护措施，或错开作业期间无专人监护。</w:t>
      </w:r>
    </w:p>
    <w:p w14:paraId="513F678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11．在高处平台、孔洞边缘倚坐或跨越栏杆。</w:t>
      </w:r>
    </w:p>
    <w:p w14:paraId="3AFDFF5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12．高边坡作业未在作业面上方设置防护设施。</w:t>
      </w:r>
    </w:p>
    <w:p w14:paraId="0EDF701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13．隧洞作业未采取必要的安全措施。</w:t>
      </w:r>
    </w:p>
    <w:p w14:paraId="5282858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14．将运行中转动设备的防护罩打开；将手伸入运动中转动设备的遮拦内；戴手套或用抹布对转动部分进行清扫或进行其他工作。</w:t>
      </w:r>
    </w:p>
    <w:p w14:paraId="608805A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15．空气压缩机房的维修平台和电动机地坑的周围无防护栏杆，或栏杆下部无防护网（板），地沟未铺设盖板；移动式空压机无防雨、防晒、隔离防拦等设施。</w:t>
      </w:r>
    </w:p>
    <w:p w14:paraId="4056984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16．现场倒闸操作不戴绝缘手套，雷雨天气巡视或操作室外高压设备不穿绝缘靴。</w:t>
      </w:r>
    </w:p>
    <w:p w14:paraId="3E1C5C9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17．停电作业不验电接地或不按规定顺序装拆接地线、不按规定使用个人保安线。</w:t>
      </w:r>
    </w:p>
    <w:p w14:paraId="54C1AC9E">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18．在带电设备周围使用钢卷尺、皮卷尺和线尺（夹有金属丝者）进行测量工作。</w:t>
      </w:r>
    </w:p>
    <w:p w14:paraId="39CED3E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19．在带电设备周围使用金属梯子进行作业；在户外变电站和高压室内不按规定使用和搬运梯子、管子等长物。</w:t>
      </w:r>
    </w:p>
    <w:p w14:paraId="6FC2FBC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20．未经值班人员许可，擅自进入带电运行设备区域。</w:t>
      </w:r>
    </w:p>
    <w:p w14:paraId="69F54AB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21．水上作业不佩戴救生工具。</w:t>
      </w:r>
    </w:p>
    <w:p w14:paraId="18AA586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22．建设项目施工单位不严格按照安全设施的施工图纸和设计要求施工。</w:t>
      </w:r>
    </w:p>
    <w:p w14:paraId="34573DF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23．作业人员不按照审批后的施工方案进行作业或随意变动施工方案；擅自扩大工作范围、工作内容。</w:t>
      </w:r>
    </w:p>
    <w:p w14:paraId="6BB8ED4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24．开工前没有对所有作业人员进行安全技术交底、不明确工作范围、安全措施不交代或交代不清，盲目开工。</w:t>
      </w:r>
    </w:p>
    <w:p w14:paraId="2CFE6A2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25．专责监护人不认真履行监护职责，从事与监护无关的工作。</w:t>
      </w:r>
    </w:p>
    <w:p w14:paraId="6C713C8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26．对基坑支护与降水、土方开挖与边坡防护、模板、起重吊装、脚手架、拆除、爆破等单项工程无专项施工方案和安全技术措施，或专项施工方案未完善编、审、批手续，或方案不符合强制性标准要求。</w:t>
      </w:r>
    </w:p>
    <w:p w14:paraId="3672CB6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27．组立杆塔、撤杆、撤线或紧线前未按规定使用防倒杆装置等防倒杆措施或采取突然剪断导线、地线、拉线等方法撤杆撤线。</w:t>
      </w:r>
    </w:p>
    <w:p w14:paraId="0FA6518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28．使用吊篮载人。</w:t>
      </w:r>
    </w:p>
    <w:p w14:paraId="5F5109F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29．吊车起吊前未鸣笛示警或起重工作无专人指挥。</w:t>
      </w:r>
    </w:p>
    <w:p w14:paraId="2840E7B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30．起重时凭借栏杆、脚手架、瓷件等起吊物件。</w:t>
      </w:r>
    </w:p>
    <w:p w14:paraId="3DE50DD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31．在起吊或牵引过程中，受力钢丝绳周围、上下方、内角侧和起吊物下面，有人逗留和通过。吊运重物时从人头顶通过或吊臂下站人。</w:t>
      </w:r>
    </w:p>
    <w:p w14:paraId="6DF9348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32．龙门吊、塔吊拆卸(安装)工程中未严格按照规定程序执行。</w:t>
      </w:r>
    </w:p>
    <w:p w14:paraId="6858309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33．在梯子上作业，无人扶梯子或梯子架设在不稳定的支持物上。</w:t>
      </w:r>
    </w:p>
    <w:p w14:paraId="0FAFED9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34．施工临时用电未严格执行“三相五线制”、线路敷设不整齐、绝缘不可靠、用其他金属丝代替熔断丝。</w:t>
      </w:r>
    </w:p>
    <w:p w14:paraId="4ACE5A4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35．配电箱、开关箱及漏电保护开关的配置未实行“三级配电、两级保护”，配电箱内电器设置应按“一机、一闸、一漏”原则设置。</w:t>
      </w:r>
    </w:p>
    <w:p w14:paraId="2E59CBD0">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36．配电箱、开关箱无防雨、防尘和防砸措施。</w:t>
      </w:r>
    </w:p>
    <w:p w14:paraId="52836DF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37．不按规定使用合格的安全工器具或超过检测周期的安全工器具进行作业。</w:t>
      </w:r>
    </w:p>
    <w:p w14:paraId="7EBC2FB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38．使用未经检验或检验不合格的特种设备。</w:t>
      </w:r>
    </w:p>
    <w:p w14:paraId="34DD951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39．带电作业，不按规定使用绝缘工具。</w:t>
      </w:r>
    </w:p>
    <w:p w14:paraId="1379C05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40．使用电动工器具时未接入漏电保护装置、金属外壳不接地或接地不可靠、或不戴绝缘手套。</w:t>
      </w:r>
    </w:p>
    <w:p w14:paraId="13A810C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41．使用电动工具时将电源线直接插入插座孔或钩挂在闸刀开关上使用。</w:t>
      </w:r>
    </w:p>
    <w:p w14:paraId="59E800C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42．爆破物、有害气体和液体存放处不设明显且符合国际标准的安全警示标志。</w:t>
      </w:r>
    </w:p>
    <w:p w14:paraId="188E14B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43．对有爆炸和火灾危险的场所，未按危险场所等级选择相应的防爆型照明器。</w:t>
      </w:r>
    </w:p>
    <w:p w14:paraId="6D2C82F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44．在易燃物品及重要设备上方进行焊接，下方无监护人，未采取防火等安全措施。</w:t>
      </w:r>
    </w:p>
    <w:p w14:paraId="3DFB1C4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45．在宿舍、办公室、休息室内存放易燃易爆物品，使用电炉。</w:t>
      </w:r>
    </w:p>
    <w:p w14:paraId="039D282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46．未履行有关手续即对有压力、带电、充油的容器及管道施焊。</w:t>
      </w:r>
    </w:p>
    <w:p w14:paraId="63D5B0B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47．消防设施配备不足或使用已过期失效的消防器材。</w:t>
      </w:r>
    </w:p>
    <w:p w14:paraId="76395C8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48．爆破作业时无专人指挥、无统一信号和专人警戒。</w:t>
      </w:r>
    </w:p>
    <w:p w14:paraId="4CA9A54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49．特种作业人员不持证上岗或非特种作业人员进行特种作业。</w:t>
      </w:r>
    </w:p>
    <w:p w14:paraId="5035811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50．无证驾驶、酒后驾驶、客货混装。</w:t>
      </w:r>
    </w:p>
    <w:p w14:paraId="5957444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51．机器的传动部分没有装防护罩或其他防护设备，露出的轴端没有设护盖。</w:t>
      </w:r>
    </w:p>
    <w:p w14:paraId="2A3C6AC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52．高空作业搭设的脚手架不符合安全要求。</w:t>
      </w:r>
    </w:p>
    <w:p w14:paraId="4B1ECA7E">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53．深沟、深坑四周无安全警戒线，夜间无警告红灯。</w:t>
      </w:r>
    </w:p>
    <w:p w14:paraId="76ECAF0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54．起重机械，如绞磨、汽车吊、卷扬机等无制动和逆止装置，或制动装置失灵、不灵敏。</w:t>
      </w:r>
    </w:p>
    <w:p w14:paraId="62EB849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55．易燃易爆区、重点防火区内的防火设施不全或符合规定要求。</w:t>
      </w:r>
    </w:p>
    <w:p w14:paraId="40D2706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56．电器防误闭锁装置不全。</w:t>
      </w:r>
    </w:p>
    <w:p w14:paraId="628EB1FE">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57．高低压线路对地、对建筑物等安全距离不够。</w:t>
      </w:r>
    </w:p>
    <w:p w14:paraId="286CD5A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58．电气设备外壳无接地。</w:t>
      </w:r>
    </w:p>
    <w:p w14:paraId="1962B3B0">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59．临时电源无漏电保护器。</w:t>
      </w:r>
    </w:p>
    <w:p w14:paraId="7ABB675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60．未建立和完善各级人员安全生产责任制，使各级人员安全管理职责不清、安全责任不明。</w:t>
      </w:r>
    </w:p>
    <w:p w14:paraId="2E87F35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61．不建立健全安全生产管理制度和基础台帐。</w:t>
      </w:r>
    </w:p>
    <w:p w14:paraId="247B936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62．未按规定设置安全监督机构和配置安全员。</w:t>
      </w:r>
    </w:p>
    <w:p w14:paraId="6D180E1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63．未按规定落实安全生产措施、计划、资金。</w:t>
      </w:r>
    </w:p>
    <w:p w14:paraId="7BE1C63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64．未按规定配备符合国家标准和行业标准的安全防护装置、安全工器具和个人防护用品。</w:t>
      </w:r>
    </w:p>
    <w:p w14:paraId="4509F96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65．施工单位不为现场从事危险作业人员依法办理保险的凭证。</w:t>
      </w:r>
    </w:p>
    <w:p w14:paraId="2F856A3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66．新进场人员（包括农民工）未进行安全教育或未配证上岗作业的；或安排非特种作业人员进行特种作业的。</w:t>
      </w:r>
    </w:p>
    <w:p w14:paraId="7A95A42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67．临时工从事有危险的工作时，未派专人监护。</w:t>
      </w:r>
    </w:p>
    <w:p w14:paraId="0DAE839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68．违章指挥，强令工人冒险作业。</w:t>
      </w:r>
    </w:p>
    <w:p w14:paraId="2E284AA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69．对排查出的安全隐患未制定整改计划或未落实整改治理措施。</w:t>
      </w:r>
    </w:p>
    <w:p w14:paraId="73BD8546">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70．使用无相应资质的单位在施工现场安装、拆卸施工起重机械和整体提升脚手架、模板等自升式架设设施。</w:t>
      </w:r>
    </w:p>
    <w:p w14:paraId="449D88C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71．对承包方未进行资质审查或违规进行工程发包。</w:t>
      </w:r>
    </w:p>
    <w:p w14:paraId="3C80BDCB">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72．承发包工程未依法签订安全协议，未明确双方应承担的安全责任。</w:t>
      </w:r>
    </w:p>
    <w:p w14:paraId="126D24B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73．建设工程中租用未经安全性能检测或者经检测不合格的机械设备和施工机具。</w:t>
      </w:r>
    </w:p>
    <w:p w14:paraId="0FF9CA0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74.  未按要求编制生产安全事故应急救援预案和施工度汛方案。</w:t>
      </w:r>
    </w:p>
    <w:p w14:paraId="034FBC8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75．在尚未竣工的建筑物内设置员工集体宿舍。</w:t>
      </w:r>
    </w:p>
    <w:p w14:paraId="7A43189F">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76．发生施工安全事故后，不按规定程序进行报告或不遵循“四不放过”原则组织开展事故调查及处理。</w:t>
      </w:r>
    </w:p>
    <w:p w14:paraId="7B9AB95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77. 法律法规、强制性规范规定的其他违章行为。</w:t>
      </w:r>
    </w:p>
    <w:p w14:paraId="4A1E093C">
      <w:pPr>
        <w:pageBreakBefore w:val="0"/>
        <w:kinsoku/>
        <w:overflowPunct/>
        <w:topLinePunct w:val="0"/>
        <w:bidi w:val="0"/>
        <w:snapToGrid w:val="0"/>
        <w:spacing w:line="360" w:lineRule="auto"/>
        <w:rPr>
          <w:rFonts w:hint="eastAsia" w:ascii="宋体" w:hAnsi="宋体" w:cs="宋体"/>
          <w:kern w:val="0"/>
          <w:szCs w:val="21"/>
          <w:highlight w:val="none"/>
        </w:rPr>
      </w:pPr>
    </w:p>
    <w:p w14:paraId="07296FA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kern w:val="0"/>
          <w:szCs w:val="21"/>
          <w:highlight w:val="none"/>
        </w:rPr>
      </w:pPr>
    </w:p>
    <w:p w14:paraId="62277A4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甲方：（盖章）</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乙方：（盖章）</w:t>
      </w:r>
    </w:p>
    <w:p w14:paraId="283D0CA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p>
    <w:p w14:paraId="5C0AE72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kern w:val="0"/>
          <w:szCs w:val="21"/>
          <w:highlight w:val="none"/>
          <w:lang w:eastAsia="zh-CN"/>
        </w:rPr>
      </w:pPr>
      <w:r>
        <w:rPr>
          <w:rFonts w:hint="eastAsia" w:ascii="宋体" w:hAnsi="宋体" w:cs="宋体"/>
          <w:kern w:val="0"/>
          <w:szCs w:val="21"/>
          <w:highlight w:val="none"/>
        </w:rPr>
        <w:t>法定代表人（或授权的代理人）</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法定代表人（或授权的代理人）</w:t>
      </w:r>
      <w:r>
        <w:rPr>
          <w:rFonts w:hint="eastAsia" w:ascii="宋体" w:hAnsi="宋体" w:cs="宋体"/>
          <w:kern w:val="0"/>
          <w:szCs w:val="21"/>
          <w:highlight w:val="none"/>
          <w:lang w:eastAsia="zh-CN"/>
        </w:rPr>
        <w:t>：</w:t>
      </w:r>
    </w:p>
    <w:p w14:paraId="47303F9F">
      <w:pPr>
        <w:pageBreakBefore w:val="0"/>
        <w:kinsoku/>
        <w:overflowPunct/>
        <w:topLinePunct w:val="0"/>
        <w:bidi w:val="0"/>
        <w:snapToGrid w:val="0"/>
        <w:spacing w:line="360" w:lineRule="auto"/>
        <w:rPr>
          <w:rFonts w:hint="eastAsia" w:ascii="宋体" w:hAnsi="宋体" w:eastAsia="宋体" w:cs="宋体"/>
          <w:kern w:val="0"/>
          <w:szCs w:val="21"/>
          <w:highlight w:val="none"/>
          <w:lang w:eastAsia="zh-CN"/>
        </w:rPr>
      </w:pPr>
    </w:p>
    <w:p w14:paraId="67AA5005">
      <w:pPr>
        <w:pageBreakBefore w:val="0"/>
        <w:kinsoku/>
        <w:overflowPunct/>
        <w:topLinePunct w:val="0"/>
        <w:bidi w:val="0"/>
        <w:snapToGrid w:val="0"/>
        <w:spacing w:line="360" w:lineRule="auto"/>
        <w:jc w:val="right"/>
        <w:rPr>
          <w:rFonts w:hint="eastAsia" w:ascii="宋体" w:hAnsi="宋体" w:cs="宋体"/>
          <w:kern w:val="0"/>
          <w:szCs w:val="21"/>
          <w:highlight w:val="none"/>
        </w:rPr>
      </w:pPr>
      <w:r>
        <w:rPr>
          <w:rFonts w:hint="eastAsia" w:ascii="宋体" w:hAnsi="宋体" w:cs="宋体"/>
          <w:kern w:val="0"/>
          <w:szCs w:val="21"/>
          <w:highlight w:val="none"/>
        </w:rPr>
        <w:t>时间：</w:t>
      </w:r>
      <w:r>
        <w:rPr>
          <w:rFonts w:hint="eastAsia" w:ascii="宋体" w:hAnsi="宋体" w:cs="宋体"/>
          <w:kern w:val="0"/>
          <w:szCs w:val="21"/>
          <w:highlight w:val="none"/>
          <w:lang w:val="en-US" w:eastAsia="zh-CN"/>
        </w:rPr>
        <w:t xml:space="preserve">     年   月    日</w:t>
      </w:r>
      <w:bookmarkStart w:id="362" w:name="_Toc33183804"/>
    </w:p>
    <w:p w14:paraId="2D58090D">
      <w:pPr>
        <w:pageBreakBefore w:val="0"/>
        <w:kinsoku/>
        <w:overflowPunct/>
        <w:topLinePunct w:val="0"/>
        <w:bidi w:val="0"/>
        <w:snapToGrid w:val="0"/>
        <w:spacing w:line="360" w:lineRule="auto"/>
        <w:jc w:val="both"/>
        <w:rPr>
          <w:rFonts w:hint="eastAsia" w:ascii="宋体" w:hAnsi="宋体" w:cs="宋体"/>
          <w:kern w:val="0"/>
          <w:szCs w:val="21"/>
          <w:highlight w:val="none"/>
        </w:rPr>
      </w:pPr>
    </w:p>
    <w:p w14:paraId="7CC93596">
      <w:pPr>
        <w:pageBreakBefore w:val="0"/>
        <w:kinsoku/>
        <w:overflowPunct/>
        <w:topLinePunct w:val="0"/>
        <w:bidi w:val="0"/>
        <w:snapToGrid w:val="0"/>
        <w:spacing w:line="360" w:lineRule="auto"/>
        <w:jc w:val="both"/>
        <w:rPr>
          <w:rFonts w:hint="eastAsia" w:ascii="宋体" w:hAnsi="宋体" w:cs="宋体"/>
          <w:kern w:val="0"/>
          <w:szCs w:val="21"/>
          <w:highlight w:val="none"/>
        </w:rPr>
      </w:pPr>
    </w:p>
    <w:p w14:paraId="5D0295FE">
      <w:pPr>
        <w:pageBreakBefore w:val="0"/>
        <w:kinsoku/>
        <w:overflowPunct/>
        <w:topLinePunct w:val="0"/>
        <w:bidi w:val="0"/>
        <w:snapToGrid w:val="0"/>
        <w:spacing w:line="360" w:lineRule="auto"/>
        <w:jc w:val="both"/>
        <w:rPr>
          <w:rFonts w:hint="eastAsia" w:ascii="宋体" w:hAnsi="宋体" w:cs="宋体"/>
          <w:kern w:val="0"/>
          <w:szCs w:val="21"/>
          <w:highlight w:val="none"/>
        </w:rPr>
      </w:pPr>
    </w:p>
    <w:p w14:paraId="2073ECD7">
      <w:pPr>
        <w:pageBreakBefore w:val="0"/>
        <w:kinsoku/>
        <w:overflowPunct/>
        <w:topLinePunct w:val="0"/>
        <w:bidi w:val="0"/>
        <w:snapToGrid w:val="0"/>
        <w:spacing w:line="360" w:lineRule="auto"/>
        <w:jc w:val="both"/>
        <w:rPr>
          <w:rFonts w:hint="eastAsia" w:ascii="宋体" w:hAnsi="宋体" w:cs="宋体"/>
          <w:kern w:val="0"/>
          <w:szCs w:val="21"/>
          <w:highlight w:val="none"/>
        </w:rPr>
      </w:pPr>
    </w:p>
    <w:p w14:paraId="2DA1B40A">
      <w:pPr>
        <w:pageBreakBefore w:val="0"/>
        <w:kinsoku/>
        <w:overflowPunct/>
        <w:topLinePunct w:val="0"/>
        <w:bidi w:val="0"/>
        <w:snapToGrid w:val="0"/>
        <w:spacing w:line="360" w:lineRule="auto"/>
        <w:jc w:val="both"/>
        <w:rPr>
          <w:rFonts w:hint="eastAsia" w:ascii="宋体" w:hAnsi="宋体" w:cs="宋体"/>
          <w:kern w:val="0"/>
          <w:szCs w:val="21"/>
          <w:highlight w:val="none"/>
        </w:rPr>
      </w:pPr>
    </w:p>
    <w:p w14:paraId="26DB9386">
      <w:pPr>
        <w:pageBreakBefore w:val="0"/>
        <w:kinsoku/>
        <w:overflowPunct/>
        <w:topLinePunct w:val="0"/>
        <w:bidi w:val="0"/>
        <w:snapToGrid w:val="0"/>
        <w:spacing w:line="360" w:lineRule="auto"/>
        <w:jc w:val="both"/>
        <w:rPr>
          <w:rFonts w:hint="eastAsia" w:ascii="宋体" w:hAnsi="宋体" w:cs="宋体"/>
          <w:kern w:val="0"/>
          <w:szCs w:val="21"/>
          <w:highlight w:val="none"/>
        </w:rPr>
      </w:pPr>
    </w:p>
    <w:p w14:paraId="63A3D03F">
      <w:pPr>
        <w:pStyle w:val="2"/>
        <w:rPr>
          <w:rFonts w:hint="eastAsia" w:ascii="宋体" w:hAnsi="宋体" w:cs="宋体"/>
          <w:kern w:val="0"/>
          <w:szCs w:val="21"/>
          <w:highlight w:val="none"/>
        </w:rPr>
      </w:pPr>
    </w:p>
    <w:p w14:paraId="6A12842C">
      <w:pPr>
        <w:rPr>
          <w:rFonts w:hint="eastAsia" w:ascii="宋体" w:hAnsi="宋体" w:cs="宋体"/>
          <w:kern w:val="0"/>
          <w:szCs w:val="21"/>
          <w:highlight w:val="none"/>
        </w:rPr>
      </w:pPr>
    </w:p>
    <w:p w14:paraId="17A87671">
      <w:pPr>
        <w:pStyle w:val="2"/>
        <w:rPr>
          <w:rFonts w:hint="eastAsia" w:ascii="宋体" w:hAnsi="宋体" w:cs="宋体"/>
          <w:kern w:val="0"/>
          <w:szCs w:val="21"/>
          <w:highlight w:val="none"/>
        </w:rPr>
      </w:pPr>
    </w:p>
    <w:p w14:paraId="20E9C7FD">
      <w:pPr>
        <w:rPr>
          <w:rFonts w:hint="eastAsia" w:ascii="宋体" w:hAnsi="宋体" w:cs="宋体"/>
          <w:kern w:val="0"/>
          <w:szCs w:val="21"/>
          <w:highlight w:val="none"/>
        </w:rPr>
      </w:pPr>
    </w:p>
    <w:p w14:paraId="33C0A4DC">
      <w:pPr>
        <w:pStyle w:val="2"/>
        <w:rPr>
          <w:rFonts w:hint="eastAsia" w:ascii="宋体" w:hAnsi="宋体" w:cs="宋体"/>
          <w:kern w:val="0"/>
          <w:szCs w:val="21"/>
          <w:highlight w:val="none"/>
        </w:rPr>
      </w:pPr>
    </w:p>
    <w:p w14:paraId="71A3351D">
      <w:pPr>
        <w:rPr>
          <w:rFonts w:hint="eastAsia" w:ascii="宋体" w:hAnsi="宋体" w:cs="宋体"/>
          <w:kern w:val="0"/>
          <w:szCs w:val="21"/>
          <w:highlight w:val="none"/>
        </w:rPr>
      </w:pPr>
    </w:p>
    <w:p w14:paraId="41973A53">
      <w:pPr>
        <w:pStyle w:val="2"/>
        <w:rPr>
          <w:rFonts w:hint="eastAsia" w:ascii="宋体" w:hAnsi="宋体" w:cs="宋体"/>
          <w:kern w:val="0"/>
          <w:szCs w:val="21"/>
          <w:highlight w:val="none"/>
        </w:rPr>
      </w:pPr>
    </w:p>
    <w:p w14:paraId="2FF7CB91">
      <w:pPr>
        <w:rPr>
          <w:rFonts w:hint="eastAsia" w:ascii="宋体" w:hAnsi="宋体" w:cs="宋体"/>
          <w:kern w:val="0"/>
          <w:szCs w:val="21"/>
          <w:highlight w:val="none"/>
        </w:rPr>
      </w:pPr>
    </w:p>
    <w:p w14:paraId="04962B8E">
      <w:pPr>
        <w:pStyle w:val="2"/>
        <w:rPr>
          <w:rFonts w:hint="eastAsia" w:ascii="宋体" w:hAnsi="宋体" w:cs="宋体"/>
          <w:kern w:val="0"/>
          <w:szCs w:val="21"/>
          <w:highlight w:val="none"/>
        </w:rPr>
      </w:pPr>
    </w:p>
    <w:p w14:paraId="0421232C">
      <w:pPr>
        <w:rPr>
          <w:rFonts w:hint="eastAsia" w:ascii="宋体" w:hAnsi="宋体" w:cs="宋体"/>
          <w:kern w:val="0"/>
          <w:szCs w:val="21"/>
          <w:highlight w:val="none"/>
        </w:rPr>
      </w:pPr>
    </w:p>
    <w:p w14:paraId="1B9FFF89">
      <w:pPr>
        <w:pStyle w:val="2"/>
        <w:rPr>
          <w:rFonts w:hint="eastAsia" w:ascii="宋体" w:hAnsi="宋体" w:cs="宋体"/>
          <w:kern w:val="0"/>
          <w:szCs w:val="21"/>
          <w:highlight w:val="none"/>
        </w:rPr>
      </w:pPr>
    </w:p>
    <w:p w14:paraId="0476A980">
      <w:pPr>
        <w:rPr>
          <w:rFonts w:hint="eastAsia" w:ascii="宋体" w:hAnsi="宋体" w:cs="宋体"/>
          <w:kern w:val="0"/>
          <w:szCs w:val="21"/>
          <w:highlight w:val="none"/>
        </w:rPr>
      </w:pPr>
    </w:p>
    <w:p w14:paraId="5BF4549B">
      <w:pPr>
        <w:pStyle w:val="2"/>
        <w:rPr>
          <w:rFonts w:hint="eastAsia" w:ascii="宋体" w:hAnsi="宋体" w:cs="宋体"/>
          <w:kern w:val="0"/>
          <w:szCs w:val="21"/>
          <w:highlight w:val="none"/>
        </w:rPr>
      </w:pPr>
    </w:p>
    <w:p w14:paraId="336423AA">
      <w:pPr>
        <w:rPr>
          <w:rFonts w:hint="eastAsia" w:ascii="宋体" w:hAnsi="宋体" w:cs="宋体"/>
          <w:kern w:val="0"/>
          <w:szCs w:val="21"/>
          <w:highlight w:val="none"/>
        </w:rPr>
      </w:pPr>
    </w:p>
    <w:p w14:paraId="6C200C08">
      <w:pPr>
        <w:pStyle w:val="2"/>
        <w:rPr>
          <w:rFonts w:hint="eastAsia"/>
        </w:rPr>
      </w:pPr>
    </w:p>
    <w:p w14:paraId="13A39644">
      <w:pPr>
        <w:rPr>
          <w:rFonts w:hint="eastAsia"/>
        </w:rPr>
      </w:pPr>
    </w:p>
    <w:p w14:paraId="2482D854">
      <w:pPr>
        <w:pStyle w:val="2"/>
        <w:rPr>
          <w:rFonts w:hint="eastAsia"/>
        </w:rPr>
      </w:pPr>
    </w:p>
    <w:p w14:paraId="2EF1D4B4">
      <w:pPr>
        <w:rPr>
          <w:rFonts w:hint="eastAsia"/>
        </w:rPr>
      </w:pPr>
    </w:p>
    <w:p w14:paraId="452D067C">
      <w:pPr>
        <w:pStyle w:val="2"/>
        <w:rPr>
          <w:rFonts w:hint="eastAsia"/>
        </w:rPr>
      </w:pPr>
    </w:p>
    <w:p w14:paraId="0C60B160">
      <w:pPr>
        <w:pageBreakBefore w:val="0"/>
        <w:kinsoku/>
        <w:overflowPunct/>
        <w:topLinePunct w:val="0"/>
        <w:bidi w:val="0"/>
        <w:snapToGrid w:val="0"/>
        <w:spacing w:line="360" w:lineRule="auto"/>
        <w:jc w:val="both"/>
        <w:rPr>
          <w:rFonts w:hint="eastAsia" w:ascii="宋体" w:hAnsi="宋体" w:cs="宋体"/>
          <w:kern w:val="0"/>
          <w:szCs w:val="21"/>
          <w:highlight w:val="none"/>
        </w:rPr>
      </w:pPr>
      <w:bookmarkStart w:id="447" w:name="_GoBack"/>
      <w:bookmarkEnd w:id="447"/>
    </w:p>
    <w:p w14:paraId="72A2F08F">
      <w:pPr>
        <w:pageBreakBefore w:val="0"/>
        <w:kinsoku/>
        <w:overflowPunct/>
        <w:topLinePunct w:val="0"/>
        <w:bidi w:val="0"/>
        <w:snapToGrid w:val="0"/>
        <w:spacing w:line="360" w:lineRule="auto"/>
        <w:jc w:val="both"/>
        <w:rPr>
          <w:rFonts w:hint="eastAsia" w:ascii="宋体" w:hAnsi="宋体" w:eastAsia="宋体" w:cs="宋体"/>
          <w:kern w:val="0"/>
          <w:szCs w:val="21"/>
          <w:highlight w:val="none"/>
          <w:lang w:eastAsia="zh-CN"/>
        </w:rPr>
      </w:pPr>
      <w:r>
        <w:rPr>
          <w:rFonts w:hint="eastAsia" w:ascii="宋体" w:hAnsi="宋体" w:cs="宋体"/>
          <w:kern w:val="0"/>
          <w:szCs w:val="21"/>
          <w:highlight w:val="none"/>
        </w:rPr>
        <w:t>附件</w:t>
      </w:r>
      <w:bookmarkEnd w:id="362"/>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w:t>
      </w:r>
    </w:p>
    <w:p w14:paraId="1381F594">
      <w:pPr>
        <w:pageBreakBefore w:val="0"/>
        <w:kinsoku/>
        <w:overflowPunct/>
        <w:topLinePunct w:val="0"/>
        <w:bidi w:val="0"/>
        <w:spacing w:line="360" w:lineRule="auto"/>
        <w:ind w:firstLine="482" w:firstLineChars="200"/>
        <w:rPr>
          <w:rFonts w:ascii="宋体" w:hAnsi="宋体" w:cs="宋体"/>
          <w:b/>
          <w:sz w:val="24"/>
          <w:szCs w:val="24"/>
          <w:highlight w:val="none"/>
        </w:rPr>
      </w:pPr>
    </w:p>
    <w:p w14:paraId="4B8ED35A">
      <w:pPr>
        <w:keepNext w:val="0"/>
        <w:keepLines w:val="0"/>
        <w:pageBreakBefore w:val="0"/>
        <w:widowControl/>
        <w:kinsoku/>
        <w:wordWrap/>
        <w:overflowPunct/>
        <w:topLinePunct w:val="0"/>
        <w:bidi w:val="0"/>
        <w:snapToGrid w:val="0"/>
        <w:spacing w:line="360" w:lineRule="auto"/>
        <w:ind w:firstLine="480" w:firstLineChars="200"/>
        <w:jc w:val="center"/>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重庆市水利工程建设廉政合同</w:t>
      </w:r>
    </w:p>
    <w:p w14:paraId="396234D6">
      <w:pPr>
        <w:pStyle w:val="2"/>
      </w:pPr>
    </w:p>
    <w:p w14:paraId="4C376317">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工程合同编号：</w:t>
      </w:r>
      <w:r>
        <w:rPr>
          <w:rFonts w:hint="eastAsia" w:ascii="宋体" w:hAnsi="宋体" w:cs="宋体"/>
          <w:kern w:val="0"/>
          <w:szCs w:val="21"/>
          <w:highlight w:val="none"/>
          <w:u w:val="single"/>
        </w:rPr>
        <w:t xml:space="preserve">                                     </w:t>
      </w:r>
    </w:p>
    <w:p w14:paraId="4BC60400">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廉政合同编号：</w:t>
      </w:r>
      <w:r>
        <w:rPr>
          <w:rFonts w:hint="eastAsia" w:ascii="宋体" w:hAnsi="宋体" w:cs="宋体"/>
          <w:kern w:val="0"/>
          <w:szCs w:val="21"/>
          <w:highlight w:val="none"/>
          <w:u w:val="single"/>
        </w:rPr>
        <w:t xml:space="preserve">                                     </w:t>
      </w:r>
    </w:p>
    <w:p w14:paraId="0352465A">
      <w:pPr>
        <w:keepNext w:val="0"/>
        <w:keepLines w:val="0"/>
        <w:pageBreakBefore w:val="0"/>
        <w:widowControl/>
        <w:kinsoku/>
        <w:wordWrap/>
        <w:overflowPunct/>
        <w:topLinePunct w:val="0"/>
        <w:bidi w:val="0"/>
        <w:spacing w:line="360" w:lineRule="auto"/>
        <w:ind w:right="-884" w:rightChars="-421" w:firstLine="420" w:firstLineChars="200"/>
        <w:textAlignment w:val="baseline"/>
        <w:rPr>
          <w:rFonts w:hint="eastAsia" w:ascii="宋体" w:hAnsi="宋体" w:eastAsia="宋体" w:cs="Times New Roman"/>
          <w:b w:val="0"/>
          <w:bCs/>
          <w:snapToGrid w:val="0"/>
          <w:color w:val="auto"/>
          <w:spacing w:val="0"/>
          <w:w w:val="100"/>
          <w:kern w:val="0"/>
          <w:sz w:val="21"/>
          <w:szCs w:val="21"/>
          <w:highlight w:val="none"/>
          <w:u w:val="single"/>
          <w:lang w:val="en-US" w:eastAsia="zh-CN" w:bidi="ar-SA"/>
        </w:rPr>
      </w:pPr>
      <w:r>
        <w:rPr>
          <w:rFonts w:hint="eastAsia" w:ascii="宋体" w:hAnsi="宋体" w:cs="宋体"/>
          <w:kern w:val="0"/>
          <w:szCs w:val="21"/>
          <w:highlight w:val="none"/>
        </w:rPr>
        <w:t>工程项目名称：</w:t>
      </w:r>
      <w:r>
        <w:rPr>
          <w:rFonts w:hint="eastAsia" w:ascii="宋体" w:hAnsi="宋体" w:cs="宋体"/>
          <w:kern w:val="0"/>
          <w:szCs w:val="21"/>
          <w:highlight w:val="none"/>
          <w:u w:val="single"/>
        </w:rPr>
        <w:t xml:space="preserve"> </w:t>
      </w:r>
      <w:r>
        <w:rPr>
          <w:rFonts w:hint="eastAsia"/>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南川区水江镇、楠竹山镇、中桥乡抗旱水源工程</w:t>
      </w:r>
    </w:p>
    <w:p w14:paraId="045471FC">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工程项目地址：</w:t>
      </w:r>
      <w:r>
        <w:rPr>
          <w:rFonts w:hint="eastAsia"/>
          <w:szCs w:val="21"/>
          <w:highlight w:val="none"/>
          <w:u w:val="single"/>
          <w:lang w:val="en-US" w:eastAsia="zh-CN"/>
        </w:rPr>
        <w:t xml:space="preserve">   </w:t>
      </w:r>
      <w:r>
        <w:rPr>
          <w:rFonts w:hint="eastAsia" w:ascii="宋体" w:hAnsi="宋体" w:eastAsia="宋体" w:cs="Times New Roman"/>
          <w:b w:val="0"/>
          <w:bCs/>
          <w:snapToGrid w:val="0"/>
          <w:color w:val="auto"/>
          <w:spacing w:val="0"/>
          <w:w w:val="100"/>
          <w:kern w:val="0"/>
          <w:sz w:val="21"/>
          <w:szCs w:val="21"/>
          <w:highlight w:val="none"/>
          <w:u w:val="single"/>
          <w:lang w:val="en-US" w:eastAsia="zh-CN" w:bidi="ar-SA"/>
        </w:rPr>
        <w:t>南川区</w:t>
      </w:r>
      <w:r>
        <w:rPr>
          <w:rFonts w:hint="eastAsia" w:ascii="宋体" w:hAnsi="宋体" w:cs="Times New Roman"/>
          <w:b w:val="0"/>
          <w:bCs/>
          <w:snapToGrid w:val="0"/>
          <w:color w:val="auto"/>
          <w:spacing w:val="0"/>
          <w:w w:val="100"/>
          <w:kern w:val="0"/>
          <w:sz w:val="21"/>
          <w:szCs w:val="21"/>
          <w:highlight w:val="none"/>
          <w:u w:val="single"/>
          <w:lang w:val="en-US" w:eastAsia="zh-CN" w:bidi="ar-SA"/>
        </w:rPr>
        <w:t>水江镇长青社区</w:t>
      </w:r>
      <w:r>
        <w:rPr>
          <w:rFonts w:hint="eastAsia" w:ascii="宋体" w:hAnsi="宋体" w:cs="宋体"/>
          <w:kern w:val="0"/>
          <w:szCs w:val="21"/>
          <w:highlight w:val="none"/>
          <w:u w:val="single"/>
        </w:rPr>
        <w:t xml:space="preserve"> </w:t>
      </w:r>
    </w:p>
    <w:p w14:paraId="61D381FB">
      <w:pPr>
        <w:keepNext w:val="0"/>
        <w:keepLines w:val="0"/>
        <w:pageBreakBefore w:val="0"/>
        <w:widowControl/>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项目法人（甲方）：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bCs/>
          <w:snapToGrid w:val="0"/>
          <w:kern w:val="0"/>
          <w:sz w:val="21"/>
          <w:szCs w:val="21"/>
          <w:u w:val="single"/>
          <w:lang w:val="zh-CN"/>
        </w:rPr>
        <w:t>重庆市南川区泽禹供水有限责任公司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FF09F0C">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施工单位（乙方）：</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cs="宋体"/>
          <w:color w:val="auto"/>
          <w:kern w:val="0"/>
          <w:szCs w:val="21"/>
          <w:u w:val="single"/>
        </w:rPr>
        <w:tab/>
      </w:r>
      <w:r>
        <w:rPr>
          <w:rFonts w:hint="eastAsia" w:ascii="宋体" w:hAnsi="宋体" w:cs="宋体"/>
          <w:kern w:val="0"/>
          <w:szCs w:val="21"/>
          <w:highlight w:val="none"/>
          <w:u w:val="single"/>
        </w:rPr>
        <w:t xml:space="preserve">    </w:t>
      </w:r>
    </w:p>
    <w:p w14:paraId="38E2B7B8">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为加强水利工程建设中的党风廉政建设，保证工程建设高效优质，保证建设资金的安全和有效使用以及投资效益，双方特订立本廉政合同。</w:t>
      </w:r>
    </w:p>
    <w:p w14:paraId="2A2B4C1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第一条  双方的责任：</w:t>
      </w:r>
    </w:p>
    <w:p w14:paraId="479379A1">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（一）严格遵守党和国家有关法律法规及水行政主管部门的规定。</w:t>
      </w:r>
    </w:p>
    <w:p w14:paraId="0CF2E80D">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（二）严格执行</w:t>
      </w:r>
      <w:r>
        <w:rPr>
          <w:rFonts w:hint="eastAsia"/>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南川区水江镇、楠竹山镇、中桥乡抗旱水源工程</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建设工程的合同，自觉遵守合同。</w:t>
      </w:r>
    </w:p>
    <w:p w14:paraId="0501F6DD">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（三）双方的业务活动坚持公开、公正、诚信、透明原则（法律认定的商业秘密和合同文件另有规定的除外），不得损害国家和集体利益，不得违反工程建设管理规章制度。</w:t>
      </w:r>
    </w:p>
    <w:p w14:paraId="67293E5D">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（四）建立健全廉政制度，开展廉政教育，设立廉政告示牌，公布举报电话，监督并认真查处违法违纪行为。</w:t>
      </w:r>
    </w:p>
    <w:p w14:paraId="4D890F7F">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（五）任何一方发现对方在业务活动中有违反廉政规定的行为，有及时提醒对方纠正的权利和义务。</w:t>
      </w:r>
    </w:p>
    <w:p w14:paraId="43C53CB3">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（六）发现对方严重违反本合同的行为，任何一方有向上级有关部门举报、建议给予处理并要求告知处理结果的权利。</w:t>
      </w:r>
    </w:p>
    <w:p w14:paraId="618B2609">
      <w:pPr>
        <w:pageBreakBefore w:val="0"/>
        <w:kinsoku/>
        <w:overflowPunct/>
        <w:topLinePunct w:val="0"/>
        <w:bidi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第二条  甲方应遵守的内容：</w:t>
      </w:r>
    </w:p>
    <w:p w14:paraId="017A7C4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（一）甲方及其工作人员不得索取、接受或者变相接受乙方的财物。不得在乙方报销任何应由甲方或个人支付的费用等。</w:t>
      </w:r>
    </w:p>
    <w:p w14:paraId="5B0CB22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（二）甲方工作人员不得接受可能影响公正执行公务的礼品、宴请以及旅游、健身、娱乐等活动安排，不得接受乙方提供的通讯工具、交通工具和高档办公用品等。</w:t>
      </w:r>
    </w:p>
    <w:p w14:paraId="07430B7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（三）甲方及其工作人员不得要求或者接受乙方为其住房装修、婚丧嫁娶活动、配偶子女的工作安排以及出国出境、旅游等提供方便等。</w:t>
      </w:r>
    </w:p>
    <w:p w14:paraId="326576F3">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（四）甲方工作人员的配偶、子女不得从事与甲方工程有关的材料设备供应、工程分包、劳务等经济活动等。</w:t>
      </w:r>
    </w:p>
    <w:p w14:paraId="3180BCD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（五）除本合同规定外，甲方及其工作人员不得以任何理由向乙方推荐分包单位，不得要求乙方购买合同规定外的材料和设备。</w:t>
      </w:r>
    </w:p>
    <w:p w14:paraId="548C4E2E">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第三条  乙方应遵守的内容：</w:t>
      </w:r>
    </w:p>
    <w:p w14:paraId="1FD316A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（一）乙方不得以任何理由向甲方及其工作人员行贿或馈赠财物。</w:t>
      </w:r>
    </w:p>
    <w:p w14:paraId="24D9ED7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（二）乙方不得以任何名义为甲方及其工作人员报销应由甲方单位或个人支付的任何费用。</w:t>
      </w:r>
    </w:p>
    <w:p w14:paraId="56521CF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（三）乙方不得以任何理由邀请甲方及其工作人员外出旅游或安排甲方工作人员参加超标准宴请及娱乐活动。</w:t>
      </w:r>
    </w:p>
    <w:p w14:paraId="7360872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（四）乙方不得为甲方单位和个人购置或提供通讯工具、交通工具和高档办公用品等。</w:t>
      </w:r>
    </w:p>
    <w:p w14:paraId="51805AA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（五）乙方及其工作人员应严格按监理规程办事，不得为谋取私利向监理人员非法行贿，私下串通，损害甲方利益。同时必须对监理单位和工程监理人员履行向甲方承诺的上述其他廉政义务。</w:t>
      </w:r>
    </w:p>
    <w:p w14:paraId="507861B9">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3D2E9112">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第四条  违约责任：</w:t>
      </w:r>
    </w:p>
    <w:p w14:paraId="429A988D">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（一）甲方及其工作人员违反本合同第一、二条，按管理权限，依据有关规定给予党纪、政纪或组织处理；涉嫌犯罪的，移交司法机关追究刑事责任；给乙方单位造成经济损失的，应予以赔偿。</w:t>
      </w:r>
    </w:p>
    <w:p w14:paraId="2F1F3BF5">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二）乙方及其工作人员违反本合同第一、三条的，按管理权限，依据有关规定，给予党纪、政纪或组织处理；给甲方单位造成经济损失的，应予以赔偿；情节严重的，甲方建议水行政主管部门给予乙方二至五年内不得进入其主管的水利工程建设市场的处罚。</w:t>
      </w:r>
    </w:p>
    <w:p w14:paraId="1F5C2D2A">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三）乙方及其工作人员违反本《廉政合同》规定，根据查证金额的10倍，由乙方向甲方承担违约金，并在工程进度款中扣除，后续进度款不足的在履约保证金中扣除。若仍不足以支付违约金，甲方还可向乙方继续追讨。</w:t>
      </w:r>
    </w:p>
    <w:p w14:paraId="44741FD7">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第五条  本《廉政合同》的监督单位为项目所在地水行政主管部门纪检监察机构。</w:t>
      </w:r>
    </w:p>
    <w:p w14:paraId="0B4BA544">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第六条  本合同有效期为甲乙双方签署之日起至该合同工程完工验收后止。</w:t>
      </w:r>
    </w:p>
    <w:p w14:paraId="46CD2A7C">
      <w:pPr>
        <w:pageBreakBefore w:val="0"/>
        <w:kinsoku/>
        <w:overflowPunct/>
        <w:topLinePunct w:val="0"/>
        <w:bidi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第七条  本合同作为</w:t>
      </w:r>
      <w:r>
        <w:rPr>
          <w:rFonts w:hint="eastAsia"/>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南川区水江镇、楠竹山镇、中桥乡抗旱水源工程</w:t>
      </w:r>
      <w:r>
        <w:rPr>
          <w:rFonts w:hint="eastAsia" w:ascii="宋体" w:hAnsi="宋体" w:cs="宋体"/>
          <w:kern w:val="0"/>
          <w:szCs w:val="21"/>
          <w:highlight w:val="none"/>
        </w:rPr>
        <w:t>程施工合同的附件，与工程施工合同具有同等的法律效力，经甲乙双方监督单位加盖公章，法定代表人或授权代理人签名后生效。</w:t>
      </w:r>
    </w:p>
    <w:p w14:paraId="26F97FDA">
      <w:pPr>
        <w:pageBreakBefore w:val="0"/>
        <w:kinsoku/>
        <w:overflowPunct/>
        <w:topLinePunct w:val="0"/>
        <w:bidi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第八条  本合同一式叁份，甲、乙双方及监督单位各执一份。</w:t>
      </w:r>
    </w:p>
    <w:p w14:paraId="6A925A4F">
      <w:pPr>
        <w:pageBreakBefore w:val="0"/>
        <w:kinsoku/>
        <w:overflowPunct/>
        <w:topLinePunct w:val="0"/>
        <w:bidi w:val="0"/>
        <w:snapToGrid w:val="0"/>
        <w:spacing w:line="360" w:lineRule="auto"/>
        <w:rPr>
          <w:rFonts w:hint="eastAsia" w:ascii="宋体" w:hAnsi="宋体" w:cs="宋体"/>
          <w:kern w:val="0"/>
          <w:szCs w:val="21"/>
          <w:highlight w:val="none"/>
        </w:rPr>
      </w:pPr>
    </w:p>
    <w:p w14:paraId="44DC183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kern w:val="0"/>
          <w:szCs w:val="21"/>
          <w:highlight w:val="none"/>
        </w:rPr>
      </w:pPr>
    </w:p>
    <w:p w14:paraId="267B039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 xml:space="preserve">甲方单位：（盖章）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乙方单位：（盖章）</w:t>
      </w:r>
    </w:p>
    <w:p w14:paraId="34FED73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法定代表人（或授权的代理人）：                   法定代表人：</w:t>
      </w:r>
    </w:p>
    <w:p w14:paraId="128F776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 xml:space="preserve">地址：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地址：</w:t>
      </w:r>
    </w:p>
    <w:p w14:paraId="3E53423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kern w:val="0"/>
          <w:szCs w:val="21"/>
          <w:highlight w:val="none"/>
        </w:rPr>
      </w:pPr>
      <w:r>
        <w:rPr>
          <w:rFonts w:hint="eastAsia" w:ascii="宋体" w:hAnsi="宋体" w:cs="宋体"/>
          <w:kern w:val="0"/>
          <w:szCs w:val="21"/>
          <w:highlight w:val="none"/>
        </w:rPr>
        <w:t xml:space="preserve">电话：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电话：</w:t>
      </w:r>
    </w:p>
    <w:p w14:paraId="3F7379C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kern w:val="0"/>
          <w:szCs w:val="21"/>
          <w:highlight w:val="none"/>
        </w:rPr>
      </w:pPr>
    </w:p>
    <w:p w14:paraId="280179A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kern w:val="0"/>
          <w:szCs w:val="21"/>
          <w:highlight w:val="none"/>
        </w:rPr>
      </w:pPr>
    </w:p>
    <w:p w14:paraId="705EAE9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监督单位：（盖章）</w:t>
      </w:r>
    </w:p>
    <w:p w14:paraId="3FABAAA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kern w:val="0"/>
          <w:szCs w:val="21"/>
          <w:highlight w:val="none"/>
          <w:lang w:val="en-US" w:eastAsia="zh-CN"/>
        </w:rPr>
      </w:pPr>
      <w:r>
        <w:rPr>
          <w:rFonts w:hint="eastAsia" w:ascii="宋体" w:hAnsi="宋体" w:cs="宋体"/>
          <w:kern w:val="0"/>
          <w:szCs w:val="21"/>
          <w:highlight w:val="none"/>
        </w:rPr>
        <w:t>电话：</w:t>
      </w:r>
      <w:r>
        <w:rPr>
          <w:rFonts w:hint="eastAsia" w:ascii="宋体" w:hAnsi="宋体" w:cs="宋体"/>
          <w:kern w:val="0"/>
          <w:szCs w:val="21"/>
          <w:highlight w:val="none"/>
          <w:lang w:val="en-US" w:eastAsia="zh-CN"/>
        </w:rPr>
        <w:t xml:space="preserve">                                                        </w:t>
      </w:r>
    </w:p>
    <w:p w14:paraId="15BF6F25">
      <w:pPr>
        <w:pageBreakBefore w:val="0"/>
        <w:kinsoku/>
        <w:overflowPunct/>
        <w:topLinePunct w:val="0"/>
        <w:bidi w:val="0"/>
        <w:snapToGrid w:val="0"/>
        <w:spacing w:line="360" w:lineRule="auto"/>
        <w:jc w:val="right"/>
        <w:rPr>
          <w:rFonts w:ascii="宋体" w:hAnsi="宋体" w:cs="宋体"/>
          <w:kern w:val="0"/>
          <w:szCs w:val="21"/>
          <w:highlight w:val="none"/>
        </w:rPr>
      </w:pPr>
      <w:r>
        <w:rPr>
          <w:rFonts w:hint="eastAsia" w:ascii="宋体" w:hAnsi="宋体" w:cs="宋体"/>
          <w:kern w:val="0"/>
          <w:szCs w:val="21"/>
          <w:highlight w:val="none"/>
        </w:rPr>
        <w:t>年   月   日</w:t>
      </w:r>
    </w:p>
    <w:p w14:paraId="03126BC3">
      <w:pPr>
        <w:spacing w:line="480" w:lineRule="auto"/>
        <w:rPr>
          <w:rFonts w:ascii="宋体" w:hAnsi="宋体"/>
          <w:b w:val="0"/>
          <w:bCs w:val="0"/>
          <w:szCs w:val="21"/>
        </w:rPr>
      </w:pPr>
      <w:r>
        <w:rPr>
          <w:rFonts w:hint="eastAsia" w:ascii="宋体" w:hAnsi="宋体" w:cs="宋体"/>
          <w:b/>
          <w:szCs w:val="21"/>
          <w:highlight w:val="none"/>
        </w:rPr>
        <w:br w:type="page"/>
      </w:r>
      <w:r>
        <w:rPr>
          <w:rFonts w:hint="eastAsia" w:ascii="宋体" w:hAnsi="宋体"/>
          <w:b w:val="0"/>
          <w:bCs w:val="0"/>
          <w:szCs w:val="21"/>
        </w:rPr>
        <w:t>附件</w:t>
      </w:r>
      <w:r>
        <w:rPr>
          <w:rFonts w:hint="eastAsia" w:ascii="宋体" w:hAnsi="宋体"/>
          <w:b w:val="0"/>
          <w:bCs w:val="0"/>
          <w:szCs w:val="21"/>
          <w:lang w:val="en-US" w:eastAsia="zh-CN"/>
        </w:rPr>
        <w:t>5</w:t>
      </w:r>
      <w:r>
        <w:rPr>
          <w:rFonts w:hint="eastAsia" w:ascii="宋体" w:hAnsi="宋体"/>
          <w:b w:val="0"/>
          <w:bCs w:val="0"/>
          <w:szCs w:val="21"/>
        </w:rPr>
        <w:t>：</w:t>
      </w:r>
    </w:p>
    <w:p w14:paraId="4CF18ECC">
      <w:pPr>
        <w:spacing w:before="156" w:beforeLines="50" w:after="156" w:afterLines="50" w:line="480" w:lineRule="auto"/>
        <w:jc w:val="center"/>
        <w:rPr>
          <w:rFonts w:ascii="宋体" w:hAnsi="宋体"/>
          <w:b w:val="0"/>
          <w:bCs w:val="0"/>
          <w:sz w:val="28"/>
          <w:szCs w:val="28"/>
        </w:rPr>
      </w:pPr>
      <w:bookmarkStart w:id="363" w:name="_Toc448406299"/>
      <w:bookmarkStart w:id="364" w:name="_Toc435689499"/>
      <w:bookmarkStart w:id="365" w:name="_Toc247431422"/>
      <w:bookmarkStart w:id="366" w:name="_Toc435690184"/>
      <w:bookmarkStart w:id="367" w:name="_Toc239510288"/>
      <w:bookmarkStart w:id="368" w:name="_Toc336680145"/>
      <w:r>
        <w:rPr>
          <w:rFonts w:hint="eastAsia" w:ascii="宋体" w:hAnsi="宋体"/>
          <w:b w:val="0"/>
          <w:bCs w:val="0"/>
          <w:sz w:val="28"/>
          <w:szCs w:val="28"/>
        </w:rPr>
        <w:t>安全管理协议</w:t>
      </w:r>
      <w:bookmarkEnd w:id="363"/>
      <w:bookmarkEnd w:id="364"/>
      <w:bookmarkEnd w:id="365"/>
      <w:bookmarkEnd w:id="366"/>
      <w:bookmarkEnd w:id="367"/>
      <w:bookmarkEnd w:id="368"/>
    </w:p>
    <w:p w14:paraId="02DA75A8">
      <w:pPr>
        <w:snapToGrid w:val="0"/>
        <w:spacing w:line="360" w:lineRule="auto"/>
        <w:ind w:firstLine="420" w:firstLineChars="200"/>
        <w:rPr>
          <w:rFonts w:ascii="宋体" w:hAnsi="宋体"/>
          <w:b w:val="0"/>
          <w:bCs w:val="0"/>
          <w:szCs w:val="21"/>
          <w:u w:val="single"/>
        </w:rPr>
      </w:pPr>
      <w:r>
        <w:rPr>
          <w:rFonts w:hint="eastAsia" w:ascii="宋体" w:hAnsi="宋体"/>
          <w:b w:val="0"/>
          <w:bCs w:val="0"/>
          <w:szCs w:val="21"/>
        </w:rPr>
        <w:t>发包人（全称）：</w:t>
      </w:r>
      <w:r>
        <w:rPr>
          <w:rFonts w:hint="eastAsia" w:ascii="宋体" w:hAnsi="宋体" w:eastAsia="宋体"/>
          <w:bCs/>
          <w:snapToGrid w:val="0"/>
          <w:kern w:val="0"/>
          <w:sz w:val="21"/>
          <w:szCs w:val="21"/>
          <w:u w:val="single"/>
          <w:lang w:val="en-US" w:eastAsia="zh-CN"/>
        </w:rPr>
        <w:t>重庆市南川区泽禹供水有限责任公司</w:t>
      </w:r>
      <w:r>
        <w:rPr>
          <w:rFonts w:hint="eastAsia" w:ascii="宋体" w:hAnsi="宋体" w:eastAsia="宋体"/>
          <w:bCs/>
          <w:snapToGrid w:val="0"/>
          <w:kern w:val="0"/>
          <w:sz w:val="21"/>
          <w:szCs w:val="21"/>
          <w:u w:val="single"/>
          <w:lang w:val="zh-CN"/>
        </w:rPr>
        <w:t xml:space="preserve"> </w:t>
      </w:r>
    </w:p>
    <w:p w14:paraId="0B70E441">
      <w:pPr>
        <w:snapToGrid w:val="0"/>
        <w:spacing w:line="360" w:lineRule="auto"/>
        <w:ind w:firstLine="420" w:firstLineChars="200"/>
        <w:rPr>
          <w:rFonts w:ascii="宋体" w:hAnsi="宋体"/>
          <w:b w:val="0"/>
          <w:bCs w:val="0"/>
          <w:szCs w:val="21"/>
          <w:u w:val="single"/>
        </w:rPr>
      </w:pPr>
      <w:r>
        <w:rPr>
          <w:rFonts w:hint="eastAsia" w:ascii="宋体" w:hAnsi="宋体"/>
          <w:b w:val="0"/>
          <w:bCs w:val="0"/>
          <w:szCs w:val="21"/>
        </w:rPr>
        <w:t>承包人（全称）：</w:t>
      </w:r>
      <w:r>
        <w:rPr>
          <w:rFonts w:hint="eastAsia" w:ascii="宋体" w:hAnsi="宋体" w:cs="宋体"/>
          <w:b w:val="0"/>
          <w:bCs w:val="0"/>
          <w:color w:val="auto"/>
          <w:w w:val="99"/>
          <w:kern w:val="0"/>
          <w:sz w:val="24"/>
          <w:szCs w:val="24"/>
          <w:highlight w:val="none"/>
          <w:u w:val="single"/>
          <w:lang w:val="en-US" w:eastAsia="zh-CN"/>
        </w:rPr>
        <w:t xml:space="preserve"> </w:t>
      </w:r>
      <w:r>
        <w:rPr>
          <w:rFonts w:hint="eastAsia" w:ascii="宋体" w:hAnsi="宋体" w:eastAsia="宋体" w:cs="宋体"/>
          <w:b w:val="0"/>
          <w:bCs w:val="0"/>
          <w:color w:val="auto"/>
          <w:w w:val="99"/>
          <w:kern w:val="0"/>
          <w:sz w:val="24"/>
          <w:szCs w:val="24"/>
          <w:highlight w:val="none"/>
          <w:u w:val="single"/>
          <w:lang w:val="en-US" w:eastAsia="zh-CN"/>
        </w:rPr>
        <w:t xml:space="preserve"> </w:t>
      </w:r>
      <w:r>
        <w:rPr>
          <w:rFonts w:hint="eastAsia" w:ascii="宋体" w:hAnsi="宋体" w:cs="宋体"/>
          <w:b w:val="0"/>
          <w:bCs w:val="0"/>
          <w:color w:val="auto"/>
          <w:w w:val="99"/>
          <w:kern w:val="0"/>
          <w:sz w:val="24"/>
          <w:szCs w:val="24"/>
          <w:highlight w:val="none"/>
          <w:u w:val="single"/>
          <w:lang w:val="en-US" w:eastAsia="zh-CN"/>
        </w:rPr>
        <w:t xml:space="preserve">                           </w:t>
      </w:r>
      <w:r>
        <w:rPr>
          <w:rFonts w:hint="eastAsia" w:ascii="宋体" w:hAnsi="宋体" w:eastAsia="宋体" w:cs="宋体"/>
          <w:b w:val="0"/>
          <w:bCs w:val="0"/>
          <w:color w:val="auto"/>
          <w:w w:val="99"/>
          <w:kern w:val="0"/>
          <w:sz w:val="24"/>
          <w:szCs w:val="24"/>
          <w:highlight w:val="none"/>
          <w:u w:val="single"/>
          <w:lang w:val="en-US" w:eastAsia="zh-CN"/>
        </w:rPr>
        <w:t xml:space="preserve">    </w:t>
      </w:r>
    </w:p>
    <w:p w14:paraId="4AC5669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b w:val="0"/>
          <w:bCs w:val="0"/>
          <w:szCs w:val="21"/>
        </w:rPr>
      </w:pPr>
      <w:r>
        <w:rPr>
          <w:rFonts w:hint="eastAsia" w:ascii="宋体" w:hAnsi="宋体"/>
          <w:b w:val="0"/>
          <w:bCs w:val="0"/>
          <w:szCs w:val="21"/>
        </w:rPr>
        <w:t>为了确保实现</w:t>
      </w:r>
      <w:r>
        <w:rPr>
          <w:rFonts w:hint="eastAsia" w:ascii="宋体" w:hAnsi="宋体"/>
          <w:b w:val="0"/>
          <w:bCs w:val="0"/>
          <w:szCs w:val="21"/>
          <w:u w:val="single"/>
          <w:lang w:val="en-US" w:eastAsia="zh-CN"/>
        </w:rPr>
        <w:t>南川区水江镇、楠竹山镇、中桥乡抗旱水源工程</w:t>
      </w:r>
      <w:r>
        <w:rPr>
          <w:rFonts w:hint="eastAsia" w:ascii="宋体" w:hAnsi="宋体"/>
          <w:b w:val="0"/>
          <w:bCs w:val="0"/>
          <w:szCs w:val="21"/>
        </w:rPr>
        <w:t>安全生产目标，进一步明确双方的安全管理责任，加强安全生产管理工作的协调、管理力度，</w:t>
      </w:r>
      <w:r>
        <w:rPr>
          <w:rFonts w:hint="eastAsia" w:ascii="宋体" w:hAnsi="宋体"/>
          <w:b w:val="0"/>
          <w:bCs w:val="0"/>
          <w:szCs w:val="21"/>
          <w:u w:val="single"/>
          <w:lang w:val="en-US" w:eastAsia="zh-CN"/>
        </w:rPr>
        <w:t>重庆市南川区泽禹供水有限责任公司</w:t>
      </w:r>
      <w:r>
        <w:rPr>
          <w:rFonts w:hint="eastAsia" w:ascii="宋体" w:hAnsi="宋体"/>
          <w:b w:val="0"/>
          <w:bCs w:val="0"/>
          <w:szCs w:val="21"/>
        </w:rPr>
        <w:t>（以下简称“发包人”）与</w:t>
      </w:r>
      <w:r>
        <w:rPr>
          <w:rFonts w:hint="eastAsia" w:ascii="宋体" w:hAnsi="宋体"/>
          <w:b w:val="0"/>
          <w:bCs w:val="0"/>
          <w:szCs w:val="21"/>
          <w:u w:val="single"/>
          <w:lang w:val="en-US" w:eastAsia="zh-CN"/>
        </w:rPr>
        <w:t xml:space="preserve">      </w:t>
      </w:r>
      <w:r>
        <w:rPr>
          <w:rFonts w:hint="eastAsia" w:ascii="宋体" w:hAnsi="宋体"/>
          <w:b w:val="0"/>
          <w:bCs w:val="0"/>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7383D8BC">
      <w:pPr>
        <w:spacing w:line="360" w:lineRule="auto"/>
        <w:ind w:firstLine="420" w:firstLineChars="200"/>
        <w:rPr>
          <w:rFonts w:ascii="宋体" w:hAnsi="宋体"/>
          <w:b w:val="0"/>
          <w:bCs w:val="0"/>
          <w:szCs w:val="21"/>
        </w:rPr>
      </w:pPr>
      <w:bookmarkStart w:id="369" w:name="_Toc532375700"/>
      <w:bookmarkStart w:id="370" w:name="_Toc247431423"/>
      <w:bookmarkStart w:id="371" w:name="_Toc247418263"/>
      <w:bookmarkStart w:id="372" w:name="_Toc239510289"/>
      <w:r>
        <w:rPr>
          <w:rFonts w:hint="eastAsia" w:ascii="宋体" w:hAnsi="宋体"/>
          <w:b w:val="0"/>
          <w:bCs w:val="0"/>
          <w:szCs w:val="21"/>
        </w:rPr>
        <w:t>一、协议有效期限</w:t>
      </w:r>
      <w:bookmarkEnd w:id="369"/>
      <w:bookmarkEnd w:id="370"/>
      <w:bookmarkEnd w:id="371"/>
      <w:bookmarkEnd w:id="372"/>
    </w:p>
    <w:p w14:paraId="4A8F9791">
      <w:pPr>
        <w:spacing w:line="360" w:lineRule="auto"/>
        <w:ind w:firstLine="420" w:firstLineChars="200"/>
        <w:jc w:val="left"/>
        <w:rPr>
          <w:rFonts w:ascii="宋体" w:hAnsi="宋体"/>
          <w:b w:val="0"/>
          <w:bCs w:val="0"/>
          <w:szCs w:val="21"/>
        </w:rPr>
      </w:pPr>
      <w:r>
        <w:rPr>
          <w:rFonts w:hint="eastAsia" w:ascii="宋体" w:hAnsi="宋体"/>
          <w:b w:val="0"/>
          <w:bCs w:val="0"/>
          <w:szCs w:val="21"/>
        </w:rPr>
        <w:t>本协议中所涉及的安全管理责任自合同签订之日起开始生效，至合同工程全部完工验收且经发包人与承包人签订移交协议生效后之日终止。</w:t>
      </w:r>
    </w:p>
    <w:p w14:paraId="5CC6BE75">
      <w:pPr>
        <w:spacing w:line="360" w:lineRule="auto"/>
        <w:ind w:firstLine="420" w:firstLineChars="200"/>
        <w:rPr>
          <w:rFonts w:ascii="宋体" w:hAnsi="宋体"/>
          <w:b w:val="0"/>
          <w:bCs w:val="0"/>
          <w:szCs w:val="21"/>
        </w:rPr>
      </w:pPr>
      <w:bookmarkStart w:id="373" w:name="_Toc247418264"/>
      <w:bookmarkStart w:id="374" w:name="_Toc239510290"/>
      <w:bookmarkStart w:id="375" w:name="_Toc532375701"/>
      <w:bookmarkStart w:id="376" w:name="_Toc247431424"/>
      <w:r>
        <w:rPr>
          <w:rFonts w:hint="eastAsia" w:ascii="宋体" w:hAnsi="宋体"/>
          <w:b w:val="0"/>
          <w:bCs w:val="0"/>
          <w:szCs w:val="21"/>
        </w:rPr>
        <w:t>二、责任目标</w:t>
      </w:r>
      <w:bookmarkEnd w:id="373"/>
      <w:bookmarkEnd w:id="374"/>
      <w:bookmarkEnd w:id="375"/>
      <w:bookmarkEnd w:id="376"/>
    </w:p>
    <w:p w14:paraId="1A1C3CA3">
      <w:pPr>
        <w:spacing w:line="360" w:lineRule="auto"/>
        <w:ind w:firstLine="420" w:firstLineChars="200"/>
        <w:jc w:val="left"/>
        <w:rPr>
          <w:rFonts w:ascii="宋体" w:hAnsi="宋体"/>
          <w:b w:val="0"/>
          <w:bCs w:val="0"/>
          <w:szCs w:val="21"/>
        </w:rPr>
      </w:pPr>
      <w:r>
        <w:rPr>
          <w:rFonts w:hint="eastAsia" w:ascii="宋体" w:hAnsi="宋体"/>
          <w:b w:val="0"/>
          <w:bCs w:val="0"/>
          <w:szCs w:val="21"/>
        </w:rPr>
        <w:t>（一）承包人承诺承担和履行合同和发包人所规定的安全责任，且满足要求。</w:t>
      </w:r>
    </w:p>
    <w:p w14:paraId="745E5321">
      <w:pPr>
        <w:spacing w:line="360" w:lineRule="auto"/>
        <w:ind w:firstLine="420" w:firstLineChars="200"/>
        <w:jc w:val="left"/>
        <w:rPr>
          <w:rFonts w:ascii="宋体" w:hAnsi="宋体"/>
          <w:b w:val="0"/>
          <w:bCs w:val="0"/>
          <w:szCs w:val="21"/>
        </w:rPr>
      </w:pPr>
      <w:r>
        <w:rPr>
          <w:rFonts w:hint="eastAsia" w:ascii="宋体" w:hAnsi="宋体"/>
          <w:b w:val="0"/>
          <w:bCs w:val="0"/>
          <w:szCs w:val="21"/>
        </w:rPr>
        <w:t>（二）承包人的安全控制目标是确保本工程在实施过程中：</w:t>
      </w:r>
    </w:p>
    <w:p w14:paraId="5789F48D">
      <w:pPr>
        <w:spacing w:line="360" w:lineRule="auto"/>
        <w:ind w:firstLine="420" w:firstLineChars="200"/>
        <w:jc w:val="left"/>
        <w:rPr>
          <w:rFonts w:ascii="宋体" w:hAnsi="宋体"/>
          <w:b w:val="0"/>
          <w:bCs w:val="0"/>
          <w:szCs w:val="21"/>
        </w:rPr>
      </w:pPr>
      <w:r>
        <w:rPr>
          <w:rFonts w:hint="eastAsia" w:ascii="宋体" w:hAnsi="宋体"/>
          <w:b w:val="0"/>
          <w:bCs w:val="0"/>
          <w:szCs w:val="21"/>
        </w:rPr>
        <w:t>1．不发生人身重伤事故；</w:t>
      </w:r>
    </w:p>
    <w:p w14:paraId="3A53522B">
      <w:pPr>
        <w:spacing w:line="360" w:lineRule="auto"/>
        <w:ind w:firstLine="420" w:firstLineChars="200"/>
        <w:jc w:val="left"/>
        <w:rPr>
          <w:rFonts w:ascii="宋体" w:hAnsi="宋体"/>
          <w:b w:val="0"/>
          <w:bCs w:val="0"/>
          <w:szCs w:val="21"/>
        </w:rPr>
      </w:pPr>
      <w:r>
        <w:rPr>
          <w:rFonts w:hint="eastAsia" w:ascii="宋体" w:hAnsi="宋体"/>
          <w:b w:val="0"/>
          <w:bCs w:val="0"/>
          <w:szCs w:val="21"/>
        </w:rPr>
        <w:t>2．不发生火灾事故；</w:t>
      </w:r>
    </w:p>
    <w:p w14:paraId="460FE4FF">
      <w:pPr>
        <w:spacing w:line="360" w:lineRule="auto"/>
        <w:ind w:firstLine="420" w:firstLineChars="200"/>
        <w:jc w:val="left"/>
        <w:rPr>
          <w:rFonts w:ascii="宋体" w:hAnsi="宋体"/>
          <w:b w:val="0"/>
          <w:bCs w:val="0"/>
          <w:szCs w:val="21"/>
        </w:rPr>
      </w:pPr>
      <w:r>
        <w:rPr>
          <w:rFonts w:hint="eastAsia" w:ascii="宋体" w:hAnsi="宋体"/>
          <w:b w:val="0"/>
          <w:bCs w:val="0"/>
          <w:szCs w:val="21"/>
        </w:rPr>
        <w:t>3．不发生负有同等及以上事故责任的造成人身重伤的一般交通事故；</w:t>
      </w:r>
    </w:p>
    <w:p w14:paraId="3BAFEEC4">
      <w:pPr>
        <w:spacing w:line="360" w:lineRule="auto"/>
        <w:ind w:firstLine="420" w:firstLineChars="200"/>
        <w:jc w:val="left"/>
        <w:rPr>
          <w:rFonts w:ascii="宋体" w:hAnsi="宋体"/>
          <w:b w:val="0"/>
          <w:bCs w:val="0"/>
          <w:szCs w:val="21"/>
        </w:rPr>
      </w:pPr>
      <w:r>
        <w:rPr>
          <w:rFonts w:hint="eastAsia" w:ascii="宋体" w:hAnsi="宋体"/>
          <w:b w:val="0"/>
          <w:bCs w:val="0"/>
          <w:szCs w:val="21"/>
        </w:rPr>
        <w:t>4．不发生集体食物中毒事件（同时5人及以上的食物中毒）；</w:t>
      </w:r>
    </w:p>
    <w:p w14:paraId="161F0574">
      <w:pPr>
        <w:spacing w:line="360" w:lineRule="auto"/>
        <w:ind w:firstLine="420" w:firstLineChars="200"/>
        <w:jc w:val="left"/>
        <w:rPr>
          <w:rFonts w:ascii="宋体" w:hAnsi="宋体"/>
          <w:b w:val="0"/>
          <w:bCs w:val="0"/>
          <w:szCs w:val="21"/>
        </w:rPr>
      </w:pPr>
      <w:r>
        <w:rPr>
          <w:rFonts w:hint="eastAsia" w:ascii="宋体" w:hAnsi="宋体"/>
          <w:b w:val="0"/>
          <w:bCs w:val="0"/>
          <w:szCs w:val="21"/>
        </w:rPr>
        <w:t>5．不发生流行性传染病 （无甲型传染病、其他常见传染病未形成多人同时患病）；</w:t>
      </w:r>
    </w:p>
    <w:p w14:paraId="52AA0FF7">
      <w:pPr>
        <w:spacing w:line="360" w:lineRule="auto"/>
        <w:ind w:firstLine="420" w:firstLineChars="200"/>
        <w:jc w:val="left"/>
        <w:rPr>
          <w:rFonts w:ascii="宋体" w:hAnsi="宋体"/>
          <w:b w:val="0"/>
          <w:bCs w:val="0"/>
          <w:szCs w:val="21"/>
        </w:rPr>
      </w:pPr>
      <w:r>
        <w:rPr>
          <w:rFonts w:hint="eastAsia" w:ascii="宋体" w:hAnsi="宋体"/>
          <w:b w:val="0"/>
          <w:bCs w:val="0"/>
          <w:szCs w:val="21"/>
        </w:rPr>
        <w:t>6．不发生重大环境污染事件（生活、工业垃圾及其他污染物造成环境污染和大面积水土流失）；</w:t>
      </w:r>
    </w:p>
    <w:p w14:paraId="0C142FC0">
      <w:pPr>
        <w:spacing w:line="360" w:lineRule="auto"/>
        <w:ind w:firstLine="420" w:firstLineChars="200"/>
        <w:jc w:val="left"/>
        <w:rPr>
          <w:rFonts w:ascii="宋体" w:hAnsi="宋体"/>
          <w:b w:val="0"/>
          <w:bCs w:val="0"/>
          <w:szCs w:val="21"/>
        </w:rPr>
      </w:pPr>
      <w:r>
        <w:rPr>
          <w:rFonts w:hint="eastAsia" w:ascii="宋体" w:hAnsi="宋体"/>
          <w:b w:val="0"/>
          <w:bCs w:val="0"/>
          <w:szCs w:val="21"/>
        </w:rPr>
        <w:t>7．不发生对施工区附近生产、生活造成重大影响的事件（如造成重大设备损坏、重大财产损失、人员伤害等）；</w:t>
      </w:r>
    </w:p>
    <w:p w14:paraId="5F4CD5A0">
      <w:pPr>
        <w:spacing w:line="360" w:lineRule="auto"/>
        <w:ind w:firstLine="420" w:firstLineChars="200"/>
        <w:jc w:val="left"/>
        <w:rPr>
          <w:rFonts w:ascii="宋体" w:hAnsi="宋体"/>
          <w:b w:val="0"/>
          <w:bCs w:val="0"/>
          <w:szCs w:val="21"/>
        </w:rPr>
      </w:pPr>
      <w:r>
        <w:rPr>
          <w:rFonts w:hint="eastAsia" w:ascii="宋体" w:hAnsi="宋体"/>
          <w:b w:val="0"/>
          <w:bCs w:val="0"/>
          <w:szCs w:val="21"/>
        </w:rPr>
        <w:t>8．不发生治安保卫事件（构成刑事拘留及以上的事件、盗窃直接损失超过1万元人民币的事件）。</w:t>
      </w:r>
    </w:p>
    <w:p w14:paraId="2EE44221">
      <w:pPr>
        <w:spacing w:line="360" w:lineRule="auto"/>
        <w:ind w:firstLine="420" w:firstLineChars="200"/>
        <w:jc w:val="left"/>
        <w:rPr>
          <w:rFonts w:ascii="宋体" w:hAnsi="宋体"/>
          <w:b w:val="0"/>
          <w:bCs w:val="0"/>
          <w:szCs w:val="21"/>
        </w:rPr>
      </w:pPr>
      <w:bookmarkStart w:id="377" w:name="_Toc247418265"/>
      <w:bookmarkStart w:id="378" w:name="_Toc247431425"/>
      <w:bookmarkStart w:id="379" w:name="_Toc239510291"/>
      <w:r>
        <w:rPr>
          <w:rFonts w:hint="eastAsia" w:ascii="宋体" w:hAnsi="宋体"/>
          <w:b w:val="0"/>
          <w:bCs w:val="0"/>
          <w:szCs w:val="21"/>
        </w:rPr>
        <w:t>（三）承包人承诺在施工中控制以下安全事故的发生：</w:t>
      </w:r>
      <w:bookmarkEnd w:id="377"/>
      <w:bookmarkEnd w:id="378"/>
      <w:bookmarkEnd w:id="379"/>
    </w:p>
    <w:p w14:paraId="1994CD90">
      <w:pPr>
        <w:spacing w:line="360" w:lineRule="auto"/>
        <w:ind w:firstLine="420" w:firstLineChars="200"/>
        <w:jc w:val="left"/>
        <w:rPr>
          <w:rFonts w:ascii="宋体" w:hAnsi="宋体"/>
          <w:b w:val="0"/>
          <w:bCs w:val="0"/>
          <w:szCs w:val="21"/>
        </w:rPr>
      </w:pPr>
      <w:r>
        <w:rPr>
          <w:rFonts w:hint="eastAsia" w:ascii="宋体" w:hAnsi="宋体"/>
          <w:b w:val="0"/>
          <w:bCs w:val="0"/>
          <w:szCs w:val="21"/>
        </w:rPr>
        <w:t>1．人员轻伤事故。</w:t>
      </w:r>
    </w:p>
    <w:p w14:paraId="1430F191">
      <w:pPr>
        <w:spacing w:line="360" w:lineRule="auto"/>
        <w:ind w:firstLine="420" w:firstLineChars="200"/>
        <w:jc w:val="left"/>
        <w:rPr>
          <w:rFonts w:ascii="宋体" w:hAnsi="宋体"/>
          <w:b w:val="0"/>
          <w:bCs w:val="0"/>
          <w:szCs w:val="21"/>
        </w:rPr>
      </w:pPr>
      <w:r>
        <w:rPr>
          <w:rFonts w:hint="eastAsia" w:ascii="宋体" w:hAnsi="宋体"/>
          <w:b w:val="0"/>
          <w:bCs w:val="0"/>
          <w:szCs w:val="21"/>
        </w:rPr>
        <w:t>2．负有同等及以上事故责任的人身轻伤交通事故。</w:t>
      </w:r>
    </w:p>
    <w:p w14:paraId="2B931599">
      <w:pPr>
        <w:spacing w:line="360" w:lineRule="auto"/>
        <w:ind w:firstLine="420" w:firstLineChars="200"/>
        <w:jc w:val="left"/>
        <w:rPr>
          <w:rFonts w:ascii="宋体" w:hAnsi="宋体"/>
          <w:b w:val="0"/>
          <w:bCs w:val="0"/>
          <w:szCs w:val="21"/>
        </w:rPr>
      </w:pPr>
      <w:r>
        <w:rPr>
          <w:rFonts w:hint="eastAsia" w:ascii="宋体" w:hAnsi="宋体"/>
          <w:b w:val="0"/>
          <w:bCs w:val="0"/>
          <w:szCs w:val="21"/>
        </w:rPr>
        <w:t>3．其他安全未遂事故和异常事件。</w:t>
      </w:r>
    </w:p>
    <w:p w14:paraId="5FD0D309">
      <w:pPr>
        <w:spacing w:line="360" w:lineRule="auto"/>
        <w:ind w:firstLine="420" w:firstLineChars="200"/>
        <w:rPr>
          <w:rFonts w:ascii="宋体" w:hAnsi="宋体"/>
          <w:b w:val="0"/>
          <w:bCs w:val="0"/>
          <w:szCs w:val="21"/>
        </w:rPr>
      </w:pPr>
      <w:bookmarkStart w:id="380" w:name="_Toc239510292"/>
      <w:bookmarkStart w:id="381" w:name="_Toc247418266"/>
      <w:bookmarkStart w:id="382" w:name="_Toc532375702"/>
      <w:bookmarkStart w:id="383" w:name="_Toc247431426"/>
      <w:r>
        <w:rPr>
          <w:rFonts w:hint="eastAsia" w:ascii="宋体" w:hAnsi="宋体"/>
          <w:b w:val="0"/>
          <w:bCs w:val="0"/>
          <w:szCs w:val="21"/>
        </w:rPr>
        <w:t>三、安全责任</w:t>
      </w:r>
      <w:bookmarkEnd w:id="380"/>
      <w:bookmarkEnd w:id="381"/>
      <w:bookmarkEnd w:id="382"/>
      <w:bookmarkEnd w:id="383"/>
    </w:p>
    <w:p w14:paraId="291A9751">
      <w:pPr>
        <w:spacing w:line="360" w:lineRule="auto"/>
        <w:ind w:firstLine="420" w:firstLineChars="200"/>
        <w:jc w:val="left"/>
        <w:rPr>
          <w:rFonts w:ascii="宋体" w:hAnsi="宋体"/>
          <w:b w:val="0"/>
          <w:bCs w:val="0"/>
          <w:szCs w:val="21"/>
        </w:rPr>
      </w:pPr>
      <w:r>
        <w:rPr>
          <w:rFonts w:hint="eastAsia" w:ascii="宋体" w:hAnsi="宋体"/>
          <w:b w:val="0"/>
          <w:bCs w:val="0"/>
          <w:szCs w:val="21"/>
        </w:rPr>
        <w:t>1．承包人负有安全生产的管理责任和直接责任。</w:t>
      </w:r>
    </w:p>
    <w:p w14:paraId="42B71EF2">
      <w:pPr>
        <w:spacing w:line="360" w:lineRule="auto"/>
        <w:ind w:firstLine="420" w:firstLineChars="200"/>
        <w:jc w:val="left"/>
        <w:rPr>
          <w:rFonts w:ascii="宋体" w:hAnsi="宋体"/>
          <w:b w:val="0"/>
          <w:bCs w:val="0"/>
          <w:szCs w:val="21"/>
        </w:rPr>
      </w:pPr>
      <w:r>
        <w:rPr>
          <w:rFonts w:hint="eastAsia" w:ascii="宋体" w:hAnsi="宋体"/>
          <w:b w:val="0"/>
          <w:bCs w:val="0"/>
          <w:szCs w:val="21"/>
        </w:rPr>
        <w:t>2．承包人的法人或签署合同的公司总经理或受委托的代理人对合同安全负有全面的领导责任。</w:t>
      </w:r>
    </w:p>
    <w:p w14:paraId="11ABF70F">
      <w:pPr>
        <w:spacing w:line="360" w:lineRule="auto"/>
        <w:ind w:firstLine="420" w:firstLineChars="200"/>
        <w:jc w:val="left"/>
        <w:rPr>
          <w:rFonts w:ascii="宋体" w:hAnsi="宋体"/>
          <w:b w:val="0"/>
          <w:bCs w:val="0"/>
          <w:szCs w:val="21"/>
        </w:rPr>
      </w:pPr>
      <w:r>
        <w:rPr>
          <w:rFonts w:hint="eastAsia" w:ascii="宋体" w:hAnsi="宋体"/>
          <w:b w:val="0"/>
          <w:bCs w:val="0"/>
          <w:szCs w:val="21"/>
        </w:rPr>
        <w:t>3．承包人项目经理对施工现场的安全工作负有全面的直接领导责任。</w:t>
      </w:r>
    </w:p>
    <w:p w14:paraId="40C01C8E">
      <w:pPr>
        <w:spacing w:line="360" w:lineRule="auto"/>
        <w:ind w:firstLine="420" w:firstLineChars="200"/>
        <w:jc w:val="left"/>
        <w:rPr>
          <w:rFonts w:ascii="宋体" w:hAnsi="宋体"/>
          <w:b w:val="0"/>
          <w:bCs w:val="0"/>
          <w:szCs w:val="21"/>
        </w:rPr>
      </w:pPr>
      <w:r>
        <w:rPr>
          <w:rFonts w:hint="eastAsia" w:ascii="宋体" w:hAnsi="宋体"/>
          <w:b w:val="0"/>
          <w:bCs w:val="0"/>
          <w:szCs w:val="21"/>
        </w:rPr>
        <w:t>4．承包人保证执行“谁施工、谁负责”的施工安全原则。</w:t>
      </w:r>
    </w:p>
    <w:p w14:paraId="2B516677">
      <w:pPr>
        <w:spacing w:line="360" w:lineRule="auto"/>
        <w:ind w:firstLine="420" w:firstLineChars="200"/>
        <w:jc w:val="left"/>
        <w:rPr>
          <w:rFonts w:ascii="宋体" w:hAnsi="宋体"/>
          <w:b w:val="0"/>
          <w:bCs w:val="0"/>
          <w:szCs w:val="21"/>
        </w:rPr>
      </w:pPr>
      <w:r>
        <w:rPr>
          <w:rFonts w:hint="eastAsia" w:ascii="宋体" w:hAnsi="宋体"/>
          <w:b w:val="0"/>
          <w:bCs w:val="0"/>
          <w:szCs w:val="21"/>
        </w:rPr>
        <w:t>5．承包人保证服从发包人对安全工作的统一协调和管理。</w:t>
      </w:r>
    </w:p>
    <w:p w14:paraId="2EF4C28B">
      <w:pPr>
        <w:spacing w:line="360" w:lineRule="auto"/>
        <w:ind w:firstLine="420" w:firstLineChars="200"/>
        <w:jc w:val="left"/>
        <w:rPr>
          <w:rFonts w:ascii="宋体" w:hAnsi="宋体"/>
          <w:b w:val="0"/>
          <w:bCs w:val="0"/>
          <w:szCs w:val="21"/>
        </w:rPr>
      </w:pPr>
      <w:r>
        <w:rPr>
          <w:rFonts w:hint="eastAsia" w:ascii="宋体" w:hAnsi="宋体"/>
          <w:b w:val="0"/>
          <w:bCs w:val="0"/>
          <w:szCs w:val="21"/>
        </w:rPr>
        <w:t>6．承包人保证对本工程项目安全生产条件及其管理资源自行投入，保证安全资金的专款专用。</w:t>
      </w:r>
    </w:p>
    <w:p w14:paraId="493CA6A4">
      <w:pPr>
        <w:spacing w:line="360" w:lineRule="auto"/>
        <w:ind w:firstLine="420" w:firstLineChars="200"/>
        <w:jc w:val="left"/>
        <w:rPr>
          <w:rFonts w:ascii="宋体" w:hAnsi="宋体"/>
          <w:b w:val="0"/>
          <w:bCs w:val="0"/>
          <w:szCs w:val="21"/>
        </w:rPr>
      </w:pPr>
      <w:r>
        <w:rPr>
          <w:rFonts w:hint="eastAsia" w:ascii="宋体" w:hAnsi="宋体"/>
          <w:b w:val="0"/>
          <w:bCs w:val="0"/>
          <w:szCs w:val="21"/>
        </w:rPr>
        <w:t>7．承包人保证建立本工程项目的安全管理体系及安全保证体系（注：项目安全管理大纲/手册、管理性的程序文件等）。</w:t>
      </w:r>
    </w:p>
    <w:p w14:paraId="3602E485">
      <w:pPr>
        <w:spacing w:line="360" w:lineRule="auto"/>
        <w:ind w:firstLine="420" w:firstLineChars="200"/>
        <w:jc w:val="left"/>
        <w:rPr>
          <w:rFonts w:ascii="宋体" w:hAnsi="宋体"/>
          <w:b w:val="0"/>
          <w:bCs w:val="0"/>
          <w:szCs w:val="21"/>
        </w:rPr>
      </w:pPr>
      <w:r>
        <w:rPr>
          <w:rFonts w:hint="eastAsia" w:ascii="宋体" w:hAnsi="宋体"/>
          <w:b w:val="0"/>
          <w:bCs w:val="0"/>
          <w:szCs w:val="21"/>
        </w:rPr>
        <w:t>8．承包人保证现场的安全管理专职人员必须持有建设主管部门安全生产培训考核合格证书。</w:t>
      </w:r>
    </w:p>
    <w:p w14:paraId="316AB9B8">
      <w:pPr>
        <w:spacing w:line="360" w:lineRule="auto"/>
        <w:ind w:firstLine="420" w:firstLineChars="200"/>
        <w:jc w:val="left"/>
        <w:rPr>
          <w:rFonts w:ascii="宋体" w:hAnsi="宋体"/>
          <w:b w:val="0"/>
          <w:bCs w:val="0"/>
          <w:szCs w:val="21"/>
        </w:rPr>
      </w:pPr>
      <w:r>
        <w:rPr>
          <w:rFonts w:hint="eastAsia" w:ascii="宋体" w:hAnsi="宋体"/>
          <w:b w:val="0"/>
          <w:bCs w:val="0"/>
          <w:szCs w:val="21"/>
        </w:rPr>
        <w:t>9．承包人保证为现场所有工作人员（含分包商员工及劳务人员）配备符合国家标准的有承包人和/或其下属分包商标志的个人基本劳动保护用品。</w:t>
      </w:r>
    </w:p>
    <w:p w14:paraId="05CD6A2A">
      <w:pPr>
        <w:spacing w:line="360" w:lineRule="auto"/>
        <w:ind w:firstLine="420" w:firstLineChars="200"/>
        <w:jc w:val="left"/>
        <w:rPr>
          <w:rFonts w:ascii="宋体" w:hAnsi="宋体"/>
          <w:b w:val="0"/>
          <w:bCs w:val="0"/>
          <w:szCs w:val="21"/>
        </w:rPr>
      </w:pPr>
      <w:r>
        <w:rPr>
          <w:rFonts w:hint="eastAsia" w:ascii="宋体" w:hAnsi="宋体"/>
          <w:b w:val="0"/>
          <w:bCs w:val="0"/>
          <w:szCs w:val="21"/>
        </w:rPr>
        <w:t>10．承包人保证按照国家法律规定为现场所有工作人员（含分包商员工及劳务人员）购买意外伤害保险。</w:t>
      </w:r>
    </w:p>
    <w:p w14:paraId="0ADEF259">
      <w:pPr>
        <w:spacing w:line="360" w:lineRule="auto"/>
        <w:ind w:firstLine="420" w:firstLineChars="200"/>
        <w:jc w:val="left"/>
        <w:rPr>
          <w:rFonts w:ascii="宋体" w:hAnsi="宋体"/>
          <w:b w:val="0"/>
          <w:bCs w:val="0"/>
          <w:szCs w:val="21"/>
        </w:rPr>
      </w:pPr>
      <w:r>
        <w:rPr>
          <w:rFonts w:hint="eastAsia" w:ascii="宋体" w:hAnsi="宋体"/>
          <w:b w:val="0"/>
          <w:bCs w:val="0"/>
          <w:szCs w:val="21"/>
        </w:rPr>
        <w:t>11．承包人保证施工生活营地（包括自建的和租用的营地）满足消防、安全用电、卫生防疫、防暴雨、防雷击等方面的安全要求。</w:t>
      </w:r>
    </w:p>
    <w:p w14:paraId="59CFD177">
      <w:pPr>
        <w:spacing w:line="360" w:lineRule="auto"/>
        <w:ind w:firstLine="420" w:firstLineChars="200"/>
        <w:jc w:val="left"/>
        <w:rPr>
          <w:rFonts w:ascii="宋体" w:hAnsi="宋体"/>
          <w:b w:val="0"/>
          <w:bCs w:val="0"/>
          <w:szCs w:val="21"/>
        </w:rPr>
      </w:pPr>
      <w:r>
        <w:rPr>
          <w:rFonts w:hint="eastAsia" w:ascii="宋体" w:hAnsi="宋体"/>
          <w:b w:val="0"/>
          <w:bCs w:val="0"/>
          <w:szCs w:val="21"/>
        </w:rPr>
        <w:t>12．承包人保证对带入现场的设备、工具、材料按照国家法规和标准进行检测、试验，并持有法定部门出具的检验证书。</w:t>
      </w:r>
    </w:p>
    <w:p w14:paraId="6217E031">
      <w:pPr>
        <w:spacing w:line="360" w:lineRule="auto"/>
        <w:ind w:firstLine="420" w:firstLineChars="200"/>
        <w:jc w:val="left"/>
        <w:rPr>
          <w:rFonts w:ascii="宋体" w:hAnsi="宋体"/>
          <w:b w:val="0"/>
          <w:bCs w:val="0"/>
          <w:szCs w:val="21"/>
        </w:rPr>
      </w:pPr>
      <w:r>
        <w:rPr>
          <w:rFonts w:hint="eastAsia" w:ascii="宋体" w:hAnsi="宋体"/>
          <w:b w:val="0"/>
          <w:bCs w:val="0"/>
          <w:szCs w:val="21"/>
        </w:rPr>
        <w:t>13．承包人保证制订施工现场的文明施工措施，保护环境、树木和植被，保持施工现场的良好秩序和整洁的作业环境。</w:t>
      </w:r>
    </w:p>
    <w:p w14:paraId="11CA2EA0">
      <w:pPr>
        <w:spacing w:line="360" w:lineRule="auto"/>
        <w:ind w:firstLine="420" w:firstLineChars="200"/>
        <w:jc w:val="left"/>
        <w:rPr>
          <w:rFonts w:ascii="宋体" w:hAnsi="宋体"/>
          <w:b w:val="0"/>
          <w:bCs w:val="0"/>
          <w:szCs w:val="21"/>
        </w:rPr>
      </w:pPr>
      <w:r>
        <w:rPr>
          <w:rFonts w:hint="eastAsia" w:ascii="宋体" w:hAnsi="宋体"/>
          <w:b w:val="0"/>
          <w:bCs w:val="0"/>
          <w:szCs w:val="21"/>
        </w:rPr>
        <w:t>14．承包人负责在施工过程中与当地政府、周边群众及其他承包商保持良好的沟通和交流。承包人遇到与周边群众发生纠纷时，应负责协调工作，确保工程能够顺利进行。</w:t>
      </w:r>
    </w:p>
    <w:p w14:paraId="2B78B95F">
      <w:pPr>
        <w:spacing w:line="360" w:lineRule="auto"/>
        <w:ind w:firstLine="420" w:firstLineChars="200"/>
        <w:rPr>
          <w:rFonts w:ascii="宋体" w:hAnsi="宋体"/>
          <w:b w:val="0"/>
          <w:bCs w:val="0"/>
          <w:szCs w:val="21"/>
        </w:rPr>
      </w:pPr>
      <w:bookmarkStart w:id="384" w:name="_Toc532375703"/>
      <w:bookmarkStart w:id="385" w:name="_Toc239510293"/>
      <w:bookmarkStart w:id="386" w:name="_Toc247431427"/>
      <w:bookmarkStart w:id="387" w:name="_Toc247418267"/>
      <w:r>
        <w:rPr>
          <w:rFonts w:hint="eastAsia" w:ascii="宋体" w:hAnsi="宋体"/>
          <w:b w:val="0"/>
          <w:bCs w:val="0"/>
          <w:szCs w:val="21"/>
        </w:rPr>
        <w:t>四、接口及协调</w:t>
      </w:r>
      <w:bookmarkEnd w:id="384"/>
      <w:bookmarkEnd w:id="385"/>
      <w:bookmarkEnd w:id="386"/>
      <w:bookmarkEnd w:id="387"/>
    </w:p>
    <w:p w14:paraId="5E1AB32C">
      <w:pPr>
        <w:spacing w:line="360" w:lineRule="auto"/>
        <w:ind w:firstLine="420" w:firstLineChars="200"/>
        <w:jc w:val="left"/>
        <w:rPr>
          <w:rFonts w:ascii="宋体" w:hAnsi="宋体"/>
          <w:b w:val="0"/>
          <w:bCs w:val="0"/>
          <w:szCs w:val="21"/>
        </w:rPr>
      </w:pPr>
      <w:r>
        <w:rPr>
          <w:rFonts w:hint="eastAsia" w:ascii="宋体" w:hAnsi="宋体"/>
          <w:b w:val="0"/>
          <w:bCs w:val="0"/>
          <w:szCs w:val="21"/>
        </w:rPr>
        <w:t>1．发包人委托监理公司对该工程实施监理，监理公司在安全管理方面代表发包人行使监督检查职能，承包人必须给予配合和支持。</w:t>
      </w:r>
    </w:p>
    <w:p w14:paraId="5CB6EEBD">
      <w:pPr>
        <w:spacing w:line="360" w:lineRule="auto"/>
        <w:ind w:firstLine="420" w:firstLineChars="200"/>
        <w:jc w:val="left"/>
        <w:rPr>
          <w:rFonts w:ascii="宋体" w:hAnsi="宋体"/>
          <w:b w:val="0"/>
          <w:bCs w:val="0"/>
          <w:szCs w:val="21"/>
        </w:rPr>
      </w:pPr>
      <w:r>
        <w:rPr>
          <w:rFonts w:hint="eastAsia" w:ascii="宋体" w:hAnsi="宋体"/>
          <w:b w:val="0"/>
          <w:bCs w:val="0"/>
          <w:szCs w:val="21"/>
        </w:rPr>
        <w:t>2．承包人人员、车辆的出入，带入现场的设备、机具、材料，在现场使用的或直接管理的办公、生活、生产性设施的安全管理须满足发包人现场管理的基本要求。</w:t>
      </w:r>
    </w:p>
    <w:p w14:paraId="3D743F85">
      <w:pPr>
        <w:spacing w:line="360" w:lineRule="auto"/>
        <w:ind w:firstLine="420" w:firstLineChars="200"/>
        <w:jc w:val="left"/>
        <w:rPr>
          <w:rFonts w:ascii="宋体" w:hAnsi="宋体"/>
          <w:b w:val="0"/>
          <w:bCs w:val="0"/>
          <w:szCs w:val="21"/>
        </w:rPr>
      </w:pPr>
      <w:r>
        <w:rPr>
          <w:rFonts w:hint="eastAsia" w:ascii="宋体" w:hAnsi="宋体"/>
          <w:b w:val="0"/>
          <w:bCs w:val="0"/>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140B722A">
      <w:pPr>
        <w:spacing w:line="360" w:lineRule="auto"/>
        <w:ind w:firstLine="420" w:firstLineChars="200"/>
        <w:jc w:val="left"/>
        <w:rPr>
          <w:rFonts w:ascii="宋体" w:hAnsi="宋体"/>
          <w:b w:val="0"/>
          <w:bCs w:val="0"/>
          <w:szCs w:val="21"/>
        </w:rPr>
      </w:pPr>
      <w:r>
        <w:rPr>
          <w:rFonts w:hint="eastAsia" w:ascii="宋体" w:hAnsi="宋体"/>
          <w:b w:val="0"/>
          <w:bCs w:val="0"/>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AAF1CB8">
      <w:pPr>
        <w:spacing w:line="360" w:lineRule="auto"/>
        <w:ind w:firstLine="420" w:firstLineChars="200"/>
        <w:jc w:val="left"/>
        <w:rPr>
          <w:rFonts w:ascii="宋体" w:hAnsi="宋体"/>
          <w:b w:val="0"/>
          <w:bCs w:val="0"/>
          <w:szCs w:val="21"/>
        </w:rPr>
      </w:pPr>
      <w:r>
        <w:rPr>
          <w:rFonts w:hint="eastAsia" w:ascii="宋体" w:hAnsi="宋体"/>
          <w:b w:val="0"/>
          <w:bCs w:val="0"/>
          <w:szCs w:val="21"/>
        </w:rPr>
        <w:t>5．承包人指定的专职安全管理人员应与发包人委托的监理公司建立联系，在业务上接受发包人委托的监理公司的协调和指导。</w:t>
      </w:r>
    </w:p>
    <w:p w14:paraId="4E61F031">
      <w:pPr>
        <w:spacing w:line="360" w:lineRule="auto"/>
        <w:ind w:firstLine="420" w:firstLineChars="200"/>
        <w:jc w:val="left"/>
        <w:rPr>
          <w:rFonts w:ascii="宋体" w:hAnsi="宋体"/>
          <w:b w:val="0"/>
          <w:bCs w:val="0"/>
          <w:szCs w:val="21"/>
        </w:rPr>
      </w:pPr>
      <w:r>
        <w:rPr>
          <w:rFonts w:hint="eastAsia" w:ascii="宋体" w:hAnsi="宋体"/>
          <w:b w:val="0"/>
          <w:bCs w:val="0"/>
          <w:szCs w:val="21"/>
        </w:rPr>
        <w:t>6．开工后承包人的专职安全管理人员应按照发包人委托的监理公司的规定，定期报送安全月度快报、季报、年报和各种专项事故报告等。</w:t>
      </w:r>
    </w:p>
    <w:p w14:paraId="75032BE9">
      <w:pPr>
        <w:spacing w:line="360" w:lineRule="auto"/>
        <w:ind w:firstLine="420" w:firstLineChars="200"/>
        <w:jc w:val="left"/>
        <w:rPr>
          <w:rFonts w:ascii="宋体" w:hAnsi="宋体"/>
          <w:b w:val="0"/>
          <w:bCs w:val="0"/>
          <w:szCs w:val="21"/>
        </w:rPr>
      </w:pPr>
      <w:r>
        <w:rPr>
          <w:rFonts w:hint="eastAsia" w:ascii="宋体" w:hAnsi="宋体"/>
          <w:b w:val="0"/>
          <w:bCs w:val="0"/>
          <w:szCs w:val="21"/>
        </w:rPr>
        <w:t>7．在工程实体未全部正式移交发包人施工管理部门之前，承包人依旧对施工范围内的安全管理负责。</w:t>
      </w:r>
    </w:p>
    <w:p w14:paraId="394447AB">
      <w:pPr>
        <w:spacing w:line="360" w:lineRule="auto"/>
        <w:ind w:firstLine="420" w:firstLineChars="200"/>
        <w:rPr>
          <w:rFonts w:ascii="宋体" w:hAnsi="宋体"/>
          <w:b w:val="0"/>
          <w:bCs w:val="0"/>
          <w:szCs w:val="21"/>
        </w:rPr>
      </w:pPr>
      <w:bookmarkStart w:id="388" w:name="_Toc239510294"/>
      <w:bookmarkStart w:id="389" w:name="_Toc247418268"/>
      <w:bookmarkStart w:id="390" w:name="_Toc532375704"/>
      <w:bookmarkStart w:id="391" w:name="_Toc247431428"/>
      <w:r>
        <w:rPr>
          <w:rFonts w:hint="eastAsia" w:ascii="宋体" w:hAnsi="宋体"/>
          <w:b w:val="0"/>
          <w:bCs w:val="0"/>
          <w:szCs w:val="21"/>
        </w:rPr>
        <w:t>五、安全资质审查</w:t>
      </w:r>
      <w:bookmarkEnd w:id="388"/>
      <w:bookmarkEnd w:id="389"/>
      <w:bookmarkEnd w:id="390"/>
      <w:bookmarkEnd w:id="391"/>
    </w:p>
    <w:p w14:paraId="4F34A770">
      <w:pPr>
        <w:spacing w:line="360" w:lineRule="auto"/>
        <w:ind w:firstLine="420" w:firstLineChars="200"/>
        <w:jc w:val="left"/>
        <w:rPr>
          <w:rFonts w:ascii="宋体" w:hAnsi="宋体"/>
          <w:b w:val="0"/>
          <w:bCs w:val="0"/>
          <w:szCs w:val="21"/>
        </w:rPr>
      </w:pPr>
      <w:r>
        <w:rPr>
          <w:rFonts w:hint="eastAsia" w:ascii="宋体" w:hAnsi="宋体"/>
          <w:b w:val="0"/>
          <w:bCs w:val="0"/>
          <w:szCs w:val="21"/>
        </w:rPr>
        <w:t>承包人在项目开工前5个工作天内向发包人委托的监理公司提供以下安全资质供审查和存档：</w:t>
      </w:r>
    </w:p>
    <w:p w14:paraId="3960B9DC">
      <w:pPr>
        <w:spacing w:line="360" w:lineRule="auto"/>
        <w:ind w:firstLine="420" w:firstLineChars="200"/>
        <w:jc w:val="left"/>
        <w:rPr>
          <w:rFonts w:ascii="宋体" w:hAnsi="宋体"/>
          <w:b w:val="0"/>
          <w:bCs w:val="0"/>
          <w:szCs w:val="21"/>
        </w:rPr>
      </w:pPr>
      <w:r>
        <w:rPr>
          <w:rFonts w:hint="eastAsia" w:ascii="宋体" w:hAnsi="宋体"/>
          <w:b w:val="0"/>
          <w:bCs w:val="0"/>
          <w:szCs w:val="21"/>
        </w:rPr>
        <w:t>1．企业安全生产许可证书复印件。</w:t>
      </w:r>
    </w:p>
    <w:p w14:paraId="495E4306">
      <w:pPr>
        <w:spacing w:line="360" w:lineRule="auto"/>
        <w:ind w:firstLine="420" w:firstLineChars="200"/>
        <w:jc w:val="left"/>
        <w:rPr>
          <w:rFonts w:ascii="宋体" w:hAnsi="宋体"/>
          <w:b w:val="0"/>
          <w:bCs w:val="0"/>
          <w:szCs w:val="21"/>
        </w:rPr>
      </w:pPr>
      <w:r>
        <w:rPr>
          <w:rFonts w:hint="eastAsia" w:ascii="宋体" w:hAnsi="宋体"/>
          <w:b w:val="0"/>
          <w:bCs w:val="0"/>
          <w:szCs w:val="21"/>
        </w:rPr>
        <w:t>2．企业近三年的施工简历及安全施工业绩证明文件。</w:t>
      </w:r>
    </w:p>
    <w:p w14:paraId="063458F8">
      <w:pPr>
        <w:spacing w:line="360" w:lineRule="auto"/>
        <w:ind w:firstLine="420" w:firstLineChars="200"/>
        <w:jc w:val="left"/>
        <w:rPr>
          <w:rFonts w:ascii="宋体" w:hAnsi="宋体"/>
          <w:b w:val="0"/>
          <w:bCs w:val="0"/>
          <w:szCs w:val="21"/>
        </w:rPr>
      </w:pPr>
      <w:r>
        <w:rPr>
          <w:rFonts w:hint="eastAsia" w:ascii="宋体" w:hAnsi="宋体"/>
          <w:b w:val="0"/>
          <w:bCs w:val="0"/>
          <w:szCs w:val="21"/>
        </w:rPr>
        <w:t>3．企业主要安全管理人员（包括项目经理、专职安全管理人员）经建设主管部门安全生产知识考核合格证书。</w:t>
      </w:r>
    </w:p>
    <w:p w14:paraId="7F13C7D0">
      <w:pPr>
        <w:spacing w:line="360" w:lineRule="auto"/>
        <w:ind w:firstLine="420" w:firstLineChars="200"/>
        <w:jc w:val="left"/>
        <w:rPr>
          <w:rFonts w:ascii="宋体" w:hAnsi="宋体"/>
          <w:b w:val="0"/>
          <w:bCs w:val="0"/>
          <w:szCs w:val="21"/>
        </w:rPr>
      </w:pPr>
      <w:r>
        <w:rPr>
          <w:rFonts w:hint="eastAsia" w:ascii="宋体" w:hAnsi="宋体"/>
          <w:b w:val="0"/>
          <w:bCs w:val="0"/>
          <w:szCs w:val="21"/>
        </w:rPr>
        <w:t>4．特种作业人员资格证书。</w:t>
      </w:r>
    </w:p>
    <w:p w14:paraId="0B36E91E">
      <w:pPr>
        <w:spacing w:line="360" w:lineRule="auto"/>
        <w:ind w:firstLine="420" w:firstLineChars="200"/>
        <w:jc w:val="left"/>
        <w:rPr>
          <w:rFonts w:ascii="宋体" w:hAnsi="宋体"/>
          <w:b w:val="0"/>
          <w:bCs w:val="0"/>
          <w:szCs w:val="21"/>
        </w:rPr>
      </w:pPr>
      <w:r>
        <w:rPr>
          <w:rFonts w:hint="eastAsia" w:ascii="宋体" w:hAnsi="宋体"/>
          <w:b w:val="0"/>
          <w:bCs w:val="0"/>
          <w:szCs w:val="21"/>
        </w:rPr>
        <w:t>5．项目安全管理机构及其人员配备（承包人必须配有专职的安全员）。</w:t>
      </w:r>
    </w:p>
    <w:p w14:paraId="76D6A0CB">
      <w:pPr>
        <w:spacing w:line="360" w:lineRule="auto"/>
        <w:ind w:firstLine="420" w:firstLineChars="200"/>
        <w:jc w:val="left"/>
        <w:rPr>
          <w:rFonts w:ascii="宋体" w:hAnsi="宋体"/>
          <w:b w:val="0"/>
          <w:bCs w:val="0"/>
          <w:szCs w:val="21"/>
        </w:rPr>
      </w:pPr>
      <w:r>
        <w:rPr>
          <w:rFonts w:hint="eastAsia" w:ascii="宋体" w:hAnsi="宋体"/>
          <w:b w:val="0"/>
          <w:bCs w:val="0"/>
          <w:szCs w:val="21"/>
        </w:rPr>
        <w:t>6．适用于项目的安全管理体系及保证体系文件（安全管理大纲及管理程序文件）。</w:t>
      </w:r>
    </w:p>
    <w:p w14:paraId="12ECB7C6">
      <w:pPr>
        <w:spacing w:line="360" w:lineRule="auto"/>
        <w:ind w:firstLine="420" w:firstLineChars="200"/>
        <w:rPr>
          <w:rFonts w:ascii="宋体" w:hAnsi="宋体"/>
          <w:b w:val="0"/>
          <w:bCs w:val="0"/>
          <w:szCs w:val="21"/>
        </w:rPr>
      </w:pPr>
      <w:bookmarkStart w:id="392" w:name="_Toc247431429"/>
      <w:bookmarkStart w:id="393" w:name="_Toc247418269"/>
      <w:bookmarkStart w:id="394" w:name="_Toc532375705"/>
      <w:bookmarkStart w:id="395" w:name="_Toc239510295"/>
      <w:r>
        <w:rPr>
          <w:rFonts w:hint="eastAsia" w:ascii="宋体" w:hAnsi="宋体"/>
          <w:b w:val="0"/>
          <w:bCs w:val="0"/>
          <w:szCs w:val="21"/>
        </w:rPr>
        <w:t>六、人员基本素质</w:t>
      </w:r>
      <w:bookmarkEnd w:id="392"/>
      <w:bookmarkEnd w:id="393"/>
      <w:bookmarkEnd w:id="394"/>
      <w:bookmarkEnd w:id="395"/>
    </w:p>
    <w:p w14:paraId="3583C0DB">
      <w:pPr>
        <w:spacing w:line="360" w:lineRule="auto"/>
        <w:ind w:firstLine="420" w:firstLineChars="200"/>
        <w:jc w:val="left"/>
        <w:rPr>
          <w:rFonts w:ascii="宋体" w:hAnsi="宋体"/>
          <w:b w:val="0"/>
          <w:bCs w:val="0"/>
          <w:szCs w:val="21"/>
        </w:rPr>
      </w:pPr>
      <w:r>
        <w:rPr>
          <w:rFonts w:hint="eastAsia" w:ascii="宋体" w:hAnsi="宋体"/>
          <w:b w:val="0"/>
          <w:bCs w:val="0"/>
          <w:szCs w:val="21"/>
        </w:rPr>
        <w:t>承包人提供的人员必须满足下列要求：</w:t>
      </w:r>
    </w:p>
    <w:p w14:paraId="5C046BCB">
      <w:pPr>
        <w:spacing w:line="360" w:lineRule="auto"/>
        <w:ind w:firstLine="420" w:firstLineChars="200"/>
        <w:jc w:val="left"/>
        <w:rPr>
          <w:rFonts w:ascii="宋体" w:hAnsi="宋体"/>
          <w:b w:val="0"/>
          <w:bCs w:val="0"/>
          <w:szCs w:val="21"/>
        </w:rPr>
      </w:pPr>
      <w:r>
        <w:rPr>
          <w:rFonts w:hint="eastAsia" w:ascii="宋体" w:hAnsi="宋体"/>
          <w:b w:val="0"/>
          <w:bCs w:val="0"/>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4B338D5">
      <w:pPr>
        <w:spacing w:line="360" w:lineRule="auto"/>
        <w:ind w:firstLine="420" w:firstLineChars="200"/>
        <w:jc w:val="left"/>
        <w:rPr>
          <w:rFonts w:ascii="宋体" w:hAnsi="宋体"/>
          <w:b w:val="0"/>
          <w:bCs w:val="0"/>
          <w:szCs w:val="21"/>
        </w:rPr>
      </w:pPr>
      <w:r>
        <w:rPr>
          <w:rFonts w:hint="eastAsia" w:ascii="宋体" w:hAnsi="宋体"/>
          <w:b w:val="0"/>
          <w:bCs w:val="0"/>
          <w:szCs w:val="21"/>
        </w:rPr>
        <w:t>2．无刑事案件牵连。</w:t>
      </w:r>
    </w:p>
    <w:p w14:paraId="5C52C044">
      <w:pPr>
        <w:spacing w:line="360" w:lineRule="auto"/>
        <w:ind w:firstLine="420" w:firstLineChars="200"/>
        <w:jc w:val="left"/>
        <w:rPr>
          <w:rFonts w:ascii="宋体" w:hAnsi="宋体"/>
          <w:b w:val="0"/>
          <w:bCs w:val="0"/>
          <w:szCs w:val="21"/>
        </w:rPr>
      </w:pPr>
      <w:r>
        <w:rPr>
          <w:rFonts w:hint="eastAsia" w:ascii="宋体" w:hAnsi="宋体"/>
          <w:b w:val="0"/>
          <w:bCs w:val="0"/>
          <w:szCs w:val="21"/>
        </w:rPr>
        <w:t>3．无吸毒、酗酒、赌博、嫖娼等恶习及违法行为。</w:t>
      </w:r>
    </w:p>
    <w:p w14:paraId="586747E7">
      <w:pPr>
        <w:spacing w:line="360" w:lineRule="auto"/>
        <w:ind w:firstLine="420" w:firstLineChars="200"/>
        <w:rPr>
          <w:rFonts w:ascii="宋体" w:hAnsi="宋体"/>
          <w:b w:val="0"/>
          <w:bCs w:val="0"/>
          <w:szCs w:val="21"/>
        </w:rPr>
      </w:pPr>
      <w:bookmarkStart w:id="396" w:name="_Toc247418270"/>
      <w:bookmarkStart w:id="397" w:name="_Toc532375706"/>
      <w:bookmarkStart w:id="398" w:name="_Toc247431430"/>
      <w:bookmarkStart w:id="399" w:name="_Toc239510296"/>
      <w:r>
        <w:rPr>
          <w:rFonts w:hint="eastAsia" w:ascii="宋体" w:hAnsi="宋体"/>
          <w:b w:val="0"/>
          <w:bCs w:val="0"/>
          <w:szCs w:val="21"/>
        </w:rPr>
        <w:t>七、劳动保护</w:t>
      </w:r>
      <w:bookmarkEnd w:id="396"/>
      <w:bookmarkEnd w:id="397"/>
      <w:bookmarkEnd w:id="398"/>
      <w:bookmarkEnd w:id="399"/>
    </w:p>
    <w:p w14:paraId="277E07AE">
      <w:pPr>
        <w:spacing w:line="360" w:lineRule="auto"/>
        <w:ind w:firstLine="420" w:firstLineChars="200"/>
        <w:jc w:val="left"/>
        <w:rPr>
          <w:rFonts w:ascii="宋体" w:hAnsi="宋体"/>
          <w:b w:val="0"/>
          <w:bCs w:val="0"/>
          <w:szCs w:val="21"/>
        </w:rPr>
      </w:pPr>
      <w:r>
        <w:rPr>
          <w:rFonts w:hint="eastAsia" w:ascii="宋体" w:hAnsi="宋体"/>
          <w:b w:val="0"/>
          <w:bCs w:val="0"/>
          <w:szCs w:val="21"/>
        </w:rPr>
        <w:t>1．承包人负责为本单位任何用工形式的员工提供个人劳动保护用品（包括工作服、安全帽、安全鞋等）。</w:t>
      </w:r>
    </w:p>
    <w:p w14:paraId="1D849E04">
      <w:pPr>
        <w:spacing w:line="360" w:lineRule="auto"/>
        <w:ind w:firstLine="420" w:firstLineChars="200"/>
        <w:jc w:val="left"/>
        <w:rPr>
          <w:rFonts w:ascii="宋体" w:hAnsi="宋体"/>
          <w:b w:val="0"/>
          <w:bCs w:val="0"/>
          <w:szCs w:val="21"/>
        </w:rPr>
      </w:pPr>
      <w:r>
        <w:rPr>
          <w:rFonts w:hint="eastAsia" w:ascii="宋体" w:hAnsi="宋体"/>
          <w:b w:val="0"/>
          <w:bCs w:val="0"/>
          <w:szCs w:val="21"/>
        </w:rPr>
        <w:t>2．承包人负责向特殊工种的员工提供特殊劳动保护，否则不得从事特殊工种作业。</w:t>
      </w:r>
    </w:p>
    <w:p w14:paraId="3CF80847">
      <w:pPr>
        <w:spacing w:line="360" w:lineRule="auto"/>
        <w:ind w:firstLine="420" w:firstLineChars="200"/>
        <w:jc w:val="left"/>
        <w:rPr>
          <w:rFonts w:ascii="宋体" w:hAnsi="宋体"/>
          <w:b w:val="0"/>
          <w:bCs w:val="0"/>
          <w:szCs w:val="21"/>
        </w:rPr>
      </w:pPr>
      <w:r>
        <w:rPr>
          <w:rFonts w:hint="eastAsia" w:ascii="宋体" w:hAnsi="宋体"/>
          <w:b w:val="0"/>
          <w:bCs w:val="0"/>
          <w:szCs w:val="21"/>
        </w:rPr>
        <w:t>3．发包人委托的监理公司有权检查承包人的个人劳动保护用品是否符合国家的相应标准。</w:t>
      </w:r>
    </w:p>
    <w:p w14:paraId="2AD67C60">
      <w:pPr>
        <w:spacing w:line="360" w:lineRule="auto"/>
        <w:ind w:firstLine="420" w:firstLineChars="200"/>
        <w:jc w:val="left"/>
        <w:rPr>
          <w:rFonts w:ascii="宋体" w:hAnsi="宋体"/>
          <w:b w:val="0"/>
          <w:bCs w:val="0"/>
          <w:szCs w:val="21"/>
        </w:rPr>
      </w:pPr>
      <w:r>
        <w:rPr>
          <w:rFonts w:hint="eastAsia" w:ascii="宋体" w:hAnsi="宋体"/>
          <w:b w:val="0"/>
          <w:bCs w:val="0"/>
          <w:szCs w:val="21"/>
        </w:rPr>
        <w:t>4． 承包人在特殊风险场所作业而需要特殊防护用品或安全仪表时，必须在上述防护用品全部到位后才能开工。</w:t>
      </w:r>
    </w:p>
    <w:p w14:paraId="441F96F6">
      <w:pPr>
        <w:spacing w:line="360" w:lineRule="auto"/>
        <w:ind w:firstLine="420" w:firstLineChars="200"/>
        <w:jc w:val="left"/>
        <w:rPr>
          <w:rFonts w:ascii="宋体" w:hAnsi="宋体"/>
          <w:b w:val="0"/>
          <w:bCs w:val="0"/>
          <w:szCs w:val="21"/>
        </w:rPr>
      </w:pPr>
      <w:r>
        <w:rPr>
          <w:rFonts w:hint="eastAsia" w:ascii="宋体" w:hAnsi="宋体"/>
          <w:b w:val="0"/>
          <w:bCs w:val="0"/>
          <w:szCs w:val="21"/>
        </w:rPr>
        <w:t>5．承包人应配备临时安全围栏、警示带、警告标志、防火布等集体防护用品。</w:t>
      </w:r>
    </w:p>
    <w:p w14:paraId="37BC3DB7">
      <w:pPr>
        <w:spacing w:line="360" w:lineRule="auto"/>
        <w:ind w:firstLine="420" w:firstLineChars="200"/>
        <w:rPr>
          <w:rFonts w:ascii="宋体" w:hAnsi="宋体"/>
          <w:b w:val="0"/>
          <w:bCs w:val="0"/>
          <w:szCs w:val="21"/>
        </w:rPr>
      </w:pPr>
      <w:bookmarkStart w:id="400" w:name="_Toc239510297"/>
      <w:bookmarkStart w:id="401" w:name="_Toc532375707"/>
      <w:bookmarkStart w:id="402" w:name="_Toc247431431"/>
      <w:bookmarkStart w:id="403" w:name="_Toc247418271"/>
      <w:r>
        <w:rPr>
          <w:rFonts w:hint="eastAsia" w:ascii="宋体" w:hAnsi="宋体"/>
          <w:b w:val="0"/>
          <w:bCs w:val="0"/>
          <w:szCs w:val="21"/>
        </w:rPr>
        <w:t>八、施工机具与材料</w:t>
      </w:r>
      <w:bookmarkEnd w:id="400"/>
      <w:bookmarkEnd w:id="401"/>
      <w:bookmarkEnd w:id="402"/>
      <w:bookmarkEnd w:id="403"/>
    </w:p>
    <w:p w14:paraId="22758F2F">
      <w:pPr>
        <w:spacing w:line="360" w:lineRule="auto"/>
        <w:ind w:firstLine="420" w:firstLineChars="200"/>
        <w:jc w:val="left"/>
        <w:rPr>
          <w:rFonts w:ascii="宋体" w:hAnsi="宋体"/>
          <w:b w:val="0"/>
          <w:bCs w:val="0"/>
          <w:szCs w:val="21"/>
        </w:rPr>
      </w:pPr>
      <w:r>
        <w:rPr>
          <w:rFonts w:hint="eastAsia" w:ascii="宋体" w:hAnsi="宋体"/>
          <w:b w:val="0"/>
          <w:bCs w:val="0"/>
          <w:szCs w:val="21"/>
        </w:rPr>
        <w:t>1．承包人对带入现场的施工机械和工器具的安全负责。</w:t>
      </w:r>
    </w:p>
    <w:p w14:paraId="062DDE50">
      <w:pPr>
        <w:spacing w:line="360" w:lineRule="auto"/>
        <w:ind w:firstLine="420" w:firstLineChars="200"/>
        <w:jc w:val="left"/>
        <w:rPr>
          <w:rFonts w:ascii="宋体" w:hAnsi="宋体"/>
          <w:b w:val="0"/>
          <w:bCs w:val="0"/>
          <w:szCs w:val="21"/>
        </w:rPr>
      </w:pPr>
      <w:r>
        <w:rPr>
          <w:rFonts w:hint="eastAsia" w:ascii="宋体" w:hAnsi="宋体"/>
          <w:b w:val="0"/>
          <w:bCs w:val="0"/>
          <w:szCs w:val="21"/>
        </w:rPr>
        <w:t>2．对于承包人带入现场的特殊工器具，如起重设备、索具、机动车辆、压缩气瓶等，承包人必须按国家法规和标准进行检测、试验，并持有法定部门出具的检验证书。</w:t>
      </w:r>
    </w:p>
    <w:p w14:paraId="0E6D5CBD">
      <w:pPr>
        <w:spacing w:line="360" w:lineRule="auto"/>
        <w:ind w:firstLine="420" w:firstLineChars="200"/>
        <w:jc w:val="left"/>
        <w:rPr>
          <w:rFonts w:ascii="宋体" w:hAnsi="宋体"/>
          <w:b w:val="0"/>
          <w:bCs w:val="0"/>
          <w:szCs w:val="21"/>
        </w:rPr>
      </w:pPr>
      <w:r>
        <w:rPr>
          <w:rFonts w:hint="eastAsia" w:ascii="宋体" w:hAnsi="宋体"/>
          <w:b w:val="0"/>
          <w:bCs w:val="0"/>
          <w:szCs w:val="21"/>
        </w:rPr>
        <w:t>3．对于不属于法定检测的工器具，承包人也必须建立相应的管理、检测制度，这些工器具包括登高工具、脚手架材料、电动工具、安全防护设备及用具等。</w:t>
      </w:r>
    </w:p>
    <w:p w14:paraId="4D40ED81">
      <w:pPr>
        <w:spacing w:line="360" w:lineRule="auto"/>
        <w:ind w:firstLine="420" w:firstLineChars="200"/>
        <w:rPr>
          <w:rFonts w:ascii="宋体" w:hAnsi="宋体"/>
          <w:b w:val="0"/>
          <w:bCs w:val="0"/>
          <w:szCs w:val="21"/>
        </w:rPr>
      </w:pPr>
      <w:bookmarkStart w:id="404" w:name="_Toc247418272"/>
      <w:bookmarkStart w:id="405" w:name="_Toc247431432"/>
      <w:bookmarkStart w:id="406" w:name="_Toc532375708"/>
      <w:bookmarkStart w:id="407" w:name="_Toc239510298"/>
      <w:r>
        <w:rPr>
          <w:rFonts w:hint="eastAsia" w:ascii="宋体" w:hAnsi="宋体"/>
          <w:b w:val="0"/>
          <w:bCs w:val="0"/>
          <w:szCs w:val="21"/>
        </w:rPr>
        <w:t>九、开工前安全条件检查</w:t>
      </w:r>
      <w:bookmarkEnd w:id="404"/>
      <w:bookmarkEnd w:id="405"/>
      <w:bookmarkEnd w:id="406"/>
      <w:bookmarkEnd w:id="407"/>
    </w:p>
    <w:p w14:paraId="7DD82669">
      <w:pPr>
        <w:spacing w:line="360" w:lineRule="auto"/>
        <w:ind w:firstLine="420" w:firstLineChars="200"/>
        <w:jc w:val="left"/>
        <w:rPr>
          <w:rFonts w:ascii="宋体" w:hAnsi="宋体"/>
          <w:b w:val="0"/>
          <w:bCs w:val="0"/>
          <w:szCs w:val="21"/>
        </w:rPr>
      </w:pPr>
      <w:r>
        <w:rPr>
          <w:rFonts w:hint="eastAsia" w:ascii="宋体" w:hAnsi="宋体"/>
          <w:b w:val="0"/>
          <w:bCs w:val="0"/>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50A9130">
      <w:pPr>
        <w:spacing w:line="360" w:lineRule="auto"/>
        <w:ind w:firstLine="420" w:firstLineChars="200"/>
        <w:jc w:val="left"/>
        <w:rPr>
          <w:rFonts w:ascii="宋体" w:hAnsi="宋体"/>
          <w:b w:val="0"/>
          <w:bCs w:val="0"/>
          <w:szCs w:val="21"/>
        </w:rPr>
      </w:pPr>
      <w:r>
        <w:rPr>
          <w:rFonts w:hint="eastAsia" w:ascii="宋体" w:hAnsi="宋体"/>
          <w:b w:val="0"/>
          <w:bCs w:val="0"/>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0372CDE5">
      <w:pPr>
        <w:spacing w:line="360" w:lineRule="auto"/>
        <w:ind w:firstLine="420" w:firstLineChars="200"/>
        <w:jc w:val="left"/>
        <w:rPr>
          <w:rFonts w:ascii="宋体" w:hAnsi="宋体"/>
          <w:b w:val="0"/>
          <w:bCs w:val="0"/>
          <w:szCs w:val="21"/>
        </w:rPr>
      </w:pPr>
      <w:r>
        <w:rPr>
          <w:rFonts w:hint="eastAsia" w:ascii="宋体" w:hAnsi="宋体"/>
          <w:b w:val="0"/>
          <w:bCs w:val="0"/>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6EB93088">
      <w:pPr>
        <w:spacing w:line="360" w:lineRule="auto"/>
        <w:ind w:firstLine="420" w:firstLineChars="200"/>
        <w:rPr>
          <w:rFonts w:ascii="宋体" w:hAnsi="宋体"/>
          <w:b w:val="0"/>
          <w:bCs w:val="0"/>
          <w:szCs w:val="21"/>
        </w:rPr>
      </w:pPr>
      <w:bookmarkStart w:id="408" w:name="_Toc247418273"/>
      <w:bookmarkStart w:id="409" w:name="_Toc247431433"/>
      <w:bookmarkStart w:id="410" w:name="_Toc239510299"/>
      <w:bookmarkStart w:id="411" w:name="_Toc532375709"/>
      <w:r>
        <w:rPr>
          <w:rFonts w:hint="eastAsia" w:ascii="宋体" w:hAnsi="宋体"/>
          <w:b w:val="0"/>
          <w:bCs w:val="0"/>
          <w:szCs w:val="21"/>
        </w:rPr>
        <w:t>十、安全监督</w:t>
      </w:r>
      <w:bookmarkEnd w:id="408"/>
      <w:bookmarkEnd w:id="409"/>
      <w:bookmarkEnd w:id="410"/>
      <w:bookmarkEnd w:id="411"/>
    </w:p>
    <w:p w14:paraId="6E8206A6">
      <w:pPr>
        <w:spacing w:line="360" w:lineRule="auto"/>
        <w:ind w:firstLine="420" w:firstLineChars="200"/>
        <w:jc w:val="left"/>
        <w:rPr>
          <w:rFonts w:ascii="宋体" w:hAnsi="宋体"/>
          <w:b w:val="0"/>
          <w:bCs w:val="0"/>
          <w:szCs w:val="21"/>
        </w:rPr>
      </w:pPr>
      <w:r>
        <w:rPr>
          <w:rFonts w:hint="eastAsia" w:ascii="宋体" w:hAnsi="宋体"/>
          <w:b w:val="0"/>
          <w:bCs w:val="0"/>
          <w:szCs w:val="21"/>
        </w:rPr>
        <w:t>1．承包人应配备有满足项目安全管理需要的专职安全管理人员。</w:t>
      </w:r>
    </w:p>
    <w:p w14:paraId="04EFAB5C">
      <w:pPr>
        <w:spacing w:line="360" w:lineRule="auto"/>
        <w:ind w:firstLine="420" w:firstLineChars="200"/>
        <w:jc w:val="left"/>
        <w:rPr>
          <w:rFonts w:ascii="宋体" w:hAnsi="宋体"/>
          <w:b w:val="0"/>
          <w:bCs w:val="0"/>
          <w:szCs w:val="21"/>
        </w:rPr>
      </w:pPr>
      <w:r>
        <w:rPr>
          <w:rFonts w:hint="eastAsia" w:ascii="宋体" w:hAnsi="宋体"/>
          <w:b w:val="0"/>
          <w:bCs w:val="0"/>
          <w:szCs w:val="21"/>
        </w:rPr>
        <w:t>2．承包人的专职安全管理人员必须持建设主管部门颁发的安全生产知识考核合格证书。</w:t>
      </w:r>
    </w:p>
    <w:p w14:paraId="32F8D275">
      <w:pPr>
        <w:spacing w:line="360" w:lineRule="auto"/>
        <w:ind w:firstLine="420" w:firstLineChars="200"/>
        <w:jc w:val="left"/>
        <w:rPr>
          <w:rFonts w:ascii="宋体" w:hAnsi="宋体"/>
          <w:b w:val="0"/>
          <w:bCs w:val="0"/>
          <w:szCs w:val="21"/>
        </w:rPr>
      </w:pPr>
      <w:r>
        <w:rPr>
          <w:rFonts w:hint="eastAsia" w:ascii="宋体" w:hAnsi="宋体"/>
          <w:b w:val="0"/>
          <w:bCs w:val="0"/>
          <w:szCs w:val="21"/>
        </w:rPr>
        <w:t>3．承包人的专职安全管理人员在业务上接受发包人委托的监理公司和发包人安全管理部门的协调和指导。</w:t>
      </w:r>
    </w:p>
    <w:p w14:paraId="331F26AC">
      <w:pPr>
        <w:spacing w:line="360" w:lineRule="auto"/>
        <w:ind w:firstLine="420" w:firstLineChars="200"/>
        <w:jc w:val="left"/>
        <w:rPr>
          <w:rFonts w:ascii="宋体" w:hAnsi="宋体"/>
          <w:b w:val="0"/>
          <w:bCs w:val="0"/>
          <w:szCs w:val="21"/>
        </w:rPr>
      </w:pPr>
      <w:r>
        <w:rPr>
          <w:rFonts w:hint="eastAsia" w:ascii="宋体" w:hAnsi="宋体"/>
          <w:b w:val="0"/>
          <w:bCs w:val="0"/>
          <w:szCs w:val="21"/>
        </w:rPr>
        <w:t>4．承包人应建立班前安全交底制度；施工期间坚持开展安全检查和日常安全监督并形成相应的记录。</w:t>
      </w:r>
    </w:p>
    <w:p w14:paraId="0E5A7D8C">
      <w:pPr>
        <w:spacing w:line="360" w:lineRule="auto"/>
        <w:ind w:firstLine="420" w:firstLineChars="200"/>
        <w:jc w:val="left"/>
        <w:rPr>
          <w:rFonts w:ascii="宋体" w:hAnsi="宋体"/>
          <w:b w:val="0"/>
          <w:bCs w:val="0"/>
          <w:szCs w:val="21"/>
        </w:rPr>
      </w:pPr>
      <w:r>
        <w:rPr>
          <w:rFonts w:hint="eastAsia" w:ascii="宋体" w:hAnsi="宋体"/>
          <w:b w:val="0"/>
          <w:bCs w:val="0"/>
          <w:szCs w:val="21"/>
        </w:rPr>
        <w:t>5．承包人应在每个作业区任命兼职安全员，赋予兼职安全员相应的授权和义务，并对兼职安全员进行定期考核。</w:t>
      </w:r>
    </w:p>
    <w:p w14:paraId="2392B989">
      <w:pPr>
        <w:spacing w:line="360" w:lineRule="auto"/>
        <w:ind w:firstLine="420" w:firstLineChars="200"/>
        <w:jc w:val="left"/>
        <w:rPr>
          <w:rFonts w:ascii="宋体" w:hAnsi="宋体"/>
          <w:b w:val="0"/>
          <w:bCs w:val="0"/>
          <w:szCs w:val="21"/>
        </w:rPr>
      </w:pPr>
      <w:r>
        <w:rPr>
          <w:rFonts w:hint="eastAsia" w:ascii="宋体" w:hAnsi="宋体"/>
          <w:b w:val="0"/>
          <w:bCs w:val="0"/>
          <w:szCs w:val="21"/>
        </w:rPr>
        <w:t>6．承包人应接受和配合发包人专业部门及委托的监理公司的监督与安全评价。</w:t>
      </w:r>
    </w:p>
    <w:p w14:paraId="76665972">
      <w:pPr>
        <w:spacing w:line="360" w:lineRule="auto"/>
        <w:ind w:firstLine="420" w:firstLineChars="200"/>
        <w:jc w:val="left"/>
        <w:rPr>
          <w:rFonts w:ascii="宋体" w:hAnsi="宋体"/>
          <w:b w:val="0"/>
          <w:bCs w:val="0"/>
          <w:szCs w:val="21"/>
        </w:rPr>
      </w:pPr>
      <w:r>
        <w:rPr>
          <w:rFonts w:hint="eastAsia" w:ascii="宋体" w:hAnsi="宋体"/>
          <w:b w:val="0"/>
          <w:bCs w:val="0"/>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A151B13">
      <w:pPr>
        <w:spacing w:line="360" w:lineRule="auto"/>
        <w:ind w:firstLine="420" w:firstLineChars="200"/>
        <w:rPr>
          <w:rFonts w:ascii="宋体" w:hAnsi="宋体"/>
          <w:b w:val="0"/>
          <w:bCs w:val="0"/>
          <w:szCs w:val="21"/>
        </w:rPr>
      </w:pPr>
      <w:bookmarkStart w:id="412" w:name="_Toc532375710"/>
      <w:bookmarkStart w:id="413" w:name="_Toc247431434"/>
      <w:bookmarkStart w:id="414" w:name="_Toc239510300"/>
      <w:bookmarkStart w:id="415" w:name="_Toc247418274"/>
      <w:r>
        <w:rPr>
          <w:rFonts w:hint="eastAsia" w:ascii="宋体" w:hAnsi="宋体"/>
          <w:b w:val="0"/>
          <w:bCs w:val="0"/>
          <w:szCs w:val="21"/>
        </w:rPr>
        <w:t>十一、安全培训与授权</w:t>
      </w:r>
      <w:bookmarkEnd w:id="412"/>
      <w:bookmarkEnd w:id="413"/>
      <w:bookmarkEnd w:id="414"/>
      <w:bookmarkEnd w:id="415"/>
    </w:p>
    <w:p w14:paraId="5DE89406">
      <w:pPr>
        <w:spacing w:line="360" w:lineRule="auto"/>
        <w:ind w:firstLine="420" w:firstLineChars="200"/>
        <w:jc w:val="left"/>
        <w:rPr>
          <w:rFonts w:ascii="宋体" w:hAnsi="宋体"/>
          <w:b w:val="0"/>
          <w:bCs w:val="0"/>
          <w:szCs w:val="21"/>
        </w:rPr>
      </w:pPr>
      <w:r>
        <w:rPr>
          <w:rFonts w:hint="eastAsia" w:ascii="宋体" w:hAnsi="宋体"/>
          <w:b w:val="0"/>
          <w:bCs w:val="0"/>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36683DFC">
      <w:pPr>
        <w:spacing w:line="360" w:lineRule="auto"/>
        <w:ind w:firstLine="420" w:firstLineChars="200"/>
        <w:jc w:val="left"/>
        <w:rPr>
          <w:rFonts w:ascii="宋体" w:hAnsi="宋体"/>
          <w:b w:val="0"/>
          <w:bCs w:val="0"/>
          <w:szCs w:val="21"/>
        </w:rPr>
      </w:pPr>
      <w:r>
        <w:rPr>
          <w:rFonts w:hint="eastAsia" w:ascii="宋体" w:hAnsi="宋体"/>
          <w:b w:val="0"/>
          <w:bCs w:val="0"/>
          <w:szCs w:val="21"/>
        </w:rPr>
        <w:t>2．承包人应在特殊工种之外的其他工种中，筛选出高风险工种，并对其开展针对性的专题安全培训。</w:t>
      </w:r>
    </w:p>
    <w:p w14:paraId="0813D7F7">
      <w:pPr>
        <w:spacing w:line="360" w:lineRule="auto"/>
        <w:ind w:firstLine="420" w:firstLineChars="200"/>
        <w:jc w:val="left"/>
        <w:rPr>
          <w:rFonts w:ascii="宋体" w:hAnsi="宋体"/>
          <w:b w:val="0"/>
          <w:bCs w:val="0"/>
          <w:szCs w:val="21"/>
        </w:rPr>
      </w:pPr>
      <w:r>
        <w:rPr>
          <w:rFonts w:hint="eastAsia" w:ascii="宋体" w:hAnsi="宋体"/>
          <w:b w:val="0"/>
          <w:bCs w:val="0"/>
          <w:szCs w:val="21"/>
        </w:rPr>
        <w:t>3．承包人应组织 “入场培训”和考核。发包人委托的监理公司有权监督培训、考核情况或组织抽查考核。</w:t>
      </w:r>
    </w:p>
    <w:p w14:paraId="3CC43352">
      <w:pPr>
        <w:spacing w:line="360" w:lineRule="auto"/>
        <w:ind w:firstLine="420" w:firstLineChars="200"/>
        <w:jc w:val="left"/>
        <w:rPr>
          <w:rFonts w:ascii="宋体" w:hAnsi="宋体"/>
          <w:b w:val="0"/>
          <w:bCs w:val="0"/>
          <w:szCs w:val="21"/>
        </w:rPr>
      </w:pPr>
      <w:r>
        <w:rPr>
          <w:rFonts w:hint="eastAsia" w:ascii="宋体" w:hAnsi="宋体"/>
          <w:b w:val="0"/>
          <w:bCs w:val="0"/>
          <w:szCs w:val="21"/>
        </w:rPr>
        <w:t>4．承包人应建立安全培训和考核机制，编制培训教材和培训滚动计划。承包人应组织安全考试/考核，建立培训考核记录，发包人委托的监理公司有权查看这些记录。</w:t>
      </w:r>
    </w:p>
    <w:p w14:paraId="011B39A5">
      <w:pPr>
        <w:spacing w:line="360" w:lineRule="auto"/>
        <w:ind w:firstLine="420" w:firstLineChars="200"/>
        <w:rPr>
          <w:rFonts w:ascii="宋体" w:hAnsi="宋体"/>
          <w:b w:val="0"/>
          <w:bCs w:val="0"/>
          <w:szCs w:val="21"/>
        </w:rPr>
      </w:pPr>
      <w:bookmarkStart w:id="416" w:name="_Toc532375711"/>
      <w:bookmarkStart w:id="417" w:name="_Toc247418275"/>
      <w:bookmarkStart w:id="418" w:name="_Toc239510301"/>
      <w:bookmarkStart w:id="419" w:name="_Toc247431435"/>
      <w:r>
        <w:rPr>
          <w:rFonts w:hint="eastAsia" w:ascii="宋体" w:hAnsi="宋体"/>
          <w:b w:val="0"/>
          <w:bCs w:val="0"/>
          <w:szCs w:val="21"/>
        </w:rPr>
        <w:t>十二、职业健康与卫生防疫</w:t>
      </w:r>
      <w:bookmarkEnd w:id="416"/>
      <w:bookmarkEnd w:id="417"/>
      <w:bookmarkEnd w:id="418"/>
      <w:bookmarkEnd w:id="419"/>
    </w:p>
    <w:p w14:paraId="745583DF">
      <w:pPr>
        <w:spacing w:line="360" w:lineRule="auto"/>
        <w:ind w:firstLine="420" w:firstLineChars="200"/>
        <w:jc w:val="left"/>
        <w:rPr>
          <w:rFonts w:ascii="宋体" w:hAnsi="宋体"/>
          <w:b w:val="0"/>
          <w:bCs w:val="0"/>
          <w:szCs w:val="21"/>
        </w:rPr>
      </w:pPr>
      <w:r>
        <w:rPr>
          <w:rFonts w:hint="eastAsia" w:ascii="宋体" w:hAnsi="宋体"/>
          <w:b w:val="0"/>
          <w:bCs w:val="0"/>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72BD6AB7">
      <w:pPr>
        <w:spacing w:line="360" w:lineRule="auto"/>
        <w:ind w:firstLine="420" w:firstLineChars="200"/>
        <w:jc w:val="left"/>
        <w:rPr>
          <w:rFonts w:ascii="宋体" w:hAnsi="宋体"/>
          <w:b w:val="0"/>
          <w:bCs w:val="0"/>
          <w:szCs w:val="21"/>
        </w:rPr>
      </w:pPr>
      <w:r>
        <w:rPr>
          <w:rFonts w:hint="eastAsia" w:ascii="宋体" w:hAnsi="宋体"/>
          <w:b w:val="0"/>
          <w:bCs w:val="0"/>
          <w:szCs w:val="21"/>
        </w:rPr>
        <w:t>2．承包人应保证卫生防疫基本设施的投入，以满足医疗、急救的要求，建立外部医疗支持渠道。</w:t>
      </w:r>
    </w:p>
    <w:p w14:paraId="47BA83A8">
      <w:pPr>
        <w:spacing w:line="360" w:lineRule="auto"/>
        <w:ind w:firstLine="420" w:firstLineChars="200"/>
        <w:jc w:val="left"/>
        <w:rPr>
          <w:rFonts w:ascii="宋体" w:hAnsi="宋体"/>
          <w:b w:val="0"/>
          <w:bCs w:val="0"/>
          <w:szCs w:val="21"/>
        </w:rPr>
      </w:pPr>
      <w:r>
        <w:rPr>
          <w:rFonts w:hint="eastAsia" w:ascii="宋体" w:hAnsi="宋体"/>
          <w:b w:val="0"/>
          <w:bCs w:val="0"/>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4B01ED25">
      <w:pPr>
        <w:spacing w:line="360" w:lineRule="auto"/>
        <w:ind w:firstLine="420" w:firstLineChars="200"/>
        <w:rPr>
          <w:rFonts w:ascii="宋体" w:hAnsi="宋体"/>
          <w:b w:val="0"/>
          <w:bCs w:val="0"/>
          <w:szCs w:val="21"/>
        </w:rPr>
      </w:pPr>
      <w:bookmarkStart w:id="420" w:name="_Toc239510302"/>
      <w:bookmarkStart w:id="421" w:name="_Toc532375712"/>
      <w:bookmarkStart w:id="422" w:name="_Toc247431436"/>
      <w:bookmarkStart w:id="423" w:name="_Toc247418276"/>
      <w:r>
        <w:rPr>
          <w:rFonts w:hint="eastAsia" w:ascii="宋体" w:hAnsi="宋体"/>
          <w:b w:val="0"/>
          <w:bCs w:val="0"/>
          <w:szCs w:val="21"/>
        </w:rPr>
        <w:t>十三、文明施工与环保要求</w:t>
      </w:r>
      <w:bookmarkEnd w:id="420"/>
      <w:bookmarkEnd w:id="421"/>
      <w:bookmarkEnd w:id="422"/>
      <w:bookmarkEnd w:id="423"/>
    </w:p>
    <w:p w14:paraId="2E4CB892">
      <w:pPr>
        <w:spacing w:line="360" w:lineRule="auto"/>
        <w:ind w:firstLine="420" w:firstLineChars="200"/>
        <w:jc w:val="left"/>
        <w:rPr>
          <w:rFonts w:ascii="宋体" w:hAnsi="宋体"/>
          <w:b w:val="0"/>
          <w:bCs w:val="0"/>
          <w:szCs w:val="21"/>
        </w:rPr>
      </w:pPr>
      <w:r>
        <w:rPr>
          <w:rFonts w:hint="eastAsia" w:ascii="宋体" w:hAnsi="宋体"/>
          <w:b w:val="0"/>
          <w:bCs w:val="0"/>
          <w:szCs w:val="21"/>
        </w:rPr>
        <w:t>1．承包人需制订施工现场的文明施工措施，保持良好的施工现场秩序。施工现场的物料堆放要摆放整齐，安全标志和宣传标志要清楚醒目，废料、废物要分类收集，安全通道要畅通。</w:t>
      </w:r>
    </w:p>
    <w:p w14:paraId="2F4404D7">
      <w:pPr>
        <w:spacing w:line="360" w:lineRule="auto"/>
        <w:ind w:firstLine="420" w:firstLineChars="200"/>
        <w:jc w:val="left"/>
        <w:rPr>
          <w:rFonts w:ascii="宋体" w:hAnsi="宋体"/>
          <w:b w:val="0"/>
          <w:bCs w:val="0"/>
          <w:szCs w:val="21"/>
        </w:rPr>
      </w:pPr>
      <w:r>
        <w:rPr>
          <w:rFonts w:hint="eastAsia" w:ascii="宋体" w:hAnsi="宋体"/>
          <w:b w:val="0"/>
          <w:bCs w:val="0"/>
          <w:szCs w:val="21"/>
        </w:rPr>
        <w:t>2．承包人作业时应避免建筑材料抛洒、飞扬、流淌；应尽可能降低噪音、震动。</w:t>
      </w:r>
    </w:p>
    <w:p w14:paraId="2E433F36">
      <w:pPr>
        <w:spacing w:line="360" w:lineRule="auto"/>
        <w:ind w:firstLine="420" w:firstLineChars="200"/>
        <w:jc w:val="left"/>
        <w:rPr>
          <w:rFonts w:ascii="宋体" w:hAnsi="宋体"/>
          <w:b w:val="0"/>
          <w:bCs w:val="0"/>
          <w:szCs w:val="21"/>
        </w:rPr>
      </w:pPr>
      <w:r>
        <w:rPr>
          <w:rFonts w:hint="eastAsia" w:ascii="宋体" w:hAnsi="宋体"/>
          <w:b w:val="0"/>
          <w:bCs w:val="0"/>
          <w:szCs w:val="21"/>
        </w:rPr>
        <w:t>3．承包人应根据实际需要，在施工现场布置临时卫生设施（洗手间、卫生间等），施工作业不破坏环境卫生，不污染现场环境。</w:t>
      </w:r>
    </w:p>
    <w:p w14:paraId="14633877">
      <w:pPr>
        <w:spacing w:line="360" w:lineRule="auto"/>
        <w:ind w:firstLine="420" w:firstLineChars="200"/>
        <w:jc w:val="left"/>
        <w:rPr>
          <w:rFonts w:ascii="宋体" w:hAnsi="宋体"/>
          <w:b w:val="0"/>
          <w:bCs w:val="0"/>
          <w:szCs w:val="21"/>
        </w:rPr>
      </w:pPr>
      <w:r>
        <w:rPr>
          <w:rFonts w:hint="eastAsia" w:ascii="宋体" w:hAnsi="宋体"/>
          <w:b w:val="0"/>
          <w:bCs w:val="0"/>
          <w:szCs w:val="21"/>
        </w:rPr>
        <w:t>4．承包人在施工中应充分重视对环境的保护，保护绿色植被，保护古树。施工如需伤害古树，必须报告发包人委托的监理公司，在未得到指令前，禁止擅自伤害古树。</w:t>
      </w:r>
    </w:p>
    <w:p w14:paraId="57647082">
      <w:pPr>
        <w:spacing w:line="360" w:lineRule="auto"/>
        <w:ind w:firstLine="420" w:firstLineChars="200"/>
        <w:jc w:val="left"/>
        <w:rPr>
          <w:rFonts w:ascii="宋体" w:hAnsi="宋体"/>
          <w:b w:val="0"/>
          <w:bCs w:val="0"/>
          <w:szCs w:val="21"/>
        </w:rPr>
      </w:pPr>
      <w:r>
        <w:rPr>
          <w:rFonts w:hint="eastAsia" w:ascii="宋体" w:hAnsi="宋体"/>
          <w:b w:val="0"/>
          <w:bCs w:val="0"/>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37B399D">
      <w:pPr>
        <w:spacing w:line="360" w:lineRule="auto"/>
        <w:ind w:firstLine="420" w:firstLineChars="200"/>
        <w:jc w:val="left"/>
        <w:rPr>
          <w:rFonts w:ascii="宋体" w:hAnsi="宋体"/>
          <w:b w:val="0"/>
          <w:bCs w:val="0"/>
          <w:szCs w:val="21"/>
        </w:rPr>
      </w:pPr>
      <w:r>
        <w:rPr>
          <w:rFonts w:hint="eastAsia" w:ascii="宋体" w:hAnsi="宋体"/>
          <w:b w:val="0"/>
          <w:bCs w:val="0"/>
          <w:szCs w:val="21"/>
        </w:rPr>
        <w:t>6．承包人在施工中应禁止向环境，排放工业污水、生活污水、废油或其他有害物质。</w:t>
      </w:r>
    </w:p>
    <w:p w14:paraId="2A264246">
      <w:pPr>
        <w:spacing w:line="360" w:lineRule="auto"/>
        <w:ind w:firstLine="420" w:firstLineChars="200"/>
        <w:jc w:val="left"/>
        <w:rPr>
          <w:rFonts w:ascii="宋体" w:hAnsi="宋体"/>
          <w:b w:val="0"/>
          <w:bCs w:val="0"/>
          <w:szCs w:val="21"/>
        </w:rPr>
      </w:pPr>
      <w:r>
        <w:rPr>
          <w:rFonts w:hint="eastAsia" w:ascii="宋体" w:hAnsi="宋体"/>
          <w:b w:val="0"/>
          <w:bCs w:val="0"/>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C592357">
      <w:pPr>
        <w:spacing w:line="360" w:lineRule="auto"/>
        <w:ind w:firstLine="420" w:firstLineChars="200"/>
        <w:rPr>
          <w:rFonts w:ascii="宋体" w:hAnsi="宋体"/>
          <w:b w:val="0"/>
          <w:bCs w:val="0"/>
          <w:szCs w:val="21"/>
        </w:rPr>
      </w:pPr>
      <w:bookmarkStart w:id="424" w:name="_Toc247418277"/>
      <w:bookmarkStart w:id="425" w:name="_Toc247431437"/>
      <w:bookmarkStart w:id="426" w:name="_Toc239510303"/>
      <w:bookmarkStart w:id="427" w:name="_Toc532375713"/>
      <w:r>
        <w:rPr>
          <w:rFonts w:hint="eastAsia" w:ascii="宋体" w:hAnsi="宋体"/>
          <w:b w:val="0"/>
          <w:bCs w:val="0"/>
          <w:szCs w:val="21"/>
        </w:rPr>
        <w:t>十四、工程风险管理与事故预防</w:t>
      </w:r>
      <w:bookmarkEnd w:id="424"/>
      <w:bookmarkEnd w:id="425"/>
      <w:bookmarkEnd w:id="426"/>
      <w:bookmarkEnd w:id="427"/>
    </w:p>
    <w:p w14:paraId="2DFE8F0E">
      <w:pPr>
        <w:spacing w:line="360" w:lineRule="auto"/>
        <w:ind w:firstLine="420" w:firstLineChars="200"/>
        <w:jc w:val="left"/>
        <w:rPr>
          <w:rFonts w:ascii="宋体" w:hAnsi="宋体"/>
          <w:b w:val="0"/>
          <w:bCs w:val="0"/>
          <w:szCs w:val="21"/>
        </w:rPr>
      </w:pPr>
      <w:bookmarkStart w:id="428" w:name="_Toc247431438"/>
      <w:bookmarkStart w:id="429" w:name="_Toc239510304"/>
      <w:bookmarkStart w:id="430" w:name="_Toc247418278"/>
      <w:r>
        <w:rPr>
          <w:rFonts w:hint="eastAsia" w:ascii="宋体" w:hAnsi="宋体"/>
          <w:b w:val="0"/>
          <w:bCs w:val="0"/>
          <w:szCs w:val="21"/>
        </w:rPr>
        <w:t>（一）基本要求</w:t>
      </w:r>
      <w:bookmarkEnd w:id="428"/>
      <w:bookmarkEnd w:id="429"/>
      <w:bookmarkEnd w:id="430"/>
    </w:p>
    <w:p w14:paraId="280C5213">
      <w:pPr>
        <w:spacing w:line="360" w:lineRule="auto"/>
        <w:ind w:firstLine="420" w:firstLineChars="200"/>
        <w:jc w:val="left"/>
        <w:rPr>
          <w:rFonts w:ascii="宋体" w:hAnsi="宋体"/>
          <w:b w:val="0"/>
          <w:bCs w:val="0"/>
          <w:szCs w:val="21"/>
        </w:rPr>
      </w:pPr>
      <w:bookmarkStart w:id="431" w:name="_Toc532375714"/>
      <w:r>
        <w:rPr>
          <w:rFonts w:hint="eastAsia" w:ascii="宋体" w:hAnsi="宋体"/>
          <w:b w:val="0"/>
          <w:bCs w:val="0"/>
          <w:szCs w:val="21"/>
        </w:rPr>
        <w:t>1．承包人应对施工过程进行全面、深入的危险源识别和风险分析。在施工安全组织设计中提供危险源及重要危险源清单、作业风险分析报告，该报告应包括（但不限于）如下信息：</w:t>
      </w:r>
      <w:bookmarkEnd w:id="431"/>
    </w:p>
    <w:p w14:paraId="7FF639AD">
      <w:pPr>
        <w:spacing w:line="360" w:lineRule="auto"/>
        <w:ind w:firstLine="420" w:firstLineChars="200"/>
        <w:jc w:val="left"/>
        <w:rPr>
          <w:rFonts w:ascii="宋体" w:hAnsi="宋体"/>
          <w:b w:val="0"/>
          <w:bCs w:val="0"/>
          <w:szCs w:val="21"/>
        </w:rPr>
      </w:pPr>
      <w:r>
        <w:rPr>
          <w:rFonts w:hint="eastAsia" w:ascii="宋体" w:hAnsi="宋体"/>
          <w:b w:val="0"/>
          <w:bCs w:val="0"/>
          <w:szCs w:val="21"/>
        </w:rPr>
        <w:t>（1）高风险作业和工种清单：作业名称、类别和数量、主要事故风险。</w:t>
      </w:r>
    </w:p>
    <w:p w14:paraId="77707141">
      <w:pPr>
        <w:spacing w:line="360" w:lineRule="auto"/>
        <w:ind w:firstLine="420" w:firstLineChars="200"/>
        <w:jc w:val="left"/>
        <w:rPr>
          <w:rFonts w:ascii="宋体" w:hAnsi="宋体"/>
          <w:b w:val="0"/>
          <w:bCs w:val="0"/>
          <w:szCs w:val="21"/>
        </w:rPr>
      </w:pPr>
      <w:r>
        <w:rPr>
          <w:rFonts w:hint="eastAsia" w:ascii="宋体" w:hAnsi="宋体"/>
          <w:b w:val="0"/>
          <w:bCs w:val="0"/>
          <w:szCs w:val="21"/>
        </w:rPr>
        <w:t>（2）施工能源和机械的种类、数量和主要事故风险。</w:t>
      </w:r>
    </w:p>
    <w:p w14:paraId="5DE91904">
      <w:pPr>
        <w:spacing w:line="360" w:lineRule="auto"/>
        <w:ind w:firstLine="420" w:firstLineChars="200"/>
        <w:jc w:val="left"/>
        <w:rPr>
          <w:rFonts w:ascii="宋体" w:hAnsi="宋体"/>
          <w:b w:val="0"/>
          <w:bCs w:val="0"/>
          <w:szCs w:val="21"/>
        </w:rPr>
      </w:pPr>
      <w:r>
        <w:rPr>
          <w:rFonts w:hint="eastAsia" w:ascii="宋体" w:hAnsi="宋体"/>
          <w:b w:val="0"/>
          <w:bCs w:val="0"/>
          <w:szCs w:val="21"/>
        </w:rPr>
        <w:t>（3）施工作业条件的类型和主要事故风险。</w:t>
      </w:r>
    </w:p>
    <w:p w14:paraId="1BCBF889">
      <w:pPr>
        <w:spacing w:line="360" w:lineRule="auto"/>
        <w:ind w:firstLine="420" w:firstLineChars="200"/>
        <w:jc w:val="left"/>
        <w:rPr>
          <w:rFonts w:ascii="宋体" w:hAnsi="宋体"/>
          <w:b w:val="0"/>
          <w:bCs w:val="0"/>
          <w:szCs w:val="21"/>
        </w:rPr>
      </w:pPr>
      <w:r>
        <w:rPr>
          <w:rFonts w:hint="eastAsia" w:ascii="宋体" w:hAnsi="宋体"/>
          <w:b w:val="0"/>
          <w:bCs w:val="0"/>
          <w:szCs w:val="21"/>
        </w:rPr>
        <w:t>（4）主要工艺过程（或施工活动）的类别及其相关的事故风险。</w:t>
      </w:r>
    </w:p>
    <w:p w14:paraId="0A9B6B93">
      <w:pPr>
        <w:spacing w:line="360" w:lineRule="auto"/>
        <w:ind w:firstLine="420" w:firstLineChars="200"/>
        <w:jc w:val="left"/>
        <w:rPr>
          <w:rFonts w:ascii="宋体" w:hAnsi="宋体"/>
          <w:b w:val="0"/>
          <w:bCs w:val="0"/>
          <w:szCs w:val="21"/>
        </w:rPr>
      </w:pPr>
      <w:r>
        <w:rPr>
          <w:rFonts w:hint="eastAsia" w:ascii="宋体" w:hAnsi="宋体"/>
          <w:b w:val="0"/>
          <w:bCs w:val="0"/>
          <w:szCs w:val="21"/>
        </w:rPr>
        <w:t>（5）主要火灾危险（可燃物、点火源）。</w:t>
      </w:r>
    </w:p>
    <w:p w14:paraId="24FC0F8F">
      <w:pPr>
        <w:spacing w:line="360" w:lineRule="auto"/>
        <w:ind w:firstLine="420" w:firstLineChars="200"/>
        <w:jc w:val="left"/>
        <w:rPr>
          <w:rFonts w:ascii="宋体" w:hAnsi="宋体"/>
          <w:b w:val="0"/>
          <w:bCs w:val="0"/>
          <w:szCs w:val="21"/>
        </w:rPr>
      </w:pPr>
      <w:r>
        <w:rPr>
          <w:rFonts w:hint="eastAsia" w:ascii="宋体" w:hAnsi="宋体"/>
          <w:b w:val="0"/>
          <w:bCs w:val="0"/>
          <w:szCs w:val="21"/>
        </w:rPr>
        <w:t>（6）主要自然灾害（洪水、大风、雷暴、暴雨、地质灾害等）。</w:t>
      </w:r>
    </w:p>
    <w:p w14:paraId="7D962CF4">
      <w:pPr>
        <w:spacing w:line="360" w:lineRule="auto"/>
        <w:ind w:firstLine="420" w:firstLineChars="200"/>
        <w:jc w:val="left"/>
        <w:rPr>
          <w:rFonts w:ascii="宋体" w:hAnsi="宋体"/>
          <w:b w:val="0"/>
          <w:bCs w:val="0"/>
          <w:szCs w:val="21"/>
        </w:rPr>
      </w:pPr>
      <w:r>
        <w:rPr>
          <w:rFonts w:hint="eastAsia" w:ascii="宋体" w:hAnsi="宋体"/>
          <w:b w:val="0"/>
          <w:bCs w:val="0"/>
          <w:szCs w:val="21"/>
        </w:rPr>
        <w:t>（7）主要环境保护事件（有害垃圾、机械的跑冒滴漏、原材料流失、水土流失等）。</w:t>
      </w:r>
    </w:p>
    <w:p w14:paraId="61D62270">
      <w:pPr>
        <w:spacing w:line="360" w:lineRule="auto"/>
        <w:ind w:firstLine="420" w:firstLineChars="200"/>
        <w:jc w:val="left"/>
        <w:rPr>
          <w:rFonts w:ascii="宋体" w:hAnsi="宋体"/>
          <w:b w:val="0"/>
          <w:bCs w:val="0"/>
          <w:szCs w:val="21"/>
        </w:rPr>
      </w:pPr>
      <w:r>
        <w:rPr>
          <w:rFonts w:hint="eastAsia" w:ascii="宋体" w:hAnsi="宋体"/>
          <w:b w:val="0"/>
          <w:bCs w:val="0"/>
          <w:szCs w:val="21"/>
        </w:rPr>
        <w:t>（8）其他。</w:t>
      </w:r>
    </w:p>
    <w:p w14:paraId="0AE37B71">
      <w:pPr>
        <w:spacing w:line="360" w:lineRule="auto"/>
        <w:ind w:firstLine="420" w:firstLineChars="200"/>
        <w:jc w:val="left"/>
        <w:rPr>
          <w:rFonts w:ascii="宋体" w:hAnsi="宋体"/>
          <w:b w:val="0"/>
          <w:bCs w:val="0"/>
          <w:szCs w:val="21"/>
        </w:rPr>
      </w:pPr>
      <w:r>
        <w:rPr>
          <w:rFonts w:hint="eastAsia" w:ascii="宋体" w:hAnsi="宋体"/>
          <w:b w:val="0"/>
          <w:bCs w:val="0"/>
          <w:szCs w:val="21"/>
        </w:rPr>
        <w:t>2．承包人应针对识别出的危险源制定有针对性的事故预防措施并确保在施工中得到有效落实。</w:t>
      </w:r>
    </w:p>
    <w:p w14:paraId="03A4EAD6">
      <w:pPr>
        <w:spacing w:line="360" w:lineRule="auto"/>
        <w:ind w:firstLine="420" w:firstLineChars="200"/>
        <w:jc w:val="left"/>
        <w:rPr>
          <w:rFonts w:ascii="宋体" w:hAnsi="宋体"/>
          <w:b w:val="0"/>
          <w:bCs w:val="0"/>
          <w:szCs w:val="21"/>
        </w:rPr>
      </w:pPr>
      <w:r>
        <w:rPr>
          <w:rFonts w:hint="eastAsia" w:ascii="宋体" w:hAnsi="宋体"/>
          <w:b w:val="0"/>
          <w:bCs w:val="0"/>
          <w:szCs w:val="21"/>
        </w:rPr>
        <w:t>3．承包人应建立日常施工活动的动态作业风险分析和安全交底制度。该制度应明确规定风险分析的方法、责任和交底的内容、时间及记录。</w:t>
      </w:r>
    </w:p>
    <w:p w14:paraId="46A26844">
      <w:pPr>
        <w:spacing w:line="360" w:lineRule="auto"/>
        <w:ind w:firstLine="420" w:firstLineChars="200"/>
        <w:jc w:val="left"/>
        <w:rPr>
          <w:rFonts w:ascii="宋体" w:hAnsi="宋体"/>
          <w:b w:val="0"/>
          <w:bCs w:val="0"/>
          <w:szCs w:val="21"/>
        </w:rPr>
      </w:pPr>
      <w:bookmarkStart w:id="432" w:name="_Toc247418279"/>
      <w:bookmarkStart w:id="433" w:name="_Toc239510305"/>
      <w:bookmarkStart w:id="434" w:name="_Toc247431439"/>
      <w:r>
        <w:rPr>
          <w:rFonts w:hint="eastAsia" w:ascii="宋体" w:hAnsi="宋体"/>
          <w:b w:val="0"/>
          <w:bCs w:val="0"/>
          <w:szCs w:val="21"/>
        </w:rPr>
        <w:t>（二）现场作业基本安全条件</w:t>
      </w:r>
      <w:bookmarkEnd w:id="432"/>
      <w:bookmarkEnd w:id="433"/>
      <w:bookmarkEnd w:id="434"/>
    </w:p>
    <w:p w14:paraId="2EB70905">
      <w:pPr>
        <w:spacing w:line="360" w:lineRule="auto"/>
        <w:ind w:firstLine="420" w:firstLineChars="200"/>
        <w:jc w:val="left"/>
        <w:rPr>
          <w:rFonts w:ascii="宋体" w:hAnsi="宋体"/>
          <w:b w:val="0"/>
          <w:bCs w:val="0"/>
          <w:szCs w:val="21"/>
        </w:rPr>
      </w:pPr>
      <w:r>
        <w:rPr>
          <w:rFonts w:hint="eastAsia" w:ascii="宋体" w:hAnsi="宋体"/>
          <w:b w:val="0"/>
          <w:bCs w:val="0"/>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01E8175">
      <w:pPr>
        <w:spacing w:line="360" w:lineRule="auto"/>
        <w:ind w:firstLine="420" w:firstLineChars="200"/>
        <w:rPr>
          <w:rFonts w:ascii="宋体" w:hAnsi="宋体"/>
          <w:b w:val="0"/>
          <w:bCs w:val="0"/>
          <w:szCs w:val="21"/>
        </w:rPr>
      </w:pPr>
      <w:bookmarkStart w:id="435" w:name="_Toc247431440"/>
      <w:bookmarkStart w:id="436" w:name="_Toc532375715"/>
      <w:bookmarkStart w:id="437" w:name="_Toc247418280"/>
      <w:bookmarkStart w:id="438" w:name="_Toc239510306"/>
      <w:r>
        <w:rPr>
          <w:rFonts w:hint="eastAsia" w:ascii="宋体" w:hAnsi="宋体"/>
          <w:b w:val="0"/>
          <w:bCs w:val="0"/>
          <w:szCs w:val="21"/>
        </w:rPr>
        <w:t>十五、事故报告与应急救援</w:t>
      </w:r>
      <w:bookmarkEnd w:id="435"/>
      <w:bookmarkEnd w:id="436"/>
      <w:bookmarkEnd w:id="437"/>
      <w:bookmarkEnd w:id="438"/>
    </w:p>
    <w:p w14:paraId="7BC69ACD">
      <w:pPr>
        <w:spacing w:line="360" w:lineRule="auto"/>
        <w:ind w:firstLine="420" w:firstLineChars="200"/>
        <w:jc w:val="left"/>
        <w:rPr>
          <w:rFonts w:ascii="宋体" w:hAnsi="宋体"/>
          <w:b w:val="0"/>
          <w:bCs w:val="0"/>
          <w:szCs w:val="21"/>
        </w:rPr>
      </w:pPr>
      <w:r>
        <w:rPr>
          <w:rFonts w:hint="eastAsia" w:ascii="宋体" w:hAnsi="宋体"/>
          <w:b w:val="0"/>
          <w:bCs w:val="0"/>
          <w:szCs w:val="21"/>
        </w:rPr>
        <w:t>1．承包人应制定对于未遂事故及以上级别的安全事件和事故，定期报送安全月度快报、季报、年报和各种专项事故报告等。</w:t>
      </w:r>
    </w:p>
    <w:p w14:paraId="178F2372">
      <w:pPr>
        <w:spacing w:line="360" w:lineRule="auto"/>
        <w:ind w:firstLine="420" w:firstLineChars="200"/>
        <w:jc w:val="left"/>
        <w:rPr>
          <w:rFonts w:ascii="宋体" w:hAnsi="宋体"/>
          <w:b w:val="0"/>
          <w:bCs w:val="0"/>
          <w:szCs w:val="21"/>
        </w:rPr>
      </w:pPr>
      <w:r>
        <w:rPr>
          <w:rFonts w:hint="eastAsia" w:ascii="宋体" w:hAnsi="宋体"/>
          <w:b w:val="0"/>
          <w:bCs w:val="0"/>
          <w:szCs w:val="21"/>
        </w:rPr>
        <w:t>2．承包人应建立安全事故统计记录、未遂事故统计记录、违章统计记录，并根据统计情况进行分析，并就分析结果制定相应的预防措施。</w:t>
      </w:r>
    </w:p>
    <w:p w14:paraId="567634B8">
      <w:pPr>
        <w:spacing w:line="360" w:lineRule="auto"/>
        <w:ind w:firstLine="420" w:firstLineChars="200"/>
        <w:jc w:val="left"/>
        <w:rPr>
          <w:rFonts w:ascii="宋体" w:hAnsi="宋体"/>
          <w:b w:val="0"/>
          <w:bCs w:val="0"/>
          <w:szCs w:val="21"/>
        </w:rPr>
      </w:pPr>
      <w:r>
        <w:rPr>
          <w:rFonts w:hint="eastAsia" w:ascii="宋体" w:hAnsi="宋体"/>
          <w:b w:val="0"/>
          <w:bCs w:val="0"/>
          <w:szCs w:val="21"/>
        </w:rPr>
        <w:t>3．承包人应建立事故应急救援机制，明确事故处置的基本原则，即现场发生事故时，首先抢救生命，向救援组织报警，并采取措施限制事故扩大。</w:t>
      </w:r>
    </w:p>
    <w:p w14:paraId="6908ABE5">
      <w:pPr>
        <w:spacing w:line="360" w:lineRule="auto"/>
        <w:ind w:firstLine="420" w:firstLineChars="200"/>
        <w:jc w:val="left"/>
        <w:rPr>
          <w:rFonts w:ascii="宋体" w:hAnsi="宋体"/>
          <w:b w:val="0"/>
          <w:bCs w:val="0"/>
          <w:szCs w:val="21"/>
        </w:rPr>
      </w:pPr>
      <w:r>
        <w:rPr>
          <w:rFonts w:hint="eastAsia" w:ascii="宋体" w:hAnsi="宋体"/>
          <w:b w:val="0"/>
          <w:bCs w:val="0"/>
          <w:szCs w:val="21"/>
        </w:rPr>
        <w:t>4．承包人应建立相应的应急响应组织，以便能迅速处理突发意外。</w:t>
      </w:r>
    </w:p>
    <w:p w14:paraId="4C4808BD">
      <w:pPr>
        <w:spacing w:line="360" w:lineRule="auto"/>
        <w:ind w:firstLine="420" w:firstLineChars="200"/>
        <w:jc w:val="left"/>
        <w:rPr>
          <w:rFonts w:ascii="宋体" w:hAnsi="宋体"/>
          <w:b w:val="0"/>
          <w:bCs w:val="0"/>
          <w:szCs w:val="21"/>
        </w:rPr>
      </w:pPr>
      <w:r>
        <w:rPr>
          <w:rFonts w:hint="eastAsia" w:ascii="宋体" w:hAnsi="宋体"/>
          <w:b w:val="0"/>
          <w:bCs w:val="0"/>
          <w:szCs w:val="21"/>
        </w:rPr>
        <w:t>5．承包人应建立专项应急响应预案，包括重大人身伤亡事故的救护预案、火灾响应预案、“四防”预案（防风、防冻、防雷、防暴雨）、重大疫病防护预案、环境污染防护预案、地质灾害防护预案等。</w:t>
      </w:r>
    </w:p>
    <w:p w14:paraId="232F12F7">
      <w:pPr>
        <w:spacing w:line="360" w:lineRule="auto"/>
        <w:ind w:firstLine="420" w:firstLineChars="200"/>
        <w:jc w:val="left"/>
        <w:rPr>
          <w:rFonts w:ascii="宋体" w:hAnsi="宋体"/>
          <w:b w:val="0"/>
          <w:bCs w:val="0"/>
          <w:szCs w:val="21"/>
        </w:rPr>
      </w:pPr>
      <w:r>
        <w:rPr>
          <w:rFonts w:hint="eastAsia" w:ascii="宋体" w:hAnsi="宋体"/>
          <w:b w:val="0"/>
          <w:bCs w:val="0"/>
          <w:szCs w:val="21"/>
        </w:rPr>
        <w:t>6．承包人应对应急预案进行适当演练，保证应急预案的可操作性。</w:t>
      </w:r>
    </w:p>
    <w:p w14:paraId="7DE95B86">
      <w:pPr>
        <w:spacing w:line="360" w:lineRule="auto"/>
        <w:ind w:firstLine="420" w:firstLineChars="200"/>
        <w:jc w:val="left"/>
        <w:rPr>
          <w:rFonts w:ascii="宋体" w:hAnsi="宋体"/>
          <w:b w:val="0"/>
          <w:bCs w:val="0"/>
          <w:szCs w:val="21"/>
        </w:rPr>
      </w:pPr>
      <w:r>
        <w:rPr>
          <w:rFonts w:hint="eastAsia" w:ascii="宋体" w:hAnsi="宋体"/>
          <w:b w:val="0"/>
          <w:bCs w:val="0"/>
          <w:szCs w:val="21"/>
        </w:rPr>
        <w:t>7．在工地的其他施工单位发生重大事故时，承包人应无条件立即配合、支持事故抢险。</w:t>
      </w:r>
    </w:p>
    <w:p w14:paraId="1E34154F">
      <w:pPr>
        <w:spacing w:line="360" w:lineRule="auto"/>
        <w:ind w:firstLine="420" w:firstLineChars="200"/>
        <w:jc w:val="left"/>
        <w:rPr>
          <w:rFonts w:ascii="宋体" w:hAnsi="宋体"/>
          <w:b w:val="0"/>
          <w:bCs w:val="0"/>
          <w:szCs w:val="21"/>
        </w:rPr>
      </w:pPr>
      <w:r>
        <w:rPr>
          <w:rFonts w:hint="eastAsia" w:ascii="宋体" w:hAnsi="宋体"/>
          <w:b w:val="0"/>
          <w:bCs w:val="0"/>
          <w:szCs w:val="21"/>
        </w:rPr>
        <w:t>8．承包人必须为事故处置支付各项费用，包括受伤者的抚恤、补偿等费用，并按合同要求赔偿对发包人造成的损失。</w:t>
      </w:r>
    </w:p>
    <w:p w14:paraId="3BD32B42">
      <w:pPr>
        <w:spacing w:line="360" w:lineRule="auto"/>
        <w:ind w:firstLine="420" w:firstLineChars="200"/>
        <w:jc w:val="left"/>
        <w:rPr>
          <w:rFonts w:ascii="宋体" w:hAnsi="宋体"/>
          <w:b w:val="0"/>
          <w:bCs w:val="0"/>
          <w:szCs w:val="21"/>
        </w:rPr>
      </w:pPr>
      <w:r>
        <w:rPr>
          <w:rFonts w:hint="eastAsia" w:ascii="宋体" w:hAnsi="宋体"/>
          <w:b w:val="0"/>
          <w:bCs w:val="0"/>
          <w:szCs w:val="21"/>
        </w:rPr>
        <w:t>9．由于发包人原因而造成的事故，发包人应负责按事故的具体损失情况给予承包人经济赔偿。</w:t>
      </w:r>
    </w:p>
    <w:p w14:paraId="1C22CD89">
      <w:pPr>
        <w:spacing w:line="360" w:lineRule="auto"/>
        <w:ind w:firstLine="420" w:firstLineChars="200"/>
        <w:jc w:val="left"/>
        <w:rPr>
          <w:rFonts w:ascii="宋体" w:hAnsi="宋体"/>
          <w:b w:val="0"/>
          <w:bCs w:val="0"/>
          <w:szCs w:val="21"/>
        </w:rPr>
      </w:pPr>
      <w:r>
        <w:rPr>
          <w:rFonts w:hint="eastAsia" w:ascii="宋体" w:hAnsi="宋体"/>
          <w:b w:val="0"/>
          <w:bCs w:val="0"/>
          <w:szCs w:val="21"/>
        </w:rPr>
        <w:t>10．涉及承包人员工的伤害事故，承包人除要报告发包人委托的监理公司外，还应负责按照国家、行业和本单位上级公司的要求，上报事故。</w:t>
      </w:r>
    </w:p>
    <w:p w14:paraId="6904446B">
      <w:pPr>
        <w:spacing w:line="360" w:lineRule="auto"/>
        <w:ind w:firstLine="420" w:firstLineChars="200"/>
        <w:rPr>
          <w:rFonts w:ascii="宋体" w:hAnsi="宋体"/>
          <w:b w:val="0"/>
          <w:bCs w:val="0"/>
          <w:szCs w:val="21"/>
        </w:rPr>
      </w:pPr>
      <w:bookmarkStart w:id="439" w:name="_Toc247431441"/>
      <w:bookmarkStart w:id="440" w:name="_Toc532375716"/>
      <w:bookmarkStart w:id="441" w:name="_Toc247418281"/>
      <w:bookmarkStart w:id="442" w:name="_Toc239510307"/>
      <w:r>
        <w:rPr>
          <w:rFonts w:hint="eastAsia" w:ascii="宋体" w:hAnsi="宋体"/>
          <w:b w:val="0"/>
          <w:bCs w:val="0"/>
          <w:szCs w:val="21"/>
        </w:rPr>
        <w:t>十六、安全业绩考核</w:t>
      </w:r>
      <w:bookmarkEnd w:id="439"/>
      <w:bookmarkEnd w:id="440"/>
      <w:bookmarkEnd w:id="441"/>
      <w:bookmarkEnd w:id="442"/>
    </w:p>
    <w:p w14:paraId="43B6DBE3">
      <w:pPr>
        <w:spacing w:line="360" w:lineRule="auto"/>
        <w:ind w:firstLine="420" w:firstLineChars="200"/>
        <w:jc w:val="left"/>
        <w:rPr>
          <w:rFonts w:ascii="宋体" w:hAnsi="宋体"/>
          <w:b w:val="0"/>
          <w:bCs w:val="0"/>
          <w:szCs w:val="21"/>
        </w:rPr>
      </w:pPr>
      <w:r>
        <w:rPr>
          <w:rFonts w:hint="eastAsia" w:ascii="宋体" w:hAnsi="宋体"/>
          <w:b w:val="0"/>
          <w:bCs w:val="0"/>
          <w:szCs w:val="21"/>
        </w:rPr>
        <w:t>为了落实安全管理的责任，承包人在施工过程中发生安全事故时，承包人除应按国家有关规定承担责任和处罚外，发包人还将按照以下标准进行考核：</w:t>
      </w:r>
    </w:p>
    <w:tbl>
      <w:tblPr>
        <w:tblStyle w:val="8"/>
        <w:tblW w:w="7005" w:type="dxa"/>
        <w:jc w:val="center"/>
        <w:tblLayout w:type="fixed"/>
        <w:tblCellMar>
          <w:top w:w="0" w:type="dxa"/>
          <w:left w:w="0" w:type="dxa"/>
          <w:bottom w:w="0" w:type="dxa"/>
          <w:right w:w="0" w:type="dxa"/>
        </w:tblCellMar>
      </w:tblPr>
      <w:tblGrid>
        <w:gridCol w:w="3240"/>
        <w:gridCol w:w="3765"/>
      </w:tblGrid>
      <w:tr w14:paraId="3963A39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3A3900">
            <w:pPr>
              <w:spacing w:line="360" w:lineRule="auto"/>
              <w:ind w:firstLine="420" w:firstLineChars="200"/>
              <w:jc w:val="center"/>
              <w:rPr>
                <w:rFonts w:ascii="宋体" w:hAnsi="宋体"/>
                <w:b w:val="0"/>
                <w:bCs w:val="0"/>
                <w:szCs w:val="21"/>
              </w:rPr>
            </w:pPr>
            <w:r>
              <w:rPr>
                <w:rFonts w:hint="eastAsia" w:ascii="宋体" w:hAnsi="宋体"/>
                <w:b w:val="0"/>
                <w:bCs w:val="0"/>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60C3B9E">
            <w:pPr>
              <w:spacing w:line="360" w:lineRule="auto"/>
              <w:ind w:firstLine="420" w:firstLineChars="200"/>
              <w:jc w:val="center"/>
              <w:rPr>
                <w:rFonts w:ascii="宋体" w:hAnsi="宋体"/>
                <w:b w:val="0"/>
                <w:bCs w:val="0"/>
                <w:szCs w:val="21"/>
              </w:rPr>
            </w:pPr>
            <w:r>
              <w:rPr>
                <w:rFonts w:hint="eastAsia" w:ascii="宋体" w:hAnsi="宋体"/>
                <w:b w:val="0"/>
                <w:bCs w:val="0"/>
                <w:szCs w:val="21"/>
              </w:rPr>
              <w:t>违约金额</w:t>
            </w:r>
          </w:p>
        </w:tc>
      </w:tr>
      <w:tr w14:paraId="274BB533">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1B3257">
            <w:pPr>
              <w:spacing w:line="360" w:lineRule="auto"/>
              <w:ind w:firstLine="420" w:firstLineChars="200"/>
              <w:jc w:val="center"/>
              <w:rPr>
                <w:rFonts w:ascii="宋体" w:hAnsi="宋体"/>
                <w:b w:val="0"/>
                <w:bCs w:val="0"/>
                <w:szCs w:val="21"/>
              </w:rPr>
            </w:pPr>
            <w:r>
              <w:rPr>
                <w:rFonts w:hint="eastAsia" w:ascii="宋体" w:hAnsi="宋体"/>
                <w:b w:val="0"/>
                <w:bCs w:val="0"/>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14:paraId="63A4C8DF">
            <w:pPr>
              <w:spacing w:line="360" w:lineRule="auto"/>
              <w:ind w:firstLine="420" w:firstLineChars="200"/>
              <w:jc w:val="center"/>
              <w:rPr>
                <w:rFonts w:ascii="宋体" w:hAnsi="宋体"/>
                <w:b w:val="0"/>
                <w:bCs w:val="0"/>
                <w:szCs w:val="21"/>
              </w:rPr>
            </w:pPr>
            <w:r>
              <w:rPr>
                <w:rFonts w:hint="eastAsia" w:ascii="宋体" w:hAnsi="宋体"/>
                <w:b w:val="0"/>
                <w:bCs w:val="0"/>
                <w:kern w:val="0"/>
                <w:szCs w:val="21"/>
              </w:rPr>
              <w:t>签约合同价</w:t>
            </w:r>
            <w:r>
              <w:rPr>
                <w:rFonts w:hint="eastAsia" w:ascii="宋体" w:hAnsi="宋体"/>
                <w:b w:val="0"/>
                <w:bCs w:val="0"/>
                <w:szCs w:val="21"/>
              </w:rPr>
              <w:t>的0.5‰</w:t>
            </w:r>
          </w:p>
        </w:tc>
      </w:tr>
      <w:tr w14:paraId="50CF317C">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8E723C">
            <w:pPr>
              <w:spacing w:line="360" w:lineRule="auto"/>
              <w:ind w:firstLine="420" w:firstLineChars="200"/>
              <w:jc w:val="center"/>
              <w:rPr>
                <w:rFonts w:ascii="宋体" w:hAnsi="宋体"/>
                <w:b w:val="0"/>
                <w:bCs w:val="0"/>
                <w:szCs w:val="21"/>
              </w:rPr>
            </w:pPr>
            <w:r>
              <w:rPr>
                <w:rFonts w:hint="eastAsia" w:ascii="宋体" w:hAnsi="宋体"/>
                <w:b w:val="0"/>
                <w:bCs w:val="0"/>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14:paraId="6FE98E01">
            <w:pPr>
              <w:spacing w:line="360" w:lineRule="auto"/>
              <w:ind w:firstLine="420" w:firstLineChars="200"/>
              <w:jc w:val="center"/>
              <w:rPr>
                <w:rFonts w:ascii="宋体" w:hAnsi="宋体"/>
                <w:b w:val="0"/>
                <w:bCs w:val="0"/>
                <w:szCs w:val="21"/>
              </w:rPr>
            </w:pPr>
            <w:r>
              <w:rPr>
                <w:rFonts w:hint="eastAsia" w:ascii="宋体" w:hAnsi="宋体"/>
                <w:b w:val="0"/>
                <w:bCs w:val="0"/>
                <w:szCs w:val="21"/>
              </w:rPr>
              <w:t>签约合同价的2‰</w:t>
            </w:r>
          </w:p>
        </w:tc>
      </w:tr>
      <w:tr w14:paraId="452E77A5">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D77EB8">
            <w:pPr>
              <w:spacing w:line="360" w:lineRule="auto"/>
              <w:ind w:firstLine="420" w:firstLineChars="200"/>
              <w:jc w:val="center"/>
              <w:rPr>
                <w:rFonts w:ascii="宋体" w:hAnsi="宋体"/>
                <w:b w:val="0"/>
                <w:bCs w:val="0"/>
                <w:szCs w:val="21"/>
              </w:rPr>
            </w:pPr>
            <w:r>
              <w:rPr>
                <w:rFonts w:hint="eastAsia" w:ascii="宋体" w:hAnsi="宋体"/>
                <w:b w:val="0"/>
                <w:bCs w:val="0"/>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5D7A97F0">
            <w:pPr>
              <w:spacing w:line="360" w:lineRule="auto"/>
              <w:ind w:firstLine="420" w:firstLineChars="200"/>
              <w:jc w:val="center"/>
              <w:rPr>
                <w:rFonts w:ascii="宋体" w:hAnsi="宋体"/>
                <w:b w:val="0"/>
                <w:bCs w:val="0"/>
                <w:szCs w:val="21"/>
              </w:rPr>
            </w:pPr>
            <w:r>
              <w:rPr>
                <w:rFonts w:hint="eastAsia" w:ascii="宋体" w:hAnsi="宋体"/>
                <w:b w:val="0"/>
                <w:bCs w:val="0"/>
                <w:szCs w:val="21"/>
              </w:rPr>
              <w:t>签约合同价的4‰</w:t>
            </w:r>
          </w:p>
        </w:tc>
      </w:tr>
    </w:tbl>
    <w:p w14:paraId="2B1ED675">
      <w:pPr>
        <w:spacing w:line="360" w:lineRule="auto"/>
        <w:ind w:firstLine="420" w:firstLineChars="200"/>
        <w:jc w:val="left"/>
        <w:rPr>
          <w:rFonts w:ascii="宋体" w:hAnsi="宋体"/>
          <w:b w:val="0"/>
          <w:bCs w:val="0"/>
          <w:szCs w:val="21"/>
        </w:rPr>
      </w:pPr>
      <w:r>
        <w:rPr>
          <w:rFonts w:hint="eastAsia" w:ascii="宋体" w:hAnsi="宋体"/>
          <w:b w:val="0"/>
          <w:bCs w:val="0"/>
          <w:szCs w:val="21"/>
        </w:rPr>
        <w:t>（1）较大事故，是指造成3人以上10人以下死亡，或者10人以上50人以下重伤，或者1000万元以上5000万元以下直接经济损失的事故；</w:t>
      </w:r>
    </w:p>
    <w:p w14:paraId="473EBA3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szCs w:val="21"/>
        </w:rPr>
      </w:pPr>
      <w:r>
        <w:rPr>
          <w:rFonts w:hint="eastAsia" w:ascii="宋体" w:hAnsi="宋体"/>
          <w:b w:val="0"/>
          <w:bCs w:val="0"/>
          <w:szCs w:val="21"/>
        </w:rPr>
        <w:t>（2）重大事故，是指造成10人以上30人以下死亡，或者50人以上100人以下重伤，或者5000万元以上1亿元以下直接经济损失的事故；</w:t>
      </w:r>
    </w:p>
    <w:p w14:paraId="684645F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szCs w:val="21"/>
        </w:rPr>
      </w:pPr>
      <w:r>
        <w:rPr>
          <w:rFonts w:hint="eastAsia" w:ascii="宋体" w:hAnsi="宋体"/>
          <w:b w:val="0"/>
          <w:bCs w:val="0"/>
          <w:szCs w:val="21"/>
        </w:rPr>
        <w:t>（3）特别重大事故，是指造成30人以上死亡，或者100人以上重伤（包括急性工业中毒，下同），或者1亿元以上直接经济损失的事故；</w:t>
      </w:r>
    </w:p>
    <w:p w14:paraId="01DDA99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szCs w:val="21"/>
        </w:rPr>
      </w:pPr>
      <w:r>
        <w:rPr>
          <w:rFonts w:hint="eastAsia" w:ascii="宋体" w:hAnsi="宋体"/>
          <w:b w:val="0"/>
          <w:bCs w:val="0"/>
          <w:szCs w:val="21"/>
        </w:rPr>
        <w:t>（4）所称的“以上”包括本数，所称的“以下”不包括本数。</w:t>
      </w:r>
    </w:p>
    <w:p w14:paraId="1B49B1D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szCs w:val="21"/>
        </w:rPr>
      </w:pPr>
      <w:r>
        <w:rPr>
          <w:rFonts w:hint="eastAsia" w:ascii="宋体" w:hAnsi="宋体"/>
          <w:b w:val="0"/>
          <w:bCs w:val="0"/>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479BC13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b w:val="0"/>
          <w:bCs w:val="0"/>
          <w:szCs w:val="21"/>
        </w:rPr>
      </w:pPr>
      <w:bookmarkStart w:id="443" w:name="_Toc247431442"/>
      <w:bookmarkStart w:id="444" w:name="_Toc239510308"/>
      <w:bookmarkStart w:id="445" w:name="_Toc532375717"/>
      <w:bookmarkStart w:id="446" w:name="_Toc247418282"/>
      <w:r>
        <w:rPr>
          <w:rFonts w:hint="eastAsia" w:ascii="宋体" w:hAnsi="宋体"/>
          <w:b w:val="0"/>
          <w:bCs w:val="0"/>
          <w:szCs w:val="21"/>
        </w:rPr>
        <w:t>十七、协议条款的修订</w:t>
      </w:r>
      <w:bookmarkEnd w:id="443"/>
      <w:bookmarkEnd w:id="444"/>
      <w:bookmarkEnd w:id="445"/>
      <w:bookmarkEnd w:id="446"/>
    </w:p>
    <w:p w14:paraId="2605AFB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szCs w:val="21"/>
        </w:rPr>
      </w:pPr>
      <w:r>
        <w:rPr>
          <w:rFonts w:hint="eastAsia" w:ascii="宋体" w:hAnsi="宋体"/>
          <w:b w:val="0"/>
          <w:bCs w:val="0"/>
          <w:szCs w:val="21"/>
        </w:rPr>
        <w:t>在项目实施过程中，经双方友好协商，本协议的有关条款也可做出相应的修改。</w:t>
      </w:r>
    </w:p>
    <w:p w14:paraId="47BC884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szCs w:val="21"/>
        </w:rPr>
      </w:pPr>
      <w:r>
        <w:rPr>
          <w:rFonts w:hint="eastAsia" w:ascii="宋体" w:hAnsi="宋体"/>
          <w:b w:val="0"/>
          <w:bCs w:val="0"/>
          <w:szCs w:val="21"/>
        </w:rPr>
        <w:t>本工程安全管理协议，由发包人、承包人双方在施工承包合同签订后7天内共同签署，作为施工合同附件。</w:t>
      </w:r>
    </w:p>
    <w:p w14:paraId="08CDF8A3">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b w:val="0"/>
          <w:bCs w:val="0"/>
          <w:szCs w:val="21"/>
        </w:rPr>
      </w:pPr>
    </w:p>
    <w:p w14:paraId="2A77A52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cs="宋体"/>
          <w:b w:val="0"/>
          <w:bCs w:val="0"/>
          <w:szCs w:val="21"/>
          <w:u w:val="single"/>
        </w:rPr>
      </w:pPr>
      <w:r>
        <w:rPr>
          <w:rFonts w:hint="eastAsia" w:ascii="宋体" w:hAnsi="宋体"/>
          <w:b w:val="0"/>
          <w:bCs w:val="0"/>
          <w:szCs w:val="21"/>
        </w:rPr>
        <w:t>发  包  人（</w:t>
      </w:r>
      <w:r>
        <w:rPr>
          <w:rFonts w:hint="eastAsia" w:ascii="宋体" w:hAnsi="宋体"/>
          <w:b w:val="0"/>
          <w:bCs w:val="0"/>
          <w:szCs w:val="21"/>
          <w:lang w:val="en-US" w:eastAsia="zh-CN"/>
        </w:rPr>
        <w:t>单位</w:t>
      </w:r>
      <w:r>
        <w:rPr>
          <w:rFonts w:hint="eastAsia" w:ascii="宋体" w:hAnsi="宋体"/>
          <w:b w:val="0"/>
          <w:bCs w:val="0"/>
          <w:szCs w:val="21"/>
        </w:rPr>
        <w:t>公章）：</w:t>
      </w:r>
      <w:r>
        <w:rPr>
          <w:rFonts w:hint="eastAsia" w:ascii="宋体" w:hAnsi="宋体" w:cs="宋体"/>
          <w:b w:val="0"/>
          <w:bCs w:val="0"/>
          <w:szCs w:val="21"/>
          <w:u w:val="single"/>
        </w:rPr>
        <w:t xml:space="preserve">                   </w:t>
      </w:r>
      <w:r>
        <w:rPr>
          <w:rFonts w:hint="eastAsia" w:ascii="宋体" w:hAnsi="宋体" w:cs="宋体"/>
          <w:b w:val="0"/>
          <w:bCs w:val="0"/>
          <w:szCs w:val="21"/>
          <w:u w:val="single"/>
          <w:lang w:val="en-US" w:eastAsia="zh-CN"/>
        </w:rPr>
        <w:t xml:space="preserve"> </w:t>
      </w:r>
      <w:r>
        <w:rPr>
          <w:rFonts w:hint="eastAsia" w:ascii="宋体" w:hAnsi="宋体"/>
          <w:b w:val="0"/>
          <w:bCs w:val="0"/>
          <w:szCs w:val="21"/>
        </w:rPr>
        <w:t>承  包  人（</w:t>
      </w:r>
      <w:r>
        <w:rPr>
          <w:rFonts w:hint="eastAsia" w:ascii="宋体" w:hAnsi="宋体"/>
          <w:b w:val="0"/>
          <w:bCs w:val="0"/>
          <w:szCs w:val="21"/>
          <w:lang w:val="en-US" w:eastAsia="zh-CN"/>
        </w:rPr>
        <w:t>单位</w:t>
      </w:r>
      <w:r>
        <w:rPr>
          <w:rFonts w:hint="eastAsia" w:ascii="宋体" w:hAnsi="宋体"/>
          <w:b w:val="0"/>
          <w:bCs w:val="0"/>
          <w:szCs w:val="21"/>
        </w:rPr>
        <w:t>公章）：</w:t>
      </w:r>
      <w:r>
        <w:rPr>
          <w:rFonts w:hint="eastAsia" w:ascii="宋体" w:hAnsi="宋体" w:cs="宋体"/>
          <w:b w:val="0"/>
          <w:bCs w:val="0"/>
          <w:szCs w:val="21"/>
          <w:u w:val="single"/>
        </w:rPr>
        <w:t xml:space="preserve">                   </w:t>
      </w:r>
    </w:p>
    <w:p w14:paraId="13A85A21">
      <w:pPr>
        <w:pStyle w:val="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pPr>
    </w:p>
    <w:p w14:paraId="791763A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b w:val="0"/>
          <w:bCs w:val="0"/>
          <w:szCs w:val="21"/>
        </w:rPr>
      </w:pPr>
      <w:r>
        <w:rPr>
          <w:rFonts w:hint="eastAsia" w:ascii="宋体" w:hAnsi="宋体"/>
          <w:b w:val="0"/>
          <w:bCs w:val="0"/>
          <w:szCs w:val="21"/>
        </w:rPr>
        <w:t>法定代表人或其委托代理人：</w:t>
      </w:r>
      <w:r>
        <w:rPr>
          <w:rFonts w:hint="eastAsia" w:ascii="宋体" w:hAnsi="宋体" w:cs="宋体"/>
          <w:b w:val="0"/>
          <w:bCs w:val="0"/>
          <w:szCs w:val="21"/>
          <w:u w:val="single"/>
          <w:lang w:val="en-US" w:eastAsia="zh-CN"/>
        </w:rPr>
        <w:t xml:space="preserve">                 </w:t>
      </w:r>
      <w:r>
        <w:rPr>
          <w:rFonts w:hint="eastAsia" w:ascii="宋体" w:hAnsi="宋体"/>
          <w:b w:val="0"/>
          <w:bCs w:val="0"/>
          <w:szCs w:val="21"/>
        </w:rPr>
        <w:t>法定代表人或其委托代理人：</w:t>
      </w:r>
      <w:r>
        <w:rPr>
          <w:rFonts w:hint="eastAsia" w:ascii="宋体" w:hAnsi="宋体" w:cs="宋体"/>
          <w:b w:val="0"/>
          <w:bCs w:val="0"/>
          <w:szCs w:val="21"/>
          <w:u w:val="single"/>
        </w:rPr>
        <w:t xml:space="preserve">                   </w:t>
      </w:r>
      <w:r>
        <w:rPr>
          <w:rFonts w:hint="eastAsia" w:ascii="宋体" w:hAnsi="宋体"/>
          <w:b w:val="0"/>
          <w:bCs w:val="0"/>
          <w:szCs w:val="21"/>
        </w:rPr>
        <w:t xml:space="preserve"> </w:t>
      </w:r>
    </w:p>
    <w:p w14:paraId="509CC113">
      <w:pPr>
        <w:keepNext w:val="0"/>
        <w:keepLines w:val="0"/>
        <w:pageBreakBefore w:val="0"/>
        <w:widowControl/>
        <w:kinsoku/>
        <w:wordWrap/>
        <w:overflowPunct/>
        <w:topLinePunct w:val="0"/>
        <w:autoSpaceDE/>
        <w:autoSpaceDN/>
        <w:bidi w:val="0"/>
        <w:adjustRightInd/>
        <w:snapToGrid/>
        <w:spacing w:line="360" w:lineRule="auto"/>
        <w:ind w:firstLine="1260" w:firstLineChars="600"/>
        <w:jc w:val="left"/>
        <w:textAlignment w:val="baseline"/>
        <w:rPr>
          <w:b w:val="0"/>
          <w:bCs w:val="0"/>
        </w:rPr>
      </w:pPr>
      <w:r>
        <w:rPr>
          <w:rFonts w:hint="eastAsia" w:ascii="宋体" w:hAnsi="宋体"/>
          <w:b w:val="0"/>
          <w:bCs w:val="0"/>
          <w:szCs w:val="21"/>
        </w:rPr>
        <w:t xml:space="preserve">（签名） </w:t>
      </w:r>
      <w:r>
        <w:rPr>
          <w:rFonts w:hint="eastAsia" w:ascii="宋体" w:hAnsi="宋体"/>
          <w:b w:val="0"/>
          <w:bCs w:val="0"/>
          <w:szCs w:val="21"/>
          <w:lang w:val="en-US" w:eastAsia="zh-CN"/>
        </w:rPr>
        <w:t xml:space="preserve">                                    </w:t>
      </w:r>
      <w:r>
        <w:rPr>
          <w:rFonts w:hint="eastAsia" w:ascii="宋体" w:hAnsi="宋体"/>
          <w:b w:val="0"/>
          <w:bCs w:val="0"/>
          <w:szCs w:val="21"/>
        </w:rPr>
        <w:t xml:space="preserve">（签名） </w:t>
      </w:r>
    </w:p>
    <w:p w14:paraId="7CBFEFB6">
      <w:pPr>
        <w:pageBreakBefore w:val="0"/>
        <w:kinsoku/>
        <w:overflowPunct/>
        <w:topLinePunct w:val="0"/>
        <w:bidi w:val="0"/>
        <w:spacing w:line="360" w:lineRule="auto"/>
        <w:jc w:val="left"/>
        <w:rPr>
          <w:rFonts w:ascii="宋体" w:hAnsi="宋体" w:cs="宋体"/>
          <w:kern w:val="0"/>
          <w:szCs w:val="21"/>
          <w:highlight w:val="none"/>
        </w:rPr>
      </w:pPr>
    </w:p>
    <w:p w14:paraId="081234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swiss"/>
    <w:pitch w:val="default"/>
    <w:sig w:usb0="00000000" w:usb1="00000000" w:usb2="00000000" w:usb3="00000000" w:csb0="80000000" w:csb1="0000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35E5"/>
    <w:multiLevelType w:val="singleLevel"/>
    <w:tmpl w:val="804E35E5"/>
    <w:lvl w:ilvl="0" w:tentative="0">
      <w:start w:val="1"/>
      <w:numFmt w:val="decimal"/>
      <w:suff w:val="nothing"/>
      <w:lvlText w:val="（%1）"/>
      <w:lvlJc w:val="left"/>
    </w:lvl>
  </w:abstractNum>
  <w:abstractNum w:abstractNumId="1">
    <w:nsid w:val="B09E2471"/>
    <w:multiLevelType w:val="singleLevel"/>
    <w:tmpl w:val="B09E2471"/>
    <w:lvl w:ilvl="0" w:tentative="0">
      <w:start w:val="1"/>
      <w:numFmt w:val="decimal"/>
      <w:suff w:val="nothing"/>
      <w:lvlText w:val="（%1）"/>
      <w:lvlJc w:val="left"/>
    </w:lvl>
  </w:abstractNum>
  <w:abstractNum w:abstractNumId="2">
    <w:nsid w:val="0D9FCA22"/>
    <w:multiLevelType w:val="singleLevel"/>
    <w:tmpl w:val="0D9FCA22"/>
    <w:lvl w:ilvl="0" w:tentative="0">
      <w:start w:val="1"/>
      <w:numFmt w:val="decimal"/>
      <w:suff w:val="nothing"/>
      <w:lvlText w:val="（%1）"/>
      <w:lvlJc w:val="left"/>
    </w:lvl>
  </w:abstractNum>
  <w:abstractNum w:abstractNumId="3">
    <w:nsid w:val="5FED4159"/>
    <w:multiLevelType w:val="singleLevel"/>
    <w:tmpl w:val="5FED4159"/>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31578"/>
    <w:rsid w:val="45831578"/>
    <w:rsid w:val="779D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2"/>
    <w:basedOn w:val="1"/>
    <w:qFormat/>
    <w:uiPriority w:val="0"/>
    <w:rPr>
      <w:i/>
      <w:iCs/>
      <w:sz w:val="26"/>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w:basedOn w:val="2"/>
    <w:qFormat/>
    <w:uiPriority w:val="0"/>
    <w:pPr>
      <w:spacing w:after="120"/>
      <w:ind w:firstLine="420" w:firstLineChars="100"/>
    </w:pPr>
    <w:rPr>
      <w:sz w:val="21"/>
    </w:rPr>
  </w:style>
  <w:style w:type="character" w:customStyle="1" w:styleId="10">
    <w:name w:val="NormalCharacter"/>
    <w:semiHidden/>
    <w:qFormat/>
    <w:uiPriority w:val="0"/>
  </w:style>
  <w:style w:type="character" w:customStyle="1" w:styleId="11">
    <w:name w:val="标题 1 字符"/>
    <w:link w:val="3"/>
    <w:qFormat/>
    <w:uiPriority w:val="0"/>
    <w:rPr>
      <w:b/>
      <w:bCs/>
      <w:kern w:val="44"/>
      <w:sz w:val="44"/>
      <w:szCs w:val="44"/>
    </w:rPr>
  </w:style>
  <w:style w:type="paragraph" w:customStyle="1" w:styleId="12">
    <w:name w:val="列出段落1"/>
    <w:basedOn w:val="1"/>
    <w:qFormat/>
    <w:uiPriority w:val="99"/>
    <w:pPr>
      <w:ind w:firstLine="420" w:firstLineChars="200"/>
    </w:pPr>
    <w:rPr>
      <w:sz w:val="28"/>
      <w:szCs w:val="28"/>
    </w:rPr>
  </w:style>
  <w:style w:type="paragraph" w:customStyle="1" w:styleId="13">
    <w:name w:val="招标正文"/>
    <w:basedOn w:val="1"/>
    <w:qFormat/>
    <w:uiPriority w:val="0"/>
    <w:pPr>
      <w:spacing w:line="300" w:lineRule="auto"/>
      <w:ind w:firstLine="480" w:firstLineChars="200"/>
    </w:pPr>
    <w:rPr>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18108</Words>
  <Characters>19117</Characters>
  <Lines>0</Lines>
  <Paragraphs>0</Paragraphs>
  <TotalTime>0</TotalTime>
  <ScaleCrop>false</ScaleCrop>
  <LinksUpToDate>false</LinksUpToDate>
  <CharactersWithSpaces>20284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2025-03-31T01:51:00Z</dcterms:created>
  <dc:creator>娜娜</dc:creator>
  <cp:lastModifiedBy>娜娜</cp:lastModifiedBy>
  <dcterms:modified xsi:type="dcterms:W3CDTF">2025-04-01T07:09:02Z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A4F102D5026949059113EA4B356A412A_11</vt:lpwstr>
  </property>
  <property fmtid="{D5CDD505-2E9C-101B-9397-08002B2CF9AE}" pid="4" name="KSOTemplateDocerSaveRecord">
    <vt:lpwstr>eyJoZGlkIjoiNjEwNmMyMjRhOWQ3ZmZmZjc3ODNhNTFlNjQxODBkMGUiLCJ1c2VySWQiOiI2MjI0MDI1OTcifQ==</vt:lpwstr>
  </property>
</Properties>
</file>